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271B3">
      <w:pPr>
        <w:pStyle w:val="6"/>
        <w:numPr>
          <w:ilvl w:val="0"/>
          <w:numId w:val="0"/>
        </w:numPr>
        <w:ind w:leftChars="0"/>
        <w:rPr>
          <w:rFonts w:hint="eastAsia" w:ascii="宋体" w:hAnsi="宋体" w:eastAsia="宋体"/>
          <w:b/>
          <w:bCs/>
          <w:sz w:val="28"/>
          <w:szCs w:val="28"/>
        </w:rPr>
      </w:pPr>
      <w:r>
        <w:rPr>
          <w:rFonts w:hint="eastAsia" w:ascii="宋体" w:hAnsi="宋体" w:eastAsia="宋体"/>
          <w:b/>
          <w:bCs/>
          <w:sz w:val="28"/>
          <w:szCs w:val="28"/>
          <w:lang w:val="en-US" w:eastAsia="zh-CN"/>
        </w:rPr>
        <w:t>一、</w:t>
      </w:r>
      <w:r>
        <w:rPr>
          <w:rFonts w:hint="eastAsia" w:ascii="宋体" w:hAnsi="宋体" w:eastAsia="宋体"/>
          <w:b/>
          <w:bCs/>
          <w:sz w:val="28"/>
          <w:szCs w:val="28"/>
        </w:rPr>
        <w:t>项目配置</w:t>
      </w:r>
    </w:p>
    <w:tbl>
      <w:tblPr>
        <w:tblStyle w:val="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5461"/>
        <w:gridCol w:w="1550"/>
        <w:gridCol w:w="1165"/>
      </w:tblGrid>
      <w:tr w14:paraId="0052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21" w:type="dxa"/>
            <w:noWrap w:val="0"/>
            <w:vAlign w:val="center"/>
          </w:tcPr>
          <w:p w14:paraId="01FD9438">
            <w:pPr>
              <w:jc w:val="center"/>
              <w:rPr>
                <w:rFonts w:hint="eastAsia" w:ascii="宋体" w:hAnsi="宋体" w:eastAsia="宋体"/>
                <w:b/>
                <w:bCs/>
                <w:sz w:val="21"/>
                <w:szCs w:val="21"/>
              </w:rPr>
            </w:pPr>
            <w:r>
              <w:rPr>
                <w:rFonts w:hint="eastAsia" w:ascii="宋体" w:hAnsi="宋体" w:eastAsia="宋体"/>
                <w:b/>
                <w:bCs/>
                <w:sz w:val="21"/>
                <w:szCs w:val="21"/>
              </w:rPr>
              <w:t>序号</w:t>
            </w:r>
          </w:p>
        </w:tc>
        <w:tc>
          <w:tcPr>
            <w:tcW w:w="5461" w:type="dxa"/>
            <w:noWrap w:val="0"/>
            <w:vAlign w:val="center"/>
          </w:tcPr>
          <w:p w14:paraId="760A63F8">
            <w:pPr>
              <w:jc w:val="center"/>
              <w:rPr>
                <w:rFonts w:hint="eastAsia" w:ascii="宋体" w:hAnsi="宋体" w:eastAsia="宋体"/>
                <w:b/>
                <w:bCs/>
                <w:sz w:val="21"/>
                <w:szCs w:val="21"/>
              </w:rPr>
            </w:pPr>
            <w:r>
              <w:rPr>
                <w:rFonts w:hint="eastAsia" w:ascii="宋体" w:hAnsi="宋体" w:eastAsia="宋体" w:cs="宋体"/>
                <w:b/>
                <w:bCs/>
                <w:kern w:val="0"/>
                <w:sz w:val="21"/>
                <w:szCs w:val="21"/>
              </w:rPr>
              <w:t>名称</w:t>
            </w:r>
          </w:p>
        </w:tc>
        <w:tc>
          <w:tcPr>
            <w:tcW w:w="1550" w:type="dxa"/>
            <w:noWrap w:val="0"/>
            <w:vAlign w:val="center"/>
          </w:tcPr>
          <w:p w14:paraId="3CD1E0F4">
            <w:pPr>
              <w:jc w:val="center"/>
              <w:rPr>
                <w:rFonts w:hint="eastAsia" w:ascii="宋体" w:hAnsi="宋体" w:eastAsia="宋体"/>
                <w:b/>
                <w:bCs/>
                <w:sz w:val="21"/>
                <w:szCs w:val="21"/>
              </w:rPr>
            </w:pPr>
            <w:r>
              <w:rPr>
                <w:rFonts w:hint="eastAsia" w:ascii="宋体" w:hAnsi="宋体" w:eastAsia="宋体" w:cs="宋体"/>
                <w:b/>
                <w:bCs/>
                <w:kern w:val="0"/>
                <w:sz w:val="21"/>
                <w:szCs w:val="21"/>
              </w:rPr>
              <w:t>单位</w:t>
            </w:r>
          </w:p>
        </w:tc>
        <w:tc>
          <w:tcPr>
            <w:tcW w:w="1165" w:type="dxa"/>
            <w:noWrap w:val="0"/>
            <w:vAlign w:val="center"/>
          </w:tcPr>
          <w:p w14:paraId="5578071D">
            <w:pPr>
              <w:jc w:val="center"/>
              <w:rPr>
                <w:rFonts w:hint="eastAsia" w:ascii="宋体" w:hAnsi="宋体" w:eastAsia="宋体"/>
                <w:b/>
                <w:bCs/>
                <w:sz w:val="21"/>
                <w:szCs w:val="21"/>
              </w:rPr>
            </w:pPr>
            <w:r>
              <w:rPr>
                <w:rFonts w:hint="eastAsia" w:ascii="宋体" w:hAnsi="宋体" w:eastAsia="宋体" w:cs="宋体"/>
                <w:b/>
                <w:bCs/>
                <w:kern w:val="0"/>
                <w:sz w:val="21"/>
                <w:szCs w:val="21"/>
              </w:rPr>
              <w:t>数量</w:t>
            </w:r>
          </w:p>
        </w:tc>
      </w:tr>
      <w:tr w14:paraId="7479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ABF0756">
            <w:pPr>
              <w:jc w:val="center"/>
              <w:rPr>
                <w:rFonts w:hint="eastAsia" w:ascii="宋体" w:hAnsi="宋体" w:eastAsia="宋体"/>
                <w:sz w:val="21"/>
                <w:szCs w:val="21"/>
              </w:rPr>
            </w:pPr>
            <w:r>
              <w:rPr>
                <w:rFonts w:hint="eastAsia" w:ascii="宋体" w:hAnsi="宋体" w:eastAsia="宋体"/>
                <w:sz w:val="21"/>
                <w:szCs w:val="21"/>
              </w:rPr>
              <w:t>1</w:t>
            </w:r>
          </w:p>
        </w:tc>
        <w:tc>
          <w:tcPr>
            <w:tcW w:w="5461" w:type="dxa"/>
            <w:noWrap w:val="0"/>
            <w:vAlign w:val="center"/>
          </w:tcPr>
          <w:p w14:paraId="583D21C7">
            <w:pPr>
              <w:jc w:val="center"/>
              <w:rPr>
                <w:rFonts w:hint="eastAsia" w:ascii="宋体" w:hAnsi="宋体" w:eastAsia="宋体"/>
                <w:sz w:val="21"/>
                <w:szCs w:val="21"/>
              </w:rPr>
            </w:pPr>
            <w:r>
              <w:rPr>
                <w:rFonts w:hint="eastAsia" w:ascii="宋体" w:hAnsi="宋体" w:eastAsia="宋体" w:cs="宋体"/>
                <w:kern w:val="0"/>
                <w:sz w:val="21"/>
                <w:szCs w:val="21"/>
              </w:rPr>
              <w:t>智能互动大屏</w:t>
            </w:r>
          </w:p>
        </w:tc>
        <w:tc>
          <w:tcPr>
            <w:tcW w:w="1550" w:type="dxa"/>
            <w:noWrap w:val="0"/>
            <w:vAlign w:val="center"/>
          </w:tcPr>
          <w:p w14:paraId="3DF60FA4">
            <w:pPr>
              <w:jc w:val="center"/>
              <w:rPr>
                <w:rFonts w:hint="eastAsia" w:ascii="宋体" w:hAnsi="宋体" w:eastAsia="宋体"/>
                <w:sz w:val="21"/>
                <w:szCs w:val="21"/>
              </w:rPr>
            </w:pPr>
            <w:r>
              <w:rPr>
                <w:rFonts w:hint="eastAsia" w:ascii="宋体" w:hAnsi="宋体" w:eastAsia="宋体" w:cs="宋体"/>
                <w:kern w:val="0"/>
                <w:sz w:val="21"/>
                <w:szCs w:val="21"/>
              </w:rPr>
              <w:t>套</w:t>
            </w:r>
          </w:p>
        </w:tc>
        <w:tc>
          <w:tcPr>
            <w:tcW w:w="1165" w:type="dxa"/>
            <w:noWrap w:val="0"/>
            <w:vAlign w:val="center"/>
          </w:tcPr>
          <w:p w14:paraId="13426BC2">
            <w:pPr>
              <w:jc w:val="center"/>
              <w:rPr>
                <w:rFonts w:hint="eastAsia" w:ascii="宋体" w:hAnsi="宋体" w:eastAsia="宋体"/>
                <w:sz w:val="21"/>
                <w:szCs w:val="21"/>
              </w:rPr>
            </w:pPr>
            <w:r>
              <w:rPr>
                <w:rFonts w:hint="eastAsia" w:ascii="宋体" w:hAnsi="宋体" w:eastAsia="宋体" w:cs="宋体"/>
                <w:kern w:val="0"/>
                <w:sz w:val="21"/>
                <w:szCs w:val="21"/>
              </w:rPr>
              <w:t>2</w:t>
            </w:r>
          </w:p>
        </w:tc>
      </w:tr>
      <w:tr w14:paraId="3C31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3F007B8">
            <w:pPr>
              <w:jc w:val="center"/>
              <w:rPr>
                <w:rFonts w:hint="eastAsia" w:ascii="宋体" w:hAnsi="宋体" w:eastAsia="宋体"/>
                <w:sz w:val="21"/>
                <w:szCs w:val="21"/>
              </w:rPr>
            </w:pPr>
            <w:r>
              <w:rPr>
                <w:rFonts w:hint="eastAsia" w:ascii="宋体" w:hAnsi="宋体" w:eastAsia="宋体"/>
                <w:sz w:val="21"/>
                <w:szCs w:val="21"/>
              </w:rPr>
              <w:t>2</w:t>
            </w:r>
          </w:p>
        </w:tc>
        <w:tc>
          <w:tcPr>
            <w:tcW w:w="5461" w:type="dxa"/>
            <w:noWrap w:val="0"/>
            <w:vAlign w:val="center"/>
          </w:tcPr>
          <w:p w14:paraId="0AD582BC">
            <w:pPr>
              <w:jc w:val="center"/>
              <w:rPr>
                <w:rFonts w:hint="eastAsia" w:ascii="宋体" w:hAnsi="宋体" w:eastAsia="宋体"/>
                <w:sz w:val="21"/>
                <w:szCs w:val="21"/>
              </w:rPr>
            </w:pPr>
            <w:r>
              <w:rPr>
                <w:rFonts w:hint="eastAsia" w:ascii="宋体" w:hAnsi="宋体" w:eastAsia="宋体" w:cs="宋体"/>
                <w:kern w:val="0"/>
                <w:sz w:val="21"/>
                <w:szCs w:val="21"/>
              </w:rPr>
              <w:t>智能AI采集柱（双向）</w:t>
            </w:r>
          </w:p>
        </w:tc>
        <w:tc>
          <w:tcPr>
            <w:tcW w:w="1550" w:type="dxa"/>
            <w:noWrap w:val="0"/>
            <w:vAlign w:val="center"/>
          </w:tcPr>
          <w:p w14:paraId="4014C2DE">
            <w:pPr>
              <w:jc w:val="center"/>
              <w:rPr>
                <w:rFonts w:hint="eastAsia" w:ascii="宋体" w:hAnsi="宋体" w:eastAsia="宋体"/>
                <w:sz w:val="21"/>
                <w:szCs w:val="21"/>
              </w:rPr>
            </w:pPr>
            <w:r>
              <w:rPr>
                <w:rFonts w:hint="eastAsia" w:ascii="宋体" w:hAnsi="宋体" w:eastAsia="宋体" w:cs="宋体"/>
                <w:kern w:val="0"/>
                <w:sz w:val="21"/>
                <w:szCs w:val="21"/>
              </w:rPr>
              <w:t>套</w:t>
            </w:r>
          </w:p>
        </w:tc>
        <w:tc>
          <w:tcPr>
            <w:tcW w:w="1165" w:type="dxa"/>
            <w:noWrap w:val="0"/>
            <w:vAlign w:val="center"/>
          </w:tcPr>
          <w:p w14:paraId="38BC2BA6">
            <w:pPr>
              <w:jc w:val="center"/>
              <w:rPr>
                <w:rFonts w:hint="eastAsia" w:ascii="宋体" w:hAnsi="宋体" w:eastAsia="宋体"/>
                <w:sz w:val="21"/>
                <w:szCs w:val="21"/>
              </w:rPr>
            </w:pPr>
            <w:r>
              <w:rPr>
                <w:rFonts w:hint="eastAsia" w:ascii="宋体" w:hAnsi="宋体" w:eastAsia="宋体" w:cs="宋体"/>
                <w:kern w:val="0"/>
                <w:sz w:val="21"/>
                <w:szCs w:val="21"/>
              </w:rPr>
              <w:t>3</w:t>
            </w:r>
          </w:p>
        </w:tc>
      </w:tr>
      <w:tr w14:paraId="1AE0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06FE4FAA">
            <w:pPr>
              <w:jc w:val="center"/>
              <w:rPr>
                <w:rFonts w:hint="eastAsia" w:ascii="宋体" w:hAnsi="宋体" w:eastAsia="宋体"/>
                <w:sz w:val="21"/>
                <w:szCs w:val="21"/>
              </w:rPr>
            </w:pPr>
            <w:r>
              <w:rPr>
                <w:rFonts w:hint="eastAsia" w:ascii="宋体" w:hAnsi="宋体" w:eastAsia="宋体"/>
                <w:sz w:val="21"/>
                <w:szCs w:val="21"/>
              </w:rPr>
              <w:t>3</w:t>
            </w:r>
          </w:p>
        </w:tc>
        <w:tc>
          <w:tcPr>
            <w:tcW w:w="5461" w:type="dxa"/>
            <w:noWrap w:val="0"/>
            <w:vAlign w:val="center"/>
          </w:tcPr>
          <w:p w14:paraId="2005E7A9">
            <w:pPr>
              <w:jc w:val="center"/>
              <w:rPr>
                <w:rFonts w:hint="eastAsia" w:ascii="宋体" w:hAnsi="宋体" w:eastAsia="宋体"/>
                <w:sz w:val="21"/>
                <w:szCs w:val="21"/>
              </w:rPr>
            </w:pPr>
            <w:r>
              <w:rPr>
                <w:rFonts w:hint="eastAsia" w:ascii="宋体" w:hAnsi="宋体" w:eastAsia="宋体" w:cs="宋体"/>
                <w:kern w:val="0"/>
                <w:sz w:val="21"/>
                <w:szCs w:val="21"/>
              </w:rPr>
              <w:t>智能步道综合管理系统</w:t>
            </w:r>
          </w:p>
        </w:tc>
        <w:tc>
          <w:tcPr>
            <w:tcW w:w="1550" w:type="dxa"/>
            <w:noWrap w:val="0"/>
            <w:vAlign w:val="center"/>
          </w:tcPr>
          <w:p w14:paraId="25CAFC95">
            <w:pPr>
              <w:jc w:val="center"/>
              <w:rPr>
                <w:rFonts w:hint="eastAsia" w:ascii="宋体" w:hAnsi="宋体" w:eastAsia="宋体"/>
                <w:sz w:val="21"/>
                <w:szCs w:val="21"/>
              </w:rPr>
            </w:pPr>
            <w:r>
              <w:rPr>
                <w:rFonts w:hint="eastAsia" w:ascii="宋体" w:hAnsi="宋体" w:eastAsia="宋体" w:cs="宋体"/>
                <w:kern w:val="0"/>
                <w:sz w:val="21"/>
                <w:szCs w:val="21"/>
              </w:rPr>
              <w:t>套</w:t>
            </w:r>
          </w:p>
        </w:tc>
        <w:tc>
          <w:tcPr>
            <w:tcW w:w="1165" w:type="dxa"/>
            <w:noWrap w:val="0"/>
            <w:vAlign w:val="center"/>
          </w:tcPr>
          <w:p w14:paraId="7FAB1C5A">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1319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1E90C4B7">
            <w:pPr>
              <w:jc w:val="center"/>
              <w:rPr>
                <w:rFonts w:hint="eastAsia" w:ascii="宋体" w:hAnsi="宋体" w:eastAsia="宋体"/>
                <w:sz w:val="21"/>
                <w:szCs w:val="21"/>
              </w:rPr>
            </w:pPr>
            <w:r>
              <w:rPr>
                <w:rFonts w:hint="eastAsia" w:ascii="宋体" w:hAnsi="宋体" w:eastAsia="宋体"/>
                <w:sz w:val="21"/>
                <w:szCs w:val="21"/>
              </w:rPr>
              <w:t>4</w:t>
            </w:r>
          </w:p>
        </w:tc>
        <w:tc>
          <w:tcPr>
            <w:tcW w:w="5461" w:type="dxa"/>
            <w:noWrap w:val="0"/>
            <w:vAlign w:val="center"/>
          </w:tcPr>
          <w:p w14:paraId="399653AA">
            <w:pPr>
              <w:jc w:val="center"/>
              <w:rPr>
                <w:rFonts w:hint="eastAsia" w:ascii="宋体" w:hAnsi="宋体" w:eastAsia="宋体"/>
                <w:sz w:val="21"/>
                <w:szCs w:val="21"/>
              </w:rPr>
            </w:pPr>
            <w:r>
              <w:rPr>
                <w:rFonts w:hint="eastAsia" w:ascii="宋体" w:hAnsi="宋体" w:eastAsia="宋体" w:cs="宋体"/>
                <w:kern w:val="0"/>
                <w:sz w:val="21"/>
                <w:szCs w:val="21"/>
              </w:rPr>
              <w:t>手机端小程序</w:t>
            </w:r>
          </w:p>
        </w:tc>
        <w:tc>
          <w:tcPr>
            <w:tcW w:w="1550" w:type="dxa"/>
            <w:noWrap w:val="0"/>
            <w:vAlign w:val="center"/>
          </w:tcPr>
          <w:p w14:paraId="3265EDEA">
            <w:pPr>
              <w:jc w:val="center"/>
              <w:rPr>
                <w:rFonts w:hint="eastAsia" w:ascii="宋体" w:hAnsi="宋体" w:eastAsia="宋体"/>
                <w:sz w:val="21"/>
                <w:szCs w:val="21"/>
              </w:rPr>
            </w:pPr>
            <w:r>
              <w:rPr>
                <w:rFonts w:hint="eastAsia" w:ascii="宋体" w:hAnsi="宋体" w:eastAsia="宋体" w:cs="宋体"/>
                <w:kern w:val="0"/>
                <w:sz w:val="21"/>
                <w:szCs w:val="21"/>
              </w:rPr>
              <w:t>套</w:t>
            </w:r>
          </w:p>
        </w:tc>
        <w:tc>
          <w:tcPr>
            <w:tcW w:w="1165" w:type="dxa"/>
            <w:noWrap w:val="0"/>
            <w:vAlign w:val="center"/>
          </w:tcPr>
          <w:p w14:paraId="31C24E2F">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5676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03F0245D">
            <w:pPr>
              <w:jc w:val="center"/>
              <w:rPr>
                <w:rFonts w:hint="eastAsia" w:ascii="宋体" w:hAnsi="宋体" w:eastAsia="宋体"/>
                <w:sz w:val="21"/>
                <w:szCs w:val="21"/>
              </w:rPr>
            </w:pPr>
            <w:r>
              <w:rPr>
                <w:rFonts w:hint="eastAsia" w:ascii="宋体" w:hAnsi="宋体" w:eastAsia="宋体"/>
                <w:sz w:val="21"/>
                <w:szCs w:val="21"/>
              </w:rPr>
              <w:t>5</w:t>
            </w:r>
          </w:p>
        </w:tc>
        <w:tc>
          <w:tcPr>
            <w:tcW w:w="5461" w:type="dxa"/>
            <w:noWrap w:val="0"/>
            <w:vAlign w:val="center"/>
          </w:tcPr>
          <w:p w14:paraId="11901E0C">
            <w:pPr>
              <w:jc w:val="center"/>
              <w:rPr>
                <w:rFonts w:hint="eastAsia" w:ascii="宋体" w:hAnsi="宋体" w:eastAsia="宋体"/>
                <w:sz w:val="21"/>
                <w:szCs w:val="21"/>
              </w:rPr>
            </w:pPr>
            <w:r>
              <w:rPr>
                <w:rFonts w:hint="eastAsia" w:ascii="宋体" w:hAnsi="宋体" w:eastAsia="宋体" w:cs="宋体"/>
                <w:kern w:val="0"/>
                <w:sz w:val="21"/>
                <w:szCs w:val="21"/>
              </w:rPr>
              <w:t>智能步道大屏互动系统</w:t>
            </w:r>
          </w:p>
        </w:tc>
        <w:tc>
          <w:tcPr>
            <w:tcW w:w="1550" w:type="dxa"/>
            <w:noWrap w:val="0"/>
            <w:vAlign w:val="center"/>
          </w:tcPr>
          <w:p w14:paraId="0867D1BB">
            <w:pPr>
              <w:jc w:val="center"/>
              <w:rPr>
                <w:rFonts w:hint="eastAsia" w:ascii="宋体" w:hAnsi="宋体" w:eastAsia="宋体"/>
                <w:sz w:val="21"/>
                <w:szCs w:val="21"/>
              </w:rPr>
            </w:pPr>
            <w:r>
              <w:rPr>
                <w:rFonts w:hint="eastAsia" w:ascii="宋体" w:hAnsi="宋体" w:eastAsia="宋体" w:cs="宋体"/>
                <w:kern w:val="0"/>
                <w:sz w:val="21"/>
                <w:szCs w:val="21"/>
              </w:rPr>
              <w:t>套</w:t>
            </w:r>
          </w:p>
        </w:tc>
        <w:tc>
          <w:tcPr>
            <w:tcW w:w="1165" w:type="dxa"/>
            <w:noWrap w:val="0"/>
            <w:vAlign w:val="center"/>
          </w:tcPr>
          <w:p w14:paraId="477D1406">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67C9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270ED25">
            <w:pPr>
              <w:jc w:val="center"/>
              <w:rPr>
                <w:rFonts w:hint="eastAsia" w:ascii="宋体" w:hAnsi="宋体" w:eastAsia="宋体"/>
                <w:sz w:val="21"/>
                <w:szCs w:val="21"/>
              </w:rPr>
            </w:pPr>
            <w:r>
              <w:rPr>
                <w:rFonts w:hint="eastAsia" w:ascii="宋体" w:hAnsi="宋体" w:eastAsia="宋体"/>
                <w:sz w:val="21"/>
                <w:szCs w:val="21"/>
              </w:rPr>
              <w:t>6</w:t>
            </w:r>
          </w:p>
        </w:tc>
        <w:tc>
          <w:tcPr>
            <w:tcW w:w="5461" w:type="dxa"/>
            <w:noWrap w:val="0"/>
            <w:vAlign w:val="center"/>
          </w:tcPr>
          <w:p w14:paraId="26F89E24">
            <w:pPr>
              <w:jc w:val="center"/>
              <w:rPr>
                <w:rFonts w:hint="eastAsia" w:ascii="宋体" w:hAnsi="宋体" w:eastAsia="宋体" w:cs="宋体"/>
                <w:kern w:val="0"/>
                <w:sz w:val="21"/>
                <w:szCs w:val="21"/>
              </w:rPr>
            </w:pPr>
            <w:r>
              <w:rPr>
                <w:rFonts w:hint="eastAsia" w:ascii="宋体" w:hAnsi="宋体" w:eastAsia="宋体" w:cs="宋体"/>
                <w:kern w:val="0"/>
                <w:sz w:val="21"/>
                <w:szCs w:val="21"/>
              </w:rPr>
              <w:t>健身步道改色</w:t>
            </w:r>
          </w:p>
        </w:tc>
        <w:tc>
          <w:tcPr>
            <w:tcW w:w="1550" w:type="dxa"/>
            <w:noWrap w:val="0"/>
            <w:vAlign w:val="center"/>
          </w:tcPr>
          <w:p w14:paraId="18178191">
            <w:pPr>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1165" w:type="dxa"/>
            <w:noWrap w:val="0"/>
            <w:vAlign w:val="center"/>
          </w:tcPr>
          <w:p w14:paraId="1CAC50EB">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8F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34B48416">
            <w:pPr>
              <w:jc w:val="center"/>
              <w:rPr>
                <w:rFonts w:hint="eastAsia" w:ascii="宋体" w:hAnsi="宋体" w:eastAsia="宋体"/>
                <w:sz w:val="21"/>
                <w:szCs w:val="21"/>
              </w:rPr>
            </w:pPr>
            <w:r>
              <w:rPr>
                <w:rFonts w:hint="eastAsia" w:ascii="宋体" w:hAnsi="宋体" w:eastAsia="宋体"/>
                <w:sz w:val="21"/>
                <w:szCs w:val="21"/>
              </w:rPr>
              <w:t>7</w:t>
            </w:r>
          </w:p>
        </w:tc>
        <w:tc>
          <w:tcPr>
            <w:tcW w:w="5461" w:type="dxa"/>
            <w:noWrap w:val="0"/>
            <w:vAlign w:val="center"/>
          </w:tcPr>
          <w:p w14:paraId="50B827EA">
            <w:pPr>
              <w:jc w:val="center"/>
              <w:rPr>
                <w:rFonts w:hint="eastAsia" w:ascii="宋体" w:hAnsi="宋体" w:eastAsia="宋体"/>
                <w:sz w:val="21"/>
                <w:szCs w:val="21"/>
              </w:rPr>
            </w:pPr>
            <w:r>
              <w:rPr>
                <w:rFonts w:hint="eastAsia" w:ascii="宋体" w:hAnsi="宋体" w:eastAsia="宋体" w:cs="宋体"/>
                <w:kern w:val="0"/>
                <w:sz w:val="21"/>
                <w:szCs w:val="21"/>
              </w:rPr>
              <w:t>室外核心力量训练组合</w:t>
            </w:r>
          </w:p>
        </w:tc>
        <w:tc>
          <w:tcPr>
            <w:tcW w:w="1550" w:type="dxa"/>
            <w:noWrap w:val="0"/>
            <w:vAlign w:val="center"/>
          </w:tcPr>
          <w:p w14:paraId="0C0F04B8">
            <w:pPr>
              <w:jc w:val="center"/>
              <w:rPr>
                <w:rFonts w:hint="eastAsia" w:ascii="宋体" w:hAnsi="宋体" w:eastAsia="宋体"/>
                <w:sz w:val="21"/>
                <w:szCs w:val="21"/>
              </w:rPr>
            </w:pPr>
            <w:r>
              <w:rPr>
                <w:rFonts w:hint="eastAsia" w:ascii="宋体" w:hAnsi="宋体" w:eastAsia="宋体" w:cs="宋体"/>
                <w:kern w:val="0"/>
                <w:sz w:val="21"/>
                <w:szCs w:val="21"/>
              </w:rPr>
              <w:t>套</w:t>
            </w:r>
          </w:p>
        </w:tc>
        <w:tc>
          <w:tcPr>
            <w:tcW w:w="1165" w:type="dxa"/>
            <w:noWrap w:val="0"/>
            <w:vAlign w:val="center"/>
          </w:tcPr>
          <w:p w14:paraId="06A9314E">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14E1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60A9C5E2">
            <w:pPr>
              <w:jc w:val="center"/>
              <w:rPr>
                <w:rFonts w:hint="eastAsia" w:ascii="宋体" w:hAnsi="宋体" w:eastAsia="宋体"/>
                <w:sz w:val="21"/>
                <w:szCs w:val="21"/>
              </w:rPr>
            </w:pPr>
            <w:r>
              <w:rPr>
                <w:rFonts w:hint="eastAsia" w:ascii="宋体" w:hAnsi="宋体" w:eastAsia="宋体"/>
                <w:sz w:val="21"/>
                <w:szCs w:val="21"/>
              </w:rPr>
              <w:t>8</w:t>
            </w:r>
          </w:p>
        </w:tc>
        <w:tc>
          <w:tcPr>
            <w:tcW w:w="5461" w:type="dxa"/>
            <w:noWrap w:val="0"/>
            <w:vAlign w:val="center"/>
          </w:tcPr>
          <w:p w14:paraId="24AC2204">
            <w:pPr>
              <w:jc w:val="center"/>
              <w:rPr>
                <w:rFonts w:hint="eastAsia" w:ascii="宋体" w:hAnsi="宋体" w:eastAsia="宋体"/>
                <w:sz w:val="21"/>
                <w:szCs w:val="21"/>
              </w:rPr>
            </w:pPr>
            <w:r>
              <w:rPr>
                <w:rFonts w:hint="eastAsia" w:ascii="宋体" w:hAnsi="宋体" w:eastAsia="宋体" w:cs="宋体"/>
                <w:kern w:val="0"/>
                <w:sz w:val="21"/>
                <w:szCs w:val="21"/>
              </w:rPr>
              <w:t>可调阻力坐式推举训练器</w:t>
            </w:r>
          </w:p>
        </w:tc>
        <w:tc>
          <w:tcPr>
            <w:tcW w:w="1550" w:type="dxa"/>
            <w:noWrap w:val="0"/>
            <w:vAlign w:val="center"/>
          </w:tcPr>
          <w:p w14:paraId="1F3E7FBD">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5B6EC567">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5BEC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7DFF4DB6">
            <w:pPr>
              <w:jc w:val="center"/>
              <w:rPr>
                <w:rFonts w:hint="eastAsia" w:ascii="宋体" w:hAnsi="宋体" w:eastAsia="宋体"/>
                <w:sz w:val="21"/>
                <w:szCs w:val="21"/>
              </w:rPr>
            </w:pPr>
            <w:r>
              <w:rPr>
                <w:rFonts w:hint="eastAsia" w:ascii="宋体" w:hAnsi="宋体" w:eastAsia="宋体"/>
                <w:sz w:val="21"/>
                <w:szCs w:val="21"/>
              </w:rPr>
              <w:t>9</w:t>
            </w:r>
          </w:p>
        </w:tc>
        <w:tc>
          <w:tcPr>
            <w:tcW w:w="5461" w:type="dxa"/>
            <w:noWrap w:val="0"/>
            <w:vAlign w:val="center"/>
          </w:tcPr>
          <w:p w14:paraId="07469061">
            <w:pPr>
              <w:jc w:val="center"/>
              <w:rPr>
                <w:rFonts w:hint="eastAsia" w:ascii="宋体" w:hAnsi="宋体" w:eastAsia="宋体"/>
                <w:sz w:val="21"/>
                <w:szCs w:val="21"/>
              </w:rPr>
            </w:pPr>
            <w:r>
              <w:rPr>
                <w:rFonts w:hint="eastAsia" w:ascii="宋体" w:hAnsi="宋体" w:eastAsia="宋体" w:cs="宋体"/>
                <w:kern w:val="0"/>
                <w:sz w:val="21"/>
                <w:szCs w:val="21"/>
              </w:rPr>
              <w:t>可调阻力坐式划船训练器</w:t>
            </w:r>
          </w:p>
        </w:tc>
        <w:tc>
          <w:tcPr>
            <w:tcW w:w="1550" w:type="dxa"/>
            <w:noWrap w:val="0"/>
            <w:vAlign w:val="center"/>
          </w:tcPr>
          <w:p w14:paraId="3D7F6C50">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1E61A8C7">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6F78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23B7CA3C">
            <w:pPr>
              <w:jc w:val="center"/>
              <w:rPr>
                <w:rFonts w:hint="eastAsia" w:ascii="宋体" w:hAnsi="宋体" w:eastAsia="宋体"/>
                <w:sz w:val="21"/>
                <w:szCs w:val="21"/>
              </w:rPr>
            </w:pPr>
            <w:r>
              <w:rPr>
                <w:rFonts w:hint="eastAsia" w:ascii="宋体" w:hAnsi="宋体" w:eastAsia="宋体"/>
                <w:sz w:val="21"/>
                <w:szCs w:val="21"/>
              </w:rPr>
              <w:t>10</w:t>
            </w:r>
          </w:p>
        </w:tc>
        <w:tc>
          <w:tcPr>
            <w:tcW w:w="5461" w:type="dxa"/>
            <w:noWrap w:val="0"/>
            <w:vAlign w:val="center"/>
          </w:tcPr>
          <w:p w14:paraId="6E3EEC9F">
            <w:pPr>
              <w:jc w:val="center"/>
              <w:rPr>
                <w:rFonts w:hint="eastAsia" w:ascii="宋体" w:hAnsi="宋体" w:eastAsia="宋体"/>
                <w:sz w:val="21"/>
                <w:szCs w:val="21"/>
              </w:rPr>
            </w:pPr>
            <w:r>
              <w:rPr>
                <w:rFonts w:hint="eastAsia" w:ascii="宋体" w:hAnsi="宋体" w:eastAsia="宋体" w:cs="宋体"/>
                <w:kern w:val="0"/>
                <w:sz w:val="21"/>
                <w:szCs w:val="21"/>
              </w:rPr>
              <w:t>可调阻力坐式前推训练器</w:t>
            </w:r>
          </w:p>
        </w:tc>
        <w:tc>
          <w:tcPr>
            <w:tcW w:w="1550" w:type="dxa"/>
            <w:noWrap w:val="0"/>
            <w:vAlign w:val="center"/>
          </w:tcPr>
          <w:p w14:paraId="7B9530A6">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786A2C7A">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24FF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1B7BD927">
            <w:pPr>
              <w:jc w:val="center"/>
              <w:rPr>
                <w:rFonts w:hint="eastAsia" w:ascii="宋体" w:hAnsi="宋体" w:eastAsia="宋体"/>
                <w:sz w:val="21"/>
                <w:szCs w:val="21"/>
              </w:rPr>
            </w:pPr>
            <w:r>
              <w:rPr>
                <w:rFonts w:hint="eastAsia" w:ascii="宋体" w:hAnsi="宋体" w:eastAsia="宋体"/>
                <w:sz w:val="21"/>
                <w:szCs w:val="21"/>
              </w:rPr>
              <w:t>11</w:t>
            </w:r>
          </w:p>
        </w:tc>
        <w:tc>
          <w:tcPr>
            <w:tcW w:w="5461" w:type="dxa"/>
            <w:noWrap w:val="0"/>
            <w:vAlign w:val="center"/>
          </w:tcPr>
          <w:p w14:paraId="122BB37E">
            <w:pPr>
              <w:jc w:val="center"/>
              <w:rPr>
                <w:rFonts w:hint="eastAsia" w:ascii="宋体" w:hAnsi="宋体" w:eastAsia="宋体"/>
                <w:sz w:val="21"/>
                <w:szCs w:val="21"/>
              </w:rPr>
            </w:pPr>
            <w:r>
              <w:rPr>
                <w:rFonts w:hint="eastAsia" w:ascii="宋体" w:hAnsi="宋体" w:eastAsia="宋体" w:cs="宋体"/>
                <w:kern w:val="0"/>
                <w:sz w:val="21"/>
                <w:szCs w:val="21"/>
              </w:rPr>
              <w:t>可调阻力背肌训练器</w:t>
            </w:r>
          </w:p>
        </w:tc>
        <w:tc>
          <w:tcPr>
            <w:tcW w:w="1550" w:type="dxa"/>
            <w:noWrap w:val="0"/>
            <w:vAlign w:val="center"/>
          </w:tcPr>
          <w:p w14:paraId="335F00F8">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343EB64D">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3027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24916BE0">
            <w:pPr>
              <w:jc w:val="center"/>
              <w:rPr>
                <w:rFonts w:hint="eastAsia" w:ascii="宋体" w:hAnsi="宋体" w:eastAsia="宋体"/>
                <w:sz w:val="21"/>
                <w:szCs w:val="21"/>
              </w:rPr>
            </w:pPr>
            <w:r>
              <w:rPr>
                <w:rFonts w:hint="eastAsia" w:ascii="宋体" w:hAnsi="宋体" w:eastAsia="宋体"/>
                <w:sz w:val="21"/>
                <w:szCs w:val="21"/>
              </w:rPr>
              <w:t>12</w:t>
            </w:r>
          </w:p>
        </w:tc>
        <w:tc>
          <w:tcPr>
            <w:tcW w:w="5461" w:type="dxa"/>
            <w:noWrap w:val="0"/>
            <w:vAlign w:val="center"/>
          </w:tcPr>
          <w:p w14:paraId="060E0F6A">
            <w:pPr>
              <w:jc w:val="center"/>
              <w:rPr>
                <w:rFonts w:hint="eastAsia" w:ascii="宋体" w:hAnsi="宋体" w:eastAsia="宋体"/>
                <w:sz w:val="21"/>
                <w:szCs w:val="21"/>
              </w:rPr>
            </w:pPr>
            <w:r>
              <w:rPr>
                <w:rFonts w:hint="eastAsia" w:ascii="宋体" w:hAnsi="宋体" w:eastAsia="宋体" w:cs="宋体"/>
                <w:kern w:val="0"/>
                <w:sz w:val="21"/>
                <w:szCs w:val="21"/>
              </w:rPr>
              <w:t>可调阻力坐式踢腿训练器</w:t>
            </w:r>
          </w:p>
        </w:tc>
        <w:tc>
          <w:tcPr>
            <w:tcW w:w="1550" w:type="dxa"/>
            <w:noWrap w:val="0"/>
            <w:vAlign w:val="center"/>
          </w:tcPr>
          <w:p w14:paraId="65170D52">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77F5CB6D">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4DA9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724819D0">
            <w:pPr>
              <w:jc w:val="center"/>
              <w:rPr>
                <w:rFonts w:hint="eastAsia" w:ascii="宋体" w:hAnsi="宋体" w:eastAsia="宋体"/>
                <w:sz w:val="21"/>
                <w:szCs w:val="21"/>
              </w:rPr>
            </w:pPr>
            <w:r>
              <w:rPr>
                <w:rFonts w:hint="eastAsia" w:ascii="宋体" w:hAnsi="宋体" w:eastAsia="宋体"/>
                <w:sz w:val="21"/>
                <w:szCs w:val="21"/>
              </w:rPr>
              <w:t>13</w:t>
            </w:r>
          </w:p>
        </w:tc>
        <w:tc>
          <w:tcPr>
            <w:tcW w:w="5461" w:type="dxa"/>
            <w:noWrap w:val="0"/>
            <w:vAlign w:val="center"/>
          </w:tcPr>
          <w:p w14:paraId="5CC16845">
            <w:pPr>
              <w:jc w:val="center"/>
              <w:rPr>
                <w:rFonts w:hint="eastAsia" w:ascii="宋体" w:hAnsi="宋体" w:eastAsia="宋体"/>
                <w:sz w:val="21"/>
                <w:szCs w:val="21"/>
              </w:rPr>
            </w:pPr>
            <w:r>
              <w:rPr>
                <w:rFonts w:hint="eastAsia" w:ascii="宋体" w:hAnsi="宋体" w:eastAsia="宋体" w:cs="宋体"/>
                <w:kern w:val="0"/>
                <w:sz w:val="21"/>
                <w:szCs w:val="21"/>
              </w:rPr>
              <w:t>可调阻力腰部侧屈训练器</w:t>
            </w:r>
          </w:p>
        </w:tc>
        <w:tc>
          <w:tcPr>
            <w:tcW w:w="1550" w:type="dxa"/>
            <w:noWrap w:val="0"/>
            <w:vAlign w:val="center"/>
          </w:tcPr>
          <w:p w14:paraId="01D51237">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002F2DC0">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309F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6FCCB47E">
            <w:pPr>
              <w:jc w:val="center"/>
              <w:rPr>
                <w:rFonts w:hint="eastAsia" w:ascii="宋体" w:hAnsi="宋体" w:eastAsia="宋体"/>
                <w:sz w:val="21"/>
                <w:szCs w:val="21"/>
              </w:rPr>
            </w:pPr>
            <w:r>
              <w:rPr>
                <w:rFonts w:hint="eastAsia" w:ascii="宋体" w:hAnsi="宋体" w:eastAsia="宋体"/>
                <w:sz w:val="21"/>
                <w:szCs w:val="21"/>
              </w:rPr>
              <w:t>14</w:t>
            </w:r>
          </w:p>
        </w:tc>
        <w:tc>
          <w:tcPr>
            <w:tcW w:w="5461" w:type="dxa"/>
            <w:noWrap w:val="0"/>
            <w:vAlign w:val="center"/>
          </w:tcPr>
          <w:p w14:paraId="6FFDDB02">
            <w:pPr>
              <w:jc w:val="center"/>
              <w:rPr>
                <w:rFonts w:hint="eastAsia" w:ascii="宋体" w:hAnsi="宋体" w:eastAsia="宋体"/>
                <w:sz w:val="21"/>
                <w:szCs w:val="21"/>
              </w:rPr>
            </w:pPr>
            <w:r>
              <w:rPr>
                <w:rFonts w:hint="eastAsia" w:ascii="宋体" w:hAnsi="宋体" w:eastAsia="宋体" w:cs="宋体"/>
                <w:kern w:val="0"/>
                <w:sz w:val="21"/>
                <w:szCs w:val="21"/>
              </w:rPr>
              <w:t>三位弹振压腿器</w:t>
            </w:r>
          </w:p>
        </w:tc>
        <w:tc>
          <w:tcPr>
            <w:tcW w:w="1550" w:type="dxa"/>
            <w:noWrap w:val="0"/>
            <w:vAlign w:val="center"/>
          </w:tcPr>
          <w:p w14:paraId="6B7D4DE4">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0488FA48">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5E9E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DE9C391">
            <w:pPr>
              <w:jc w:val="center"/>
              <w:rPr>
                <w:rFonts w:hint="eastAsia" w:ascii="宋体" w:hAnsi="宋体" w:eastAsia="宋体"/>
                <w:sz w:val="21"/>
                <w:szCs w:val="21"/>
              </w:rPr>
            </w:pPr>
            <w:r>
              <w:rPr>
                <w:rFonts w:hint="eastAsia" w:ascii="宋体" w:hAnsi="宋体" w:eastAsia="宋体"/>
                <w:sz w:val="21"/>
                <w:szCs w:val="21"/>
              </w:rPr>
              <w:t>15</w:t>
            </w:r>
          </w:p>
        </w:tc>
        <w:tc>
          <w:tcPr>
            <w:tcW w:w="5461" w:type="dxa"/>
            <w:noWrap w:val="0"/>
            <w:vAlign w:val="center"/>
          </w:tcPr>
          <w:p w14:paraId="0705C81C">
            <w:pPr>
              <w:jc w:val="center"/>
              <w:rPr>
                <w:rFonts w:hint="eastAsia" w:ascii="宋体" w:hAnsi="宋体" w:eastAsia="宋体"/>
                <w:sz w:val="21"/>
                <w:szCs w:val="21"/>
              </w:rPr>
            </w:pPr>
            <w:r>
              <w:rPr>
                <w:rFonts w:hint="eastAsia" w:ascii="宋体" w:hAnsi="宋体" w:eastAsia="宋体" w:cs="宋体"/>
                <w:kern w:val="0"/>
                <w:sz w:val="21"/>
                <w:szCs w:val="21"/>
              </w:rPr>
              <w:t>室外双位漫步机</w:t>
            </w:r>
          </w:p>
        </w:tc>
        <w:tc>
          <w:tcPr>
            <w:tcW w:w="1550" w:type="dxa"/>
            <w:noWrap w:val="0"/>
            <w:vAlign w:val="center"/>
          </w:tcPr>
          <w:p w14:paraId="06D269A1">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391507DA">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199D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2CC60D1C">
            <w:pPr>
              <w:jc w:val="center"/>
              <w:rPr>
                <w:rFonts w:hint="eastAsia" w:ascii="宋体" w:hAnsi="宋体" w:eastAsia="宋体"/>
                <w:sz w:val="21"/>
                <w:szCs w:val="21"/>
              </w:rPr>
            </w:pPr>
            <w:r>
              <w:rPr>
                <w:rFonts w:hint="eastAsia" w:ascii="宋体" w:hAnsi="宋体" w:eastAsia="宋体"/>
                <w:sz w:val="21"/>
                <w:szCs w:val="21"/>
              </w:rPr>
              <w:t>16</w:t>
            </w:r>
          </w:p>
        </w:tc>
        <w:tc>
          <w:tcPr>
            <w:tcW w:w="5461" w:type="dxa"/>
            <w:noWrap w:val="0"/>
            <w:vAlign w:val="center"/>
          </w:tcPr>
          <w:p w14:paraId="5180DBE8">
            <w:pPr>
              <w:jc w:val="center"/>
              <w:rPr>
                <w:rFonts w:hint="eastAsia" w:ascii="宋体" w:hAnsi="宋体" w:eastAsia="宋体"/>
                <w:sz w:val="21"/>
                <w:szCs w:val="21"/>
              </w:rPr>
            </w:pPr>
            <w:r>
              <w:rPr>
                <w:rFonts w:hint="eastAsia" w:ascii="宋体" w:hAnsi="宋体" w:eastAsia="宋体" w:cs="宋体"/>
                <w:kern w:val="0"/>
                <w:sz w:val="21"/>
                <w:szCs w:val="21"/>
              </w:rPr>
              <w:t>三位扭腰器</w:t>
            </w:r>
          </w:p>
        </w:tc>
        <w:tc>
          <w:tcPr>
            <w:tcW w:w="1550" w:type="dxa"/>
            <w:noWrap w:val="0"/>
            <w:vAlign w:val="center"/>
          </w:tcPr>
          <w:p w14:paraId="1C9FAD20">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203778B4">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20A8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D251ED6">
            <w:pPr>
              <w:jc w:val="center"/>
              <w:rPr>
                <w:rFonts w:hint="eastAsia" w:ascii="宋体" w:hAnsi="宋体" w:eastAsia="宋体"/>
                <w:sz w:val="21"/>
                <w:szCs w:val="21"/>
              </w:rPr>
            </w:pPr>
            <w:r>
              <w:rPr>
                <w:rFonts w:hint="eastAsia" w:ascii="宋体" w:hAnsi="宋体" w:eastAsia="宋体"/>
                <w:sz w:val="21"/>
                <w:szCs w:val="21"/>
              </w:rPr>
              <w:t>17</w:t>
            </w:r>
          </w:p>
        </w:tc>
        <w:tc>
          <w:tcPr>
            <w:tcW w:w="5461" w:type="dxa"/>
            <w:noWrap w:val="0"/>
            <w:vAlign w:val="center"/>
          </w:tcPr>
          <w:p w14:paraId="5B33D99B">
            <w:pPr>
              <w:jc w:val="center"/>
              <w:rPr>
                <w:rFonts w:hint="eastAsia" w:ascii="宋体" w:hAnsi="宋体" w:eastAsia="宋体"/>
                <w:sz w:val="21"/>
                <w:szCs w:val="21"/>
              </w:rPr>
            </w:pPr>
            <w:r>
              <w:rPr>
                <w:rFonts w:hint="eastAsia" w:ascii="宋体" w:hAnsi="宋体" w:eastAsia="宋体" w:cs="宋体"/>
                <w:kern w:val="0"/>
                <w:sz w:val="21"/>
                <w:szCs w:val="21"/>
              </w:rPr>
              <w:t>双位太极揉推器</w:t>
            </w:r>
          </w:p>
        </w:tc>
        <w:tc>
          <w:tcPr>
            <w:tcW w:w="1550" w:type="dxa"/>
            <w:noWrap w:val="0"/>
            <w:vAlign w:val="center"/>
          </w:tcPr>
          <w:p w14:paraId="5832AEEF">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421AE35D">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5920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28C26A14">
            <w:pPr>
              <w:jc w:val="center"/>
              <w:rPr>
                <w:rFonts w:hint="eastAsia" w:ascii="宋体" w:hAnsi="宋体" w:eastAsia="宋体"/>
                <w:sz w:val="21"/>
                <w:szCs w:val="21"/>
              </w:rPr>
            </w:pPr>
            <w:r>
              <w:rPr>
                <w:rFonts w:hint="eastAsia" w:ascii="宋体" w:hAnsi="宋体" w:eastAsia="宋体"/>
                <w:sz w:val="21"/>
                <w:szCs w:val="21"/>
              </w:rPr>
              <w:t>18</w:t>
            </w:r>
          </w:p>
        </w:tc>
        <w:tc>
          <w:tcPr>
            <w:tcW w:w="5461" w:type="dxa"/>
            <w:noWrap w:val="0"/>
            <w:vAlign w:val="center"/>
          </w:tcPr>
          <w:p w14:paraId="140905E0">
            <w:pPr>
              <w:jc w:val="center"/>
              <w:rPr>
                <w:rFonts w:hint="eastAsia" w:ascii="宋体" w:hAnsi="宋体" w:eastAsia="宋体"/>
                <w:sz w:val="21"/>
                <w:szCs w:val="21"/>
              </w:rPr>
            </w:pPr>
            <w:r>
              <w:rPr>
                <w:rFonts w:hint="eastAsia" w:ascii="宋体" w:hAnsi="宋体" w:eastAsia="宋体" w:cs="宋体"/>
                <w:kern w:val="0"/>
                <w:sz w:val="21"/>
                <w:szCs w:val="21"/>
              </w:rPr>
              <w:t>伸背器</w:t>
            </w:r>
          </w:p>
        </w:tc>
        <w:tc>
          <w:tcPr>
            <w:tcW w:w="1550" w:type="dxa"/>
            <w:noWrap w:val="0"/>
            <w:vAlign w:val="center"/>
          </w:tcPr>
          <w:p w14:paraId="2F9699F6">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6969357D">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65F1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2E0F0205">
            <w:pPr>
              <w:jc w:val="center"/>
              <w:rPr>
                <w:rFonts w:hint="eastAsia" w:ascii="宋体" w:hAnsi="宋体" w:eastAsia="宋体"/>
                <w:sz w:val="21"/>
                <w:szCs w:val="21"/>
              </w:rPr>
            </w:pPr>
            <w:r>
              <w:rPr>
                <w:rFonts w:hint="eastAsia" w:ascii="宋体" w:hAnsi="宋体" w:eastAsia="宋体"/>
                <w:sz w:val="21"/>
                <w:szCs w:val="21"/>
              </w:rPr>
              <w:t>19</w:t>
            </w:r>
          </w:p>
        </w:tc>
        <w:tc>
          <w:tcPr>
            <w:tcW w:w="5461" w:type="dxa"/>
            <w:noWrap w:val="0"/>
            <w:vAlign w:val="center"/>
          </w:tcPr>
          <w:p w14:paraId="146AECBF">
            <w:pPr>
              <w:jc w:val="center"/>
              <w:rPr>
                <w:rFonts w:hint="eastAsia" w:ascii="宋体" w:hAnsi="宋体" w:eastAsia="宋体"/>
                <w:sz w:val="21"/>
                <w:szCs w:val="21"/>
              </w:rPr>
            </w:pPr>
            <w:r>
              <w:rPr>
                <w:rFonts w:hint="eastAsia" w:ascii="宋体" w:hAnsi="宋体" w:eastAsia="宋体" w:cs="宋体"/>
                <w:kern w:val="0"/>
                <w:sz w:val="21"/>
                <w:szCs w:val="21"/>
              </w:rPr>
              <w:t>腰背按摩器</w:t>
            </w:r>
          </w:p>
        </w:tc>
        <w:tc>
          <w:tcPr>
            <w:tcW w:w="1550" w:type="dxa"/>
            <w:noWrap w:val="0"/>
            <w:vAlign w:val="center"/>
          </w:tcPr>
          <w:p w14:paraId="0D0EBA8A">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0E2FFA0F">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6CE9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7C7EA22F">
            <w:pPr>
              <w:jc w:val="center"/>
              <w:rPr>
                <w:rFonts w:hint="eastAsia" w:ascii="宋体" w:hAnsi="宋体" w:eastAsia="宋体"/>
                <w:sz w:val="21"/>
                <w:szCs w:val="21"/>
              </w:rPr>
            </w:pPr>
            <w:r>
              <w:rPr>
                <w:rFonts w:hint="eastAsia" w:ascii="宋体" w:hAnsi="宋体" w:eastAsia="宋体"/>
                <w:sz w:val="21"/>
                <w:szCs w:val="21"/>
              </w:rPr>
              <w:t>20</w:t>
            </w:r>
          </w:p>
        </w:tc>
        <w:tc>
          <w:tcPr>
            <w:tcW w:w="5461" w:type="dxa"/>
            <w:noWrap w:val="0"/>
            <w:vAlign w:val="center"/>
          </w:tcPr>
          <w:p w14:paraId="7119FA79">
            <w:pPr>
              <w:jc w:val="center"/>
              <w:rPr>
                <w:rFonts w:hint="eastAsia" w:ascii="宋体" w:hAnsi="宋体" w:eastAsia="宋体"/>
                <w:sz w:val="21"/>
                <w:szCs w:val="21"/>
              </w:rPr>
            </w:pPr>
            <w:r>
              <w:rPr>
                <w:rFonts w:hint="eastAsia" w:ascii="宋体" w:hAnsi="宋体" w:eastAsia="宋体" w:cs="宋体"/>
                <w:kern w:val="0"/>
                <w:sz w:val="21"/>
                <w:szCs w:val="21"/>
              </w:rPr>
              <w:t>双位蹬力训练器</w:t>
            </w:r>
          </w:p>
        </w:tc>
        <w:tc>
          <w:tcPr>
            <w:tcW w:w="1550" w:type="dxa"/>
            <w:noWrap w:val="0"/>
            <w:vAlign w:val="center"/>
          </w:tcPr>
          <w:p w14:paraId="7B5B88AB">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3F21D13F">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5FAA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0063EE2B">
            <w:pPr>
              <w:jc w:val="center"/>
              <w:rPr>
                <w:rFonts w:hint="eastAsia" w:ascii="宋体" w:hAnsi="宋体" w:eastAsia="宋体"/>
                <w:sz w:val="21"/>
                <w:szCs w:val="21"/>
              </w:rPr>
            </w:pPr>
            <w:r>
              <w:rPr>
                <w:rFonts w:hint="eastAsia" w:ascii="宋体" w:hAnsi="宋体" w:eastAsia="宋体"/>
                <w:sz w:val="21"/>
                <w:szCs w:val="21"/>
              </w:rPr>
              <w:t>21</w:t>
            </w:r>
          </w:p>
        </w:tc>
        <w:tc>
          <w:tcPr>
            <w:tcW w:w="5461" w:type="dxa"/>
            <w:noWrap w:val="0"/>
            <w:vAlign w:val="center"/>
          </w:tcPr>
          <w:p w14:paraId="7BB6F285">
            <w:pPr>
              <w:jc w:val="center"/>
              <w:rPr>
                <w:rFonts w:hint="eastAsia" w:ascii="宋体" w:hAnsi="宋体" w:eastAsia="宋体"/>
                <w:sz w:val="21"/>
                <w:szCs w:val="21"/>
              </w:rPr>
            </w:pPr>
            <w:r>
              <w:rPr>
                <w:rFonts w:hint="eastAsia" w:ascii="宋体" w:hAnsi="宋体" w:eastAsia="宋体" w:cs="宋体"/>
                <w:kern w:val="0"/>
                <w:sz w:val="21"/>
                <w:szCs w:val="21"/>
              </w:rPr>
              <w:t>伸展器</w:t>
            </w:r>
          </w:p>
        </w:tc>
        <w:tc>
          <w:tcPr>
            <w:tcW w:w="1550" w:type="dxa"/>
            <w:noWrap w:val="0"/>
            <w:vAlign w:val="center"/>
          </w:tcPr>
          <w:p w14:paraId="080B44C0">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185281EE">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0266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36859063">
            <w:pPr>
              <w:jc w:val="center"/>
              <w:rPr>
                <w:rFonts w:hint="eastAsia" w:ascii="宋体" w:hAnsi="宋体" w:eastAsia="宋体"/>
                <w:sz w:val="21"/>
                <w:szCs w:val="21"/>
              </w:rPr>
            </w:pPr>
            <w:r>
              <w:rPr>
                <w:rFonts w:hint="eastAsia" w:ascii="宋体" w:hAnsi="宋体" w:eastAsia="宋体"/>
                <w:sz w:val="21"/>
                <w:szCs w:val="21"/>
              </w:rPr>
              <w:t>22</w:t>
            </w:r>
          </w:p>
        </w:tc>
        <w:tc>
          <w:tcPr>
            <w:tcW w:w="5461" w:type="dxa"/>
            <w:noWrap w:val="0"/>
            <w:vAlign w:val="center"/>
          </w:tcPr>
          <w:p w14:paraId="610AD402">
            <w:pPr>
              <w:jc w:val="center"/>
              <w:rPr>
                <w:rFonts w:hint="eastAsia" w:ascii="宋体" w:hAnsi="宋体" w:eastAsia="宋体"/>
                <w:sz w:val="21"/>
                <w:szCs w:val="21"/>
              </w:rPr>
            </w:pPr>
            <w:r>
              <w:rPr>
                <w:rFonts w:hint="eastAsia" w:ascii="宋体" w:hAnsi="宋体" w:eastAsia="宋体" w:cs="宋体"/>
                <w:kern w:val="0"/>
                <w:sz w:val="21"/>
                <w:szCs w:val="21"/>
              </w:rPr>
              <w:t>多功能锻炼器</w:t>
            </w:r>
          </w:p>
        </w:tc>
        <w:tc>
          <w:tcPr>
            <w:tcW w:w="1550" w:type="dxa"/>
            <w:noWrap w:val="0"/>
            <w:vAlign w:val="center"/>
          </w:tcPr>
          <w:p w14:paraId="71230BE3">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18210E64">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0204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3ECA0A27">
            <w:pPr>
              <w:jc w:val="center"/>
              <w:rPr>
                <w:rFonts w:hint="eastAsia" w:ascii="宋体" w:hAnsi="宋体" w:eastAsia="宋体"/>
                <w:sz w:val="21"/>
                <w:szCs w:val="21"/>
              </w:rPr>
            </w:pPr>
            <w:r>
              <w:rPr>
                <w:rFonts w:hint="eastAsia" w:ascii="宋体" w:hAnsi="宋体" w:eastAsia="宋体"/>
                <w:sz w:val="21"/>
                <w:szCs w:val="21"/>
              </w:rPr>
              <w:t>23</w:t>
            </w:r>
          </w:p>
        </w:tc>
        <w:tc>
          <w:tcPr>
            <w:tcW w:w="5461" w:type="dxa"/>
            <w:noWrap w:val="0"/>
            <w:vAlign w:val="center"/>
          </w:tcPr>
          <w:p w14:paraId="1D14A356">
            <w:pPr>
              <w:jc w:val="center"/>
              <w:rPr>
                <w:rFonts w:hint="eastAsia" w:ascii="宋体" w:hAnsi="宋体" w:eastAsia="宋体"/>
                <w:sz w:val="21"/>
                <w:szCs w:val="21"/>
              </w:rPr>
            </w:pPr>
            <w:r>
              <w:rPr>
                <w:rFonts w:hint="eastAsia" w:ascii="宋体" w:hAnsi="宋体" w:eastAsia="宋体" w:cs="宋体"/>
                <w:kern w:val="0"/>
                <w:sz w:val="21"/>
                <w:szCs w:val="21"/>
              </w:rPr>
              <w:t>上肢牵引器</w:t>
            </w:r>
          </w:p>
        </w:tc>
        <w:tc>
          <w:tcPr>
            <w:tcW w:w="1550" w:type="dxa"/>
            <w:noWrap w:val="0"/>
            <w:vAlign w:val="center"/>
          </w:tcPr>
          <w:p w14:paraId="6A6697B7">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26CC3CE6">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25ED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1D697BDA">
            <w:pPr>
              <w:jc w:val="center"/>
              <w:rPr>
                <w:rFonts w:hint="eastAsia" w:ascii="宋体" w:hAnsi="宋体" w:eastAsia="宋体"/>
                <w:sz w:val="21"/>
                <w:szCs w:val="21"/>
              </w:rPr>
            </w:pPr>
            <w:r>
              <w:rPr>
                <w:rFonts w:hint="eastAsia" w:ascii="宋体" w:hAnsi="宋体" w:eastAsia="宋体"/>
                <w:sz w:val="21"/>
                <w:szCs w:val="21"/>
              </w:rPr>
              <w:t>24</w:t>
            </w:r>
          </w:p>
        </w:tc>
        <w:tc>
          <w:tcPr>
            <w:tcW w:w="5461" w:type="dxa"/>
            <w:noWrap w:val="0"/>
            <w:vAlign w:val="center"/>
          </w:tcPr>
          <w:p w14:paraId="10C61485">
            <w:pPr>
              <w:jc w:val="center"/>
              <w:rPr>
                <w:rFonts w:hint="eastAsia" w:ascii="宋体" w:hAnsi="宋体" w:eastAsia="宋体"/>
                <w:sz w:val="21"/>
                <w:szCs w:val="21"/>
              </w:rPr>
            </w:pPr>
            <w:r>
              <w:rPr>
                <w:rFonts w:hint="eastAsia" w:ascii="宋体" w:hAnsi="宋体" w:eastAsia="宋体" w:cs="宋体"/>
                <w:kern w:val="0"/>
                <w:sz w:val="21"/>
                <w:szCs w:val="21"/>
              </w:rPr>
              <w:t>健骑机</w:t>
            </w:r>
          </w:p>
        </w:tc>
        <w:tc>
          <w:tcPr>
            <w:tcW w:w="1550" w:type="dxa"/>
            <w:noWrap w:val="0"/>
            <w:vAlign w:val="center"/>
          </w:tcPr>
          <w:p w14:paraId="3092F3B5">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063C8F3F">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516D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311B377">
            <w:pPr>
              <w:jc w:val="center"/>
              <w:rPr>
                <w:rFonts w:hint="eastAsia" w:ascii="宋体" w:hAnsi="宋体" w:eastAsia="宋体"/>
                <w:sz w:val="21"/>
                <w:szCs w:val="21"/>
              </w:rPr>
            </w:pPr>
            <w:r>
              <w:rPr>
                <w:rFonts w:hint="eastAsia" w:ascii="宋体" w:hAnsi="宋体" w:eastAsia="宋体"/>
                <w:sz w:val="21"/>
                <w:szCs w:val="21"/>
              </w:rPr>
              <w:t>25</w:t>
            </w:r>
          </w:p>
        </w:tc>
        <w:tc>
          <w:tcPr>
            <w:tcW w:w="5461" w:type="dxa"/>
            <w:noWrap w:val="0"/>
            <w:vAlign w:val="center"/>
          </w:tcPr>
          <w:p w14:paraId="3267A1C3">
            <w:pPr>
              <w:jc w:val="center"/>
              <w:rPr>
                <w:rFonts w:hint="eastAsia" w:ascii="宋体" w:hAnsi="宋体" w:eastAsia="宋体"/>
                <w:sz w:val="21"/>
                <w:szCs w:val="21"/>
              </w:rPr>
            </w:pPr>
            <w:r>
              <w:rPr>
                <w:rFonts w:hint="eastAsia" w:ascii="宋体" w:hAnsi="宋体" w:eastAsia="宋体" w:cs="宋体"/>
                <w:kern w:val="0"/>
                <w:sz w:val="21"/>
                <w:szCs w:val="21"/>
              </w:rPr>
              <w:t>仰卧起坐板</w:t>
            </w:r>
          </w:p>
        </w:tc>
        <w:tc>
          <w:tcPr>
            <w:tcW w:w="1550" w:type="dxa"/>
            <w:noWrap w:val="0"/>
            <w:vAlign w:val="center"/>
          </w:tcPr>
          <w:p w14:paraId="7973960D">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4D53A83B">
            <w:pPr>
              <w:jc w:val="center"/>
              <w:rPr>
                <w:rFonts w:hint="eastAsia" w:ascii="宋体" w:hAnsi="宋体" w:eastAsia="宋体"/>
                <w:sz w:val="21"/>
                <w:szCs w:val="21"/>
              </w:rPr>
            </w:pPr>
            <w:r>
              <w:rPr>
                <w:rFonts w:hint="eastAsia" w:ascii="宋体" w:hAnsi="宋体" w:eastAsia="宋体" w:cs="宋体"/>
                <w:kern w:val="0"/>
                <w:sz w:val="21"/>
                <w:szCs w:val="21"/>
              </w:rPr>
              <w:t>2</w:t>
            </w:r>
          </w:p>
        </w:tc>
      </w:tr>
      <w:tr w14:paraId="7E38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2B042CD7">
            <w:pPr>
              <w:jc w:val="center"/>
              <w:rPr>
                <w:rFonts w:hint="eastAsia" w:ascii="宋体" w:hAnsi="宋体" w:eastAsia="宋体"/>
                <w:sz w:val="21"/>
                <w:szCs w:val="21"/>
              </w:rPr>
            </w:pPr>
            <w:r>
              <w:rPr>
                <w:rFonts w:hint="eastAsia" w:ascii="宋体" w:hAnsi="宋体" w:eastAsia="宋体"/>
                <w:sz w:val="21"/>
                <w:szCs w:val="21"/>
              </w:rPr>
              <w:t>26</w:t>
            </w:r>
          </w:p>
        </w:tc>
        <w:tc>
          <w:tcPr>
            <w:tcW w:w="5461" w:type="dxa"/>
            <w:noWrap w:val="0"/>
            <w:vAlign w:val="center"/>
          </w:tcPr>
          <w:p w14:paraId="640316E5">
            <w:pPr>
              <w:jc w:val="center"/>
              <w:rPr>
                <w:rFonts w:hint="eastAsia" w:ascii="宋体" w:hAnsi="宋体" w:eastAsia="宋体"/>
                <w:sz w:val="21"/>
                <w:szCs w:val="21"/>
              </w:rPr>
            </w:pPr>
            <w:r>
              <w:rPr>
                <w:rFonts w:hint="eastAsia" w:ascii="宋体" w:hAnsi="宋体" w:eastAsia="宋体" w:cs="宋体"/>
                <w:kern w:val="0"/>
                <w:sz w:val="21"/>
                <w:szCs w:val="21"/>
              </w:rPr>
              <w:t>手部腿部按摩器</w:t>
            </w:r>
          </w:p>
        </w:tc>
        <w:tc>
          <w:tcPr>
            <w:tcW w:w="1550" w:type="dxa"/>
            <w:noWrap w:val="0"/>
            <w:vAlign w:val="center"/>
          </w:tcPr>
          <w:p w14:paraId="49CB1127">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046F9F87">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43E2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107697AE">
            <w:pPr>
              <w:jc w:val="center"/>
              <w:rPr>
                <w:rFonts w:hint="eastAsia" w:ascii="宋体" w:hAnsi="宋体" w:eastAsia="宋体"/>
                <w:sz w:val="21"/>
                <w:szCs w:val="21"/>
              </w:rPr>
            </w:pPr>
            <w:r>
              <w:rPr>
                <w:rFonts w:hint="eastAsia" w:ascii="宋体" w:hAnsi="宋体" w:eastAsia="宋体"/>
                <w:sz w:val="21"/>
                <w:szCs w:val="21"/>
              </w:rPr>
              <w:t>27</w:t>
            </w:r>
          </w:p>
        </w:tc>
        <w:tc>
          <w:tcPr>
            <w:tcW w:w="5461" w:type="dxa"/>
            <w:noWrap w:val="0"/>
            <w:vAlign w:val="center"/>
          </w:tcPr>
          <w:p w14:paraId="7B2AE4BF">
            <w:pPr>
              <w:jc w:val="center"/>
              <w:rPr>
                <w:rFonts w:hint="eastAsia" w:ascii="宋体" w:hAnsi="宋体" w:eastAsia="宋体"/>
                <w:sz w:val="21"/>
                <w:szCs w:val="21"/>
              </w:rPr>
            </w:pPr>
            <w:r>
              <w:rPr>
                <w:rFonts w:hint="eastAsia" w:ascii="宋体" w:hAnsi="宋体" w:eastAsia="宋体" w:cs="宋体"/>
                <w:kern w:val="0"/>
                <w:sz w:val="21"/>
                <w:szCs w:val="21"/>
              </w:rPr>
              <w:t>告示牌</w:t>
            </w:r>
          </w:p>
        </w:tc>
        <w:tc>
          <w:tcPr>
            <w:tcW w:w="1550" w:type="dxa"/>
            <w:noWrap w:val="0"/>
            <w:vAlign w:val="center"/>
          </w:tcPr>
          <w:p w14:paraId="16D36F22">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6636BE77">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385F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0016C806">
            <w:pPr>
              <w:jc w:val="center"/>
              <w:rPr>
                <w:rFonts w:hint="eastAsia" w:ascii="宋体" w:hAnsi="宋体" w:eastAsia="宋体"/>
                <w:sz w:val="21"/>
                <w:szCs w:val="21"/>
              </w:rPr>
            </w:pPr>
            <w:r>
              <w:rPr>
                <w:rFonts w:hint="eastAsia" w:ascii="宋体" w:hAnsi="宋体" w:eastAsia="宋体"/>
                <w:sz w:val="21"/>
                <w:szCs w:val="21"/>
              </w:rPr>
              <w:t>28</w:t>
            </w:r>
          </w:p>
        </w:tc>
        <w:tc>
          <w:tcPr>
            <w:tcW w:w="5461" w:type="dxa"/>
            <w:noWrap w:val="0"/>
            <w:vAlign w:val="center"/>
          </w:tcPr>
          <w:p w14:paraId="6A2E4AEE">
            <w:pPr>
              <w:jc w:val="center"/>
              <w:rPr>
                <w:rFonts w:hint="eastAsia" w:ascii="宋体" w:hAnsi="宋体" w:eastAsia="宋体"/>
                <w:sz w:val="21"/>
                <w:szCs w:val="21"/>
              </w:rPr>
            </w:pPr>
            <w:r>
              <w:rPr>
                <w:rFonts w:hint="eastAsia" w:ascii="宋体" w:hAnsi="宋体" w:eastAsia="宋体" w:cs="宋体"/>
                <w:kern w:val="0"/>
                <w:sz w:val="21"/>
                <w:szCs w:val="21"/>
              </w:rPr>
              <w:t>健身区EPDM场地面层</w:t>
            </w:r>
          </w:p>
        </w:tc>
        <w:tc>
          <w:tcPr>
            <w:tcW w:w="1550" w:type="dxa"/>
            <w:noWrap w:val="0"/>
            <w:vAlign w:val="center"/>
          </w:tcPr>
          <w:p w14:paraId="672EFC60">
            <w:pPr>
              <w:jc w:val="center"/>
              <w:rPr>
                <w:rFonts w:hint="eastAsia" w:ascii="宋体" w:hAnsi="宋体" w:eastAsia="宋体"/>
                <w:sz w:val="21"/>
                <w:szCs w:val="21"/>
              </w:rPr>
            </w:pPr>
            <w:r>
              <w:rPr>
                <w:rFonts w:hint="eastAsia" w:ascii="宋体" w:hAnsi="宋体" w:eastAsia="宋体" w:cs="宋体"/>
                <w:kern w:val="0"/>
                <w:sz w:val="21"/>
                <w:szCs w:val="21"/>
              </w:rPr>
              <w:t>套</w:t>
            </w:r>
          </w:p>
        </w:tc>
        <w:tc>
          <w:tcPr>
            <w:tcW w:w="1165" w:type="dxa"/>
            <w:noWrap w:val="0"/>
            <w:vAlign w:val="center"/>
          </w:tcPr>
          <w:p w14:paraId="46111D53">
            <w:pPr>
              <w:jc w:val="center"/>
              <w:rPr>
                <w:rFonts w:hint="eastAsia" w:ascii="宋体" w:hAnsi="宋体" w:eastAsia="宋体"/>
                <w:sz w:val="21"/>
                <w:szCs w:val="21"/>
              </w:rPr>
            </w:pPr>
            <w:r>
              <w:rPr>
                <w:rFonts w:hint="eastAsia" w:ascii="宋体" w:hAnsi="宋体" w:eastAsia="宋体" w:cs="宋体"/>
                <w:kern w:val="0"/>
                <w:sz w:val="21"/>
                <w:szCs w:val="21"/>
              </w:rPr>
              <w:t>1</w:t>
            </w:r>
          </w:p>
        </w:tc>
      </w:tr>
      <w:tr w14:paraId="76D8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6596F80">
            <w:pPr>
              <w:jc w:val="center"/>
              <w:rPr>
                <w:rFonts w:hint="eastAsia" w:ascii="宋体" w:hAnsi="宋体" w:eastAsia="宋体"/>
                <w:sz w:val="21"/>
                <w:szCs w:val="21"/>
              </w:rPr>
            </w:pPr>
            <w:r>
              <w:rPr>
                <w:rFonts w:hint="eastAsia" w:ascii="宋体" w:hAnsi="宋体" w:eastAsia="宋体"/>
                <w:sz w:val="21"/>
                <w:szCs w:val="21"/>
              </w:rPr>
              <w:t>29</w:t>
            </w:r>
          </w:p>
        </w:tc>
        <w:tc>
          <w:tcPr>
            <w:tcW w:w="5461" w:type="dxa"/>
            <w:noWrap w:val="0"/>
            <w:vAlign w:val="center"/>
          </w:tcPr>
          <w:p w14:paraId="4158101F">
            <w:pPr>
              <w:jc w:val="center"/>
              <w:rPr>
                <w:rFonts w:hint="eastAsia" w:ascii="宋体" w:hAnsi="宋体" w:eastAsia="宋体"/>
                <w:sz w:val="21"/>
                <w:szCs w:val="21"/>
              </w:rPr>
            </w:pPr>
            <w:r>
              <w:rPr>
                <w:rFonts w:hint="eastAsia" w:ascii="宋体" w:hAnsi="宋体" w:eastAsia="宋体" w:cs="宋体"/>
                <w:kern w:val="0"/>
                <w:sz w:val="21"/>
                <w:szCs w:val="21"/>
              </w:rPr>
              <w:t>棋牌桌</w:t>
            </w:r>
          </w:p>
        </w:tc>
        <w:tc>
          <w:tcPr>
            <w:tcW w:w="1550" w:type="dxa"/>
            <w:noWrap w:val="0"/>
            <w:vAlign w:val="center"/>
          </w:tcPr>
          <w:p w14:paraId="667DEBA8">
            <w:pPr>
              <w:jc w:val="center"/>
              <w:rPr>
                <w:rFonts w:hint="eastAsia" w:ascii="宋体" w:hAnsi="宋体" w:eastAsia="宋体"/>
                <w:sz w:val="21"/>
                <w:szCs w:val="21"/>
              </w:rPr>
            </w:pPr>
            <w:r>
              <w:rPr>
                <w:rFonts w:hint="eastAsia" w:ascii="宋体" w:hAnsi="宋体" w:eastAsia="宋体" w:cs="宋体"/>
                <w:kern w:val="0"/>
                <w:sz w:val="21"/>
                <w:szCs w:val="21"/>
              </w:rPr>
              <w:t>件</w:t>
            </w:r>
          </w:p>
        </w:tc>
        <w:tc>
          <w:tcPr>
            <w:tcW w:w="1165" w:type="dxa"/>
            <w:noWrap w:val="0"/>
            <w:vAlign w:val="center"/>
          </w:tcPr>
          <w:p w14:paraId="28B1FA66">
            <w:pPr>
              <w:jc w:val="center"/>
              <w:rPr>
                <w:rFonts w:hint="eastAsia" w:ascii="宋体" w:hAnsi="宋体" w:eastAsia="宋体"/>
                <w:sz w:val="21"/>
                <w:szCs w:val="21"/>
              </w:rPr>
            </w:pPr>
            <w:r>
              <w:rPr>
                <w:rFonts w:hint="eastAsia" w:ascii="宋体" w:hAnsi="宋体" w:eastAsia="宋体" w:cs="宋体"/>
                <w:kern w:val="0"/>
                <w:sz w:val="21"/>
                <w:szCs w:val="21"/>
              </w:rPr>
              <w:t>4</w:t>
            </w:r>
          </w:p>
        </w:tc>
      </w:tr>
      <w:tr w14:paraId="2570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1046D70E">
            <w:pPr>
              <w:jc w:val="center"/>
              <w:rPr>
                <w:rFonts w:hint="eastAsia" w:ascii="宋体" w:hAnsi="宋体" w:eastAsia="宋体"/>
                <w:sz w:val="21"/>
                <w:szCs w:val="21"/>
              </w:rPr>
            </w:pPr>
            <w:r>
              <w:rPr>
                <w:rFonts w:hint="eastAsia" w:ascii="宋体" w:hAnsi="宋体" w:eastAsia="宋体"/>
                <w:sz w:val="21"/>
                <w:szCs w:val="21"/>
              </w:rPr>
              <w:t>30</w:t>
            </w:r>
          </w:p>
        </w:tc>
        <w:tc>
          <w:tcPr>
            <w:tcW w:w="5461" w:type="dxa"/>
            <w:noWrap w:val="0"/>
            <w:vAlign w:val="center"/>
          </w:tcPr>
          <w:p w14:paraId="59C95D17">
            <w:pPr>
              <w:jc w:val="center"/>
              <w:rPr>
                <w:rFonts w:hint="eastAsia" w:ascii="宋体" w:hAnsi="宋体" w:eastAsia="宋体"/>
                <w:sz w:val="21"/>
                <w:szCs w:val="21"/>
              </w:rPr>
            </w:pPr>
            <w:r>
              <w:rPr>
                <w:rFonts w:hint="eastAsia" w:ascii="宋体" w:hAnsi="宋体" w:eastAsia="宋体" w:cs="宋体"/>
                <w:kern w:val="0"/>
                <w:sz w:val="21"/>
                <w:szCs w:val="21"/>
              </w:rPr>
              <w:t>益智算盘</w:t>
            </w:r>
          </w:p>
        </w:tc>
        <w:tc>
          <w:tcPr>
            <w:tcW w:w="1550" w:type="dxa"/>
            <w:noWrap w:val="0"/>
            <w:vAlign w:val="center"/>
          </w:tcPr>
          <w:p w14:paraId="1DD25697">
            <w:pPr>
              <w:jc w:val="center"/>
              <w:rPr>
                <w:rFonts w:hint="eastAsia" w:ascii="宋体" w:hAnsi="宋体" w:eastAsia="宋体"/>
                <w:sz w:val="21"/>
                <w:szCs w:val="21"/>
              </w:rPr>
            </w:pPr>
            <w:r>
              <w:rPr>
                <w:rFonts w:hint="eastAsia" w:ascii="宋体" w:hAnsi="宋体" w:eastAsia="宋体"/>
                <w:sz w:val="21"/>
                <w:szCs w:val="21"/>
              </w:rPr>
              <w:t>件</w:t>
            </w:r>
          </w:p>
        </w:tc>
        <w:tc>
          <w:tcPr>
            <w:tcW w:w="1165" w:type="dxa"/>
            <w:noWrap w:val="0"/>
            <w:vAlign w:val="center"/>
          </w:tcPr>
          <w:p w14:paraId="1D533258">
            <w:pPr>
              <w:jc w:val="center"/>
              <w:rPr>
                <w:rFonts w:hint="eastAsia" w:ascii="宋体" w:hAnsi="宋体" w:eastAsia="宋体"/>
                <w:sz w:val="21"/>
                <w:szCs w:val="21"/>
              </w:rPr>
            </w:pPr>
            <w:r>
              <w:rPr>
                <w:rFonts w:hint="eastAsia" w:ascii="宋体" w:hAnsi="宋体" w:eastAsia="宋体" w:cs="宋体"/>
                <w:kern w:val="0"/>
                <w:sz w:val="21"/>
                <w:szCs w:val="21"/>
              </w:rPr>
              <w:t>2</w:t>
            </w:r>
          </w:p>
        </w:tc>
      </w:tr>
      <w:tr w14:paraId="3EFC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75AB0FF1">
            <w:pPr>
              <w:jc w:val="center"/>
              <w:rPr>
                <w:rFonts w:hint="eastAsia" w:ascii="宋体" w:hAnsi="宋体" w:eastAsia="宋体"/>
                <w:sz w:val="21"/>
                <w:szCs w:val="21"/>
              </w:rPr>
            </w:pPr>
            <w:r>
              <w:rPr>
                <w:rFonts w:hint="eastAsia" w:ascii="宋体" w:hAnsi="宋体" w:eastAsia="宋体"/>
                <w:sz w:val="21"/>
                <w:szCs w:val="21"/>
              </w:rPr>
              <w:t>31</w:t>
            </w:r>
          </w:p>
        </w:tc>
        <w:tc>
          <w:tcPr>
            <w:tcW w:w="5461" w:type="dxa"/>
            <w:noWrap w:val="0"/>
            <w:vAlign w:val="center"/>
          </w:tcPr>
          <w:p w14:paraId="23A26E32">
            <w:pPr>
              <w:jc w:val="center"/>
              <w:rPr>
                <w:rFonts w:hint="default" w:ascii="宋体" w:hAnsi="宋体" w:eastAsia="宋体"/>
                <w:sz w:val="21"/>
                <w:szCs w:val="21"/>
                <w:lang w:val="en-US" w:eastAsia="zh-CN"/>
              </w:rPr>
            </w:pPr>
            <w:r>
              <w:rPr>
                <w:rFonts w:hint="eastAsia" w:ascii="宋体" w:hAnsi="宋体" w:eastAsia="宋体"/>
                <w:sz w:val="21"/>
                <w:szCs w:val="21"/>
              </w:rPr>
              <w:t>笼式场地围网系统</w:t>
            </w:r>
            <w:r>
              <w:rPr>
                <w:rFonts w:hint="eastAsia" w:ascii="宋体" w:hAnsi="宋体" w:eastAsia="宋体"/>
                <w:b/>
                <w:bCs/>
                <w:sz w:val="21"/>
                <w:szCs w:val="21"/>
                <w:lang w:eastAsia="zh-CN"/>
              </w:rPr>
              <w:t>（</w:t>
            </w:r>
            <w:r>
              <w:rPr>
                <w:rFonts w:hint="eastAsia" w:ascii="宋体" w:hAnsi="宋体" w:eastAsia="宋体"/>
                <w:b/>
                <w:bCs/>
                <w:sz w:val="21"/>
                <w:szCs w:val="21"/>
                <w:lang w:val="en-US" w:eastAsia="zh-CN"/>
              </w:rPr>
              <w:t>核心产品）</w:t>
            </w:r>
          </w:p>
        </w:tc>
        <w:tc>
          <w:tcPr>
            <w:tcW w:w="1550" w:type="dxa"/>
            <w:noWrap w:val="0"/>
            <w:vAlign w:val="center"/>
          </w:tcPr>
          <w:p w14:paraId="65FC4FEC">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26BAAF2F">
            <w:pPr>
              <w:jc w:val="center"/>
              <w:rPr>
                <w:rFonts w:hint="eastAsia" w:ascii="宋体" w:hAnsi="宋体" w:eastAsia="宋体"/>
                <w:sz w:val="21"/>
                <w:szCs w:val="21"/>
              </w:rPr>
            </w:pPr>
            <w:r>
              <w:rPr>
                <w:rFonts w:hint="eastAsia" w:ascii="宋体" w:hAnsi="宋体" w:eastAsia="宋体"/>
                <w:sz w:val="21"/>
                <w:szCs w:val="21"/>
              </w:rPr>
              <w:t>1</w:t>
            </w:r>
          </w:p>
        </w:tc>
      </w:tr>
      <w:tr w14:paraId="700F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7A58ECEC">
            <w:pPr>
              <w:jc w:val="center"/>
              <w:rPr>
                <w:rFonts w:hint="eastAsia" w:ascii="宋体" w:hAnsi="宋体" w:eastAsia="宋体"/>
                <w:sz w:val="21"/>
                <w:szCs w:val="21"/>
              </w:rPr>
            </w:pPr>
            <w:r>
              <w:rPr>
                <w:rFonts w:hint="eastAsia" w:ascii="宋体" w:hAnsi="宋体" w:eastAsia="宋体"/>
                <w:sz w:val="21"/>
                <w:szCs w:val="21"/>
              </w:rPr>
              <w:t>32</w:t>
            </w:r>
          </w:p>
        </w:tc>
        <w:tc>
          <w:tcPr>
            <w:tcW w:w="5461" w:type="dxa"/>
            <w:noWrap w:val="0"/>
            <w:vAlign w:val="center"/>
          </w:tcPr>
          <w:p w14:paraId="22EBF977">
            <w:pPr>
              <w:jc w:val="center"/>
              <w:rPr>
                <w:rFonts w:hint="eastAsia" w:ascii="宋体" w:hAnsi="宋体" w:eastAsia="宋体"/>
                <w:sz w:val="21"/>
                <w:szCs w:val="21"/>
              </w:rPr>
            </w:pPr>
            <w:r>
              <w:rPr>
                <w:rFonts w:hint="eastAsia" w:ascii="宋体" w:hAnsi="宋体" w:eastAsia="宋体"/>
                <w:sz w:val="21"/>
                <w:szCs w:val="21"/>
              </w:rPr>
              <w:t>硅PU场地面层</w:t>
            </w:r>
          </w:p>
        </w:tc>
        <w:tc>
          <w:tcPr>
            <w:tcW w:w="1550" w:type="dxa"/>
            <w:noWrap w:val="0"/>
            <w:vAlign w:val="center"/>
          </w:tcPr>
          <w:p w14:paraId="02D679B0">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20852FBF">
            <w:pPr>
              <w:jc w:val="center"/>
              <w:rPr>
                <w:rFonts w:hint="eastAsia" w:ascii="宋体" w:hAnsi="宋体" w:eastAsia="宋体"/>
                <w:sz w:val="21"/>
                <w:szCs w:val="21"/>
              </w:rPr>
            </w:pPr>
            <w:r>
              <w:rPr>
                <w:rFonts w:hint="eastAsia" w:ascii="宋体" w:hAnsi="宋体" w:eastAsia="宋体"/>
                <w:sz w:val="21"/>
                <w:szCs w:val="21"/>
              </w:rPr>
              <w:t>1</w:t>
            </w:r>
          </w:p>
        </w:tc>
      </w:tr>
      <w:tr w14:paraId="4424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1FE93575">
            <w:pPr>
              <w:jc w:val="center"/>
              <w:rPr>
                <w:rFonts w:hint="eastAsia" w:ascii="宋体" w:hAnsi="宋体" w:eastAsia="宋体"/>
                <w:sz w:val="21"/>
                <w:szCs w:val="21"/>
              </w:rPr>
            </w:pPr>
            <w:r>
              <w:rPr>
                <w:rFonts w:hint="eastAsia" w:ascii="宋体" w:hAnsi="宋体" w:eastAsia="宋体"/>
                <w:sz w:val="21"/>
                <w:szCs w:val="21"/>
              </w:rPr>
              <w:t>33</w:t>
            </w:r>
          </w:p>
        </w:tc>
        <w:tc>
          <w:tcPr>
            <w:tcW w:w="5461" w:type="dxa"/>
            <w:noWrap w:val="0"/>
            <w:vAlign w:val="center"/>
          </w:tcPr>
          <w:p w14:paraId="0309751E">
            <w:pPr>
              <w:jc w:val="center"/>
              <w:rPr>
                <w:rFonts w:hint="eastAsia" w:ascii="宋体" w:hAnsi="宋体" w:eastAsia="宋体"/>
                <w:sz w:val="21"/>
                <w:szCs w:val="21"/>
              </w:rPr>
            </w:pPr>
            <w:r>
              <w:rPr>
                <w:rFonts w:hint="eastAsia" w:ascii="宋体" w:hAnsi="宋体" w:eastAsia="宋体"/>
                <w:sz w:val="21"/>
                <w:szCs w:val="21"/>
              </w:rPr>
              <w:t>足球场人造草坪</w:t>
            </w:r>
          </w:p>
        </w:tc>
        <w:tc>
          <w:tcPr>
            <w:tcW w:w="1550" w:type="dxa"/>
            <w:noWrap w:val="0"/>
            <w:vAlign w:val="center"/>
          </w:tcPr>
          <w:p w14:paraId="3A3CE3AB">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643F1E0F">
            <w:pPr>
              <w:jc w:val="center"/>
              <w:rPr>
                <w:rFonts w:hint="eastAsia" w:ascii="宋体" w:hAnsi="宋体" w:eastAsia="宋体"/>
                <w:sz w:val="21"/>
                <w:szCs w:val="21"/>
              </w:rPr>
            </w:pPr>
            <w:r>
              <w:rPr>
                <w:rFonts w:hint="eastAsia" w:ascii="宋体" w:hAnsi="宋体" w:eastAsia="宋体"/>
                <w:sz w:val="21"/>
                <w:szCs w:val="21"/>
              </w:rPr>
              <w:t>1</w:t>
            </w:r>
          </w:p>
        </w:tc>
      </w:tr>
      <w:tr w14:paraId="179C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219EA73D">
            <w:pPr>
              <w:jc w:val="center"/>
              <w:rPr>
                <w:rFonts w:hint="eastAsia" w:ascii="宋体" w:hAnsi="宋体" w:eastAsia="宋体"/>
                <w:sz w:val="21"/>
                <w:szCs w:val="21"/>
              </w:rPr>
            </w:pPr>
            <w:r>
              <w:rPr>
                <w:rFonts w:hint="eastAsia" w:ascii="宋体" w:hAnsi="宋体" w:eastAsia="宋体"/>
                <w:sz w:val="21"/>
                <w:szCs w:val="21"/>
              </w:rPr>
              <w:t>34</w:t>
            </w:r>
          </w:p>
        </w:tc>
        <w:tc>
          <w:tcPr>
            <w:tcW w:w="5461" w:type="dxa"/>
            <w:noWrap w:val="0"/>
            <w:vAlign w:val="center"/>
          </w:tcPr>
          <w:p w14:paraId="091EEB3C">
            <w:pPr>
              <w:jc w:val="center"/>
              <w:rPr>
                <w:rFonts w:hint="eastAsia" w:ascii="宋体" w:hAnsi="宋体" w:eastAsia="宋体"/>
                <w:sz w:val="21"/>
                <w:szCs w:val="21"/>
              </w:rPr>
            </w:pPr>
            <w:r>
              <w:rPr>
                <w:rFonts w:hint="eastAsia" w:ascii="宋体" w:hAnsi="宋体" w:eastAsia="宋体"/>
                <w:sz w:val="21"/>
                <w:szCs w:val="21"/>
              </w:rPr>
              <w:t>悬浮式拼装地板</w:t>
            </w:r>
          </w:p>
        </w:tc>
        <w:tc>
          <w:tcPr>
            <w:tcW w:w="1550" w:type="dxa"/>
            <w:noWrap w:val="0"/>
            <w:vAlign w:val="center"/>
          </w:tcPr>
          <w:p w14:paraId="1D628345">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2BF758ED">
            <w:pPr>
              <w:jc w:val="center"/>
              <w:rPr>
                <w:rFonts w:hint="eastAsia" w:ascii="宋体" w:hAnsi="宋体" w:eastAsia="宋体"/>
                <w:sz w:val="21"/>
                <w:szCs w:val="21"/>
              </w:rPr>
            </w:pPr>
            <w:r>
              <w:rPr>
                <w:rFonts w:hint="eastAsia" w:ascii="宋体" w:hAnsi="宋体" w:eastAsia="宋体"/>
                <w:sz w:val="21"/>
                <w:szCs w:val="21"/>
              </w:rPr>
              <w:t>1</w:t>
            </w:r>
          </w:p>
        </w:tc>
      </w:tr>
      <w:tr w14:paraId="11BF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3E559B69">
            <w:pPr>
              <w:jc w:val="center"/>
              <w:rPr>
                <w:rFonts w:hint="eastAsia" w:ascii="宋体" w:hAnsi="宋体" w:eastAsia="宋体"/>
                <w:sz w:val="21"/>
                <w:szCs w:val="21"/>
              </w:rPr>
            </w:pPr>
            <w:r>
              <w:rPr>
                <w:rFonts w:hint="eastAsia" w:ascii="宋体" w:hAnsi="宋体" w:eastAsia="宋体"/>
                <w:sz w:val="21"/>
                <w:szCs w:val="21"/>
              </w:rPr>
              <w:t>35</w:t>
            </w:r>
          </w:p>
        </w:tc>
        <w:tc>
          <w:tcPr>
            <w:tcW w:w="5461" w:type="dxa"/>
            <w:noWrap w:val="0"/>
            <w:vAlign w:val="center"/>
          </w:tcPr>
          <w:p w14:paraId="68C92392">
            <w:pPr>
              <w:jc w:val="center"/>
              <w:rPr>
                <w:rFonts w:hint="eastAsia" w:ascii="宋体" w:hAnsi="宋体" w:eastAsia="宋体"/>
                <w:sz w:val="21"/>
                <w:szCs w:val="21"/>
              </w:rPr>
            </w:pPr>
            <w:r>
              <w:rPr>
                <w:rFonts w:hint="eastAsia" w:ascii="宋体" w:hAnsi="宋体" w:eastAsia="宋体"/>
                <w:sz w:val="21"/>
                <w:szCs w:val="21"/>
              </w:rPr>
              <w:t>小轮车场地围网</w:t>
            </w:r>
          </w:p>
        </w:tc>
        <w:tc>
          <w:tcPr>
            <w:tcW w:w="1550" w:type="dxa"/>
            <w:noWrap w:val="0"/>
            <w:vAlign w:val="center"/>
          </w:tcPr>
          <w:p w14:paraId="2D936E3C">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1C8C7F6B">
            <w:pPr>
              <w:jc w:val="center"/>
              <w:rPr>
                <w:rFonts w:hint="eastAsia" w:ascii="宋体" w:hAnsi="宋体" w:eastAsia="宋体"/>
                <w:sz w:val="21"/>
                <w:szCs w:val="21"/>
              </w:rPr>
            </w:pPr>
            <w:r>
              <w:rPr>
                <w:rFonts w:hint="eastAsia" w:ascii="宋体" w:hAnsi="宋体" w:eastAsia="宋体"/>
                <w:sz w:val="21"/>
                <w:szCs w:val="21"/>
              </w:rPr>
              <w:t>1</w:t>
            </w:r>
          </w:p>
        </w:tc>
      </w:tr>
      <w:tr w14:paraId="6FFC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47A8799A">
            <w:pPr>
              <w:jc w:val="center"/>
              <w:rPr>
                <w:rFonts w:hint="eastAsia" w:ascii="宋体" w:hAnsi="宋体" w:eastAsia="宋体"/>
                <w:sz w:val="21"/>
                <w:szCs w:val="21"/>
              </w:rPr>
            </w:pPr>
            <w:r>
              <w:rPr>
                <w:rFonts w:hint="eastAsia" w:ascii="宋体" w:hAnsi="宋体" w:eastAsia="宋体"/>
                <w:sz w:val="21"/>
                <w:szCs w:val="21"/>
              </w:rPr>
              <w:t>36</w:t>
            </w:r>
          </w:p>
        </w:tc>
        <w:tc>
          <w:tcPr>
            <w:tcW w:w="5461" w:type="dxa"/>
            <w:noWrap w:val="0"/>
            <w:vAlign w:val="center"/>
          </w:tcPr>
          <w:p w14:paraId="7ADF9BDC">
            <w:pPr>
              <w:jc w:val="center"/>
              <w:rPr>
                <w:rFonts w:hint="eastAsia" w:ascii="宋体" w:hAnsi="宋体" w:eastAsia="宋体"/>
                <w:sz w:val="21"/>
                <w:szCs w:val="21"/>
              </w:rPr>
            </w:pPr>
            <w:r>
              <w:rPr>
                <w:rFonts w:hint="eastAsia" w:ascii="宋体" w:hAnsi="宋体" w:eastAsia="宋体"/>
                <w:sz w:val="21"/>
                <w:szCs w:val="21"/>
              </w:rPr>
              <w:t>篮球架</w:t>
            </w:r>
          </w:p>
        </w:tc>
        <w:tc>
          <w:tcPr>
            <w:tcW w:w="1550" w:type="dxa"/>
            <w:noWrap w:val="0"/>
            <w:vAlign w:val="center"/>
          </w:tcPr>
          <w:p w14:paraId="677DBA9E">
            <w:pPr>
              <w:jc w:val="center"/>
              <w:rPr>
                <w:rFonts w:hint="eastAsia" w:ascii="宋体" w:hAnsi="宋体" w:eastAsia="宋体"/>
                <w:sz w:val="21"/>
                <w:szCs w:val="21"/>
              </w:rPr>
            </w:pPr>
            <w:r>
              <w:rPr>
                <w:rFonts w:hint="eastAsia" w:ascii="宋体" w:hAnsi="宋体" w:eastAsia="宋体"/>
                <w:sz w:val="21"/>
                <w:szCs w:val="21"/>
              </w:rPr>
              <w:t>副</w:t>
            </w:r>
          </w:p>
        </w:tc>
        <w:tc>
          <w:tcPr>
            <w:tcW w:w="1165" w:type="dxa"/>
            <w:noWrap w:val="0"/>
            <w:vAlign w:val="center"/>
          </w:tcPr>
          <w:p w14:paraId="341FC2B5">
            <w:pPr>
              <w:jc w:val="center"/>
              <w:rPr>
                <w:rFonts w:hint="eastAsia" w:ascii="宋体" w:hAnsi="宋体" w:eastAsia="宋体"/>
                <w:sz w:val="21"/>
                <w:szCs w:val="21"/>
              </w:rPr>
            </w:pPr>
            <w:r>
              <w:rPr>
                <w:rFonts w:hint="eastAsia" w:ascii="宋体" w:hAnsi="宋体" w:eastAsia="宋体"/>
                <w:sz w:val="21"/>
                <w:szCs w:val="21"/>
              </w:rPr>
              <w:t>3</w:t>
            </w:r>
          </w:p>
        </w:tc>
      </w:tr>
      <w:tr w14:paraId="50E4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61C8D01">
            <w:pPr>
              <w:jc w:val="center"/>
              <w:rPr>
                <w:rFonts w:hint="eastAsia" w:ascii="宋体" w:hAnsi="宋体" w:eastAsia="宋体"/>
                <w:sz w:val="21"/>
                <w:szCs w:val="21"/>
              </w:rPr>
            </w:pPr>
            <w:r>
              <w:rPr>
                <w:rFonts w:hint="eastAsia" w:ascii="宋体" w:hAnsi="宋体" w:eastAsia="宋体"/>
                <w:sz w:val="21"/>
                <w:szCs w:val="21"/>
              </w:rPr>
              <w:t>37</w:t>
            </w:r>
          </w:p>
        </w:tc>
        <w:tc>
          <w:tcPr>
            <w:tcW w:w="5461" w:type="dxa"/>
            <w:noWrap w:val="0"/>
            <w:vAlign w:val="center"/>
          </w:tcPr>
          <w:p w14:paraId="2FDFE694">
            <w:pPr>
              <w:jc w:val="center"/>
              <w:rPr>
                <w:rFonts w:hint="eastAsia" w:ascii="宋体" w:hAnsi="宋体" w:eastAsia="宋体"/>
                <w:sz w:val="21"/>
                <w:szCs w:val="21"/>
              </w:rPr>
            </w:pPr>
            <w:r>
              <w:rPr>
                <w:rFonts w:hint="eastAsia" w:ascii="宋体" w:hAnsi="宋体" w:eastAsia="宋体"/>
                <w:sz w:val="21"/>
                <w:szCs w:val="21"/>
              </w:rPr>
              <w:t>五人制足球门</w:t>
            </w:r>
          </w:p>
        </w:tc>
        <w:tc>
          <w:tcPr>
            <w:tcW w:w="1550" w:type="dxa"/>
            <w:noWrap w:val="0"/>
            <w:vAlign w:val="center"/>
          </w:tcPr>
          <w:p w14:paraId="6B579896">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01023A2D">
            <w:pPr>
              <w:jc w:val="center"/>
              <w:rPr>
                <w:rFonts w:hint="eastAsia" w:ascii="宋体" w:hAnsi="宋体" w:eastAsia="宋体"/>
                <w:sz w:val="21"/>
                <w:szCs w:val="21"/>
              </w:rPr>
            </w:pPr>
            <w:r>
              <w:rPr>
                <w:rFonts w:hint="eastAsia" w:ascii="宋体" w:hAnsi="宋体" w:eastAsia="宋体"/>
                <w:sz w:val="21"/>
                <w:szCs w:val="21"/>
              </w:rPr>
              <w:t>1</w:t>
            </w:r>
          </w:p>
        </w:tc>
      </w:tr>
      <w:tr w14:paraId="11C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21" w:type="dxa"/>
            <w:noWrap w:val="0"/>
            <w:vAlign w:val="center"/>
          </w:tcPr>
          <w:p w14:paraId="032C4FAE">
            <w:pPr>
              <w:jc w:val="center"/>
              <w:rPr>
                <w:rFonts w:hint="eastAsia" w:ascii="宋体" w:hAnsi="宋体" w:eastAsia="宋体"/>
                <w:sz w:val="21"/>
                <w:szCs w:val="21"/>
              </w:rPr>
            </w:pPr>
            <w:r>
              <w:rPr>
                <w:rFonts w:hint="eastAsia" w:ascii="宋体" w:hAnsi="宋体" w:eastAsia="宋体"/>
                <w:sz w:val="21"/>
                <w:szCs w:val="21"/>
              </w:rPr>
              <w:t>38</w:t>
            </w:r>
          </w:p>
        </w:tc>
        <w:tc>
          <w:tcPr>
            <w:tcW w:w="5461" w:type="dxa"/>
            <w:noWrap w:val="0"/>
            <w:vAlign w:val="center"/>
          </w:tcPr>
          <w:p w14:paraId="0AF9088E">
            <w:pPr>
              <w:jc w:val="center"/>
              <w:rPr>
                <w:rFonts w:hint="eastAsia" w:ascii="宋体" w:hAnsi="宋体" w:eastAsia="宋体"/>
                <w:sz w:val="21"/>
                <w:szCs w:val="21"/>
              </w:rPr>
            </w:pPr>
            <w:r>
              <w:rPr>
                <w:rFonts w:hint="eastAsia" w:ascii="宋体" w:hAnsi="宋体" w:eastAsia="宋体"/>
                <w:sz w:val="21"/>
                <w:szCs w:val="21"/>
              </w:rPr>
              <w:t>移动式网球柱</w:t>
            </w:r>
          </w:p>
        </w:tc>
        <w:tc>
          <w:tcPr>
            <w:tcW w:w="1550" w:type="dxa"/>
            <w:noWrap w:val="0"/>
            <w:vAlign w:val="center"/>
          </w:tcPr>
          <w:p w14:paraId="16A51E33">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2A8CFF50">
            <w:pPr>
              <w:jc w:val="center"/>
              <w:rPr>
                <w:rFonts w:hint="eastAsia" w:ascii="宋体" w:hAnsi="宋体" w:eastAsia="宋体"/>
                <w:sz w:val="21"/>
                <w:szCs w:val="21"/>
              </w:rPr>
            </w:pPr>
            <w:r>
              <w:rPr>
                <w:rFonts w:hint="eastAsia" w:ascii="宋体" w:hAnsi="宋体" w:eastAsia="宋体"/>
                <w:sz w:val="21"/>
                <w:szCs w:val="21"/>
              </w:rPr>
              <w:t>2</w:t>
            </w:r>
          </w:p>
        </w:tc>
      </w:tr>
      <w:tr w14:paraId="3AEC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6B9C0B7A">
            <w:pPr>
              <w:jc w:val="center"/>
              <w:rPr>
                <w:rFonts w:hint="eastAsia" w:ascii="宋体" w:hAnsi="宋体" w:eastAsia="宋体"/>
                <w:sz w:val="21"/>
                <w:szCs w:val="21"/>
              </w:rPr>
            </w:pPr>
            <w:r>
              <w:rPr>
                <w:rFonts w:hint="eastAsia" w:ascii="宋体" w:hAnsi="宋体" w:eastAsia="宋体"/>
                <w:sz w:val="21"/>
                <w:szCs w:val="21"/>
              </w:rPr>
              <w:t>39</w:t>
            </w:r>
          </w:p>
        </w:tc>
        <w:tc>
          <w:tcPr>
            <w:tcW w:w="5461" w:type="dxa"/>
            <w:noWrap w:val="0"/>
            <w:vAlign w:val="center"/>
          </w:tcPr>
          <w:p w14:paraId="5314D0BF">
            <w:pPr>
              <w:jc w:val="center"/>
              <w:rPr>
                <w:rFonts w:hint="eastAsia" w:ascii="宋体" w:hAnsi="宋体" w:eastAsia="宋体"/>
                <w:sz w:val="21"/>
                <w:szCs w:val="21"/>
              </w:rPr>
            </w:pPr>
            <w:r>
              <w:rPr>
                <w:rFonts w:hint="eastAsia" w:ascii="宋体" w:hAnsi="宋体" w:eastAsia="宋体"/>
                <w:sz w:val="21"/>
                <w:szCs w:val="21"/>
              </w:rPr>
              <w:t>移动式匹克球网架</w:t>
            </w:r>
          </w:p>
        </w:tc>
        <w:tc>
          <w:tcPr>
            <w:tcW w:w="1550" w:type="dxa"/>
            <w:noWrap w:val="0"/>
            <w:vAlign w:val="center"/>
          </w:tcPr>
          <w:p w14:paraId="3324D4C1">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2C5D053C">
            <w:pPr>
              <w:jc w:val="center"/>
              <w:rPr>
                <w:rFonts w:hint="eastAsia" w:ascii="宋体" w:hAnsi="宋体" w:eastAsia="宋体"/>
                <w:sz w:val="21"/>
                <w:szCs w:val="21"/>
              </w:rPr>
            </w:pPr>
            <w:r>
              <w:rPr>
                <w:rFonts w:hint="eastAsia" w:ascii="宋体" w:hAnsi="宋体" w:eastAsia="宋体"/>
                <w:sz w:val="21"/>
                <w:szCs w:val="21"/>
              </w:rPr>
              <w:t>2</w:t>
            </w:r>
          </w:p>
        </w:tc>
      </w:tr>
      <w:tr w14:paraId="68EA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50BA675D">
            <w:pPr>
              <w:jc w:val="center"/>
              <w:rPr>
                <w:rFonts w:hint="eastAsia" w:ascii="宋体" w:hAnsi="宋体" w:eastAsia="宋体"/>
                <w:sz w:val="21"/>
                <w:szCs w:val="21"/>
              </w:rPr>
            </w:pPr>
            <w:r>
              <w:rPr>
                <w:rFonts w:hint="eastAsia" w:ascii="宋体" w:hAnsi="宋体" w:eastAsia="宋体"/>
                <w:sz w:val="21"/>
                <w:szCs w:val="21"/>
              </w:rPr>
              <w:t>40</w:t>
            </w:r>
          </w:p>
        </w:tc>
        <w:tc>
          <w:tcPr>
            <w:tcW w:w="5461" w:type="dxa"/>
            <w:noWrap w:val="0"/>
            <w:vAlign w:val="center"/>
          </w:tcPr>
          <w:p w14:paraId="48FF93E7">
            <w:pPr>
              <w:jc w:val="center"/>
              <w:rPr>
                <w:rFonts w:hint="eastAsia" w:ascii="宋体" w:hAnsi="宋体" w:eastAsia="宋体"/>
                <w:sz w:val="21"/>
                <w:szCs w:val="21"/>
              </w:rPr>
            </w:pPr>
            <w:r>
              <w:rPr>
                <w:rFonts w:hint="eastAsia" w:ascii="宋体" w:hAnsi="宋体" w:eastAsia="宋体"/>
                <w:sz w:val="21"/>
                <w:szCs w:val="21"/>
              </w:rPr>
              <w:t>移动式排球柱</w:t>
            </w:r>
          </w:p>
        </w:tc>
        <w:tc>
          <w:tcPr>
            <w:tcW w:w="1550" w:type="dxa"/>
            <w:noWrap w:val="0"/>
            <w:vAlign w:val="center"/>
          </w:tcPr>
          <w:p w14:paraId="65313134">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784C00BE">
            <w:pPr>
              <w:jc w:val="center"/>
              <w:rPr>
                <w:rFonts w:hint="eastAsia" w:ascii="宋体" w:hAnsi="宋体" w:eastAsia="宋体"/>
                <w:sz w:val="21"/>
                <w:szCs w:val="21"/>
              </w:rPr>
            </w:pPr>
            <w:r>
              <w:rPr>
                <w:rFonts w:hint="eastAsia" w:ascii="宋体" w:hAnsi="宋体" w:eastAsia="宋体"/>
                <w:sz w:val="21"/>
                <w:szCs w:val="21"/>
              </w:rPr>
              <w:t>1</w:t>
            </w:r>
          </w:p>
        </w:tc>
      </w:tr>
      <w:tr w14:paraId="152C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1" w:type="dxa"/>
            <w:noWrap w:val="0"/>
            <w:vAlign w:val="center"/>
          </w:tcPr>
          <w:p w14:paraId="710C6BBA">
            <w:pPr>
              <w:jc w:val="center"/>
              <w:rPr>
                <w:rFonts w:hint="eastAsia" w:ascii="宋体" w:hAnsi="宋体" w:eastAsia="宋体"/>
                <w:sz w:val="21"/>
                <w:szCs w:val="21"/>
              </w:rPr>
            </w:pPr>
            <w:r>
              <w:rPr>
                <w:rFonts w:hint="eastAsia" w:ascii="宋体" w:hAnsi="宋体" w:eastAsia="宋体"/>
                <w:sz w:val="21"/>
                <w:szCs w:val="21"/>
              </w:rPr>
              <w:t>41</w:t>
            </w:r>
          </w:p>
        </w:tc>
        <w:tc>
          <w:tcPr>
            <w:tcW w:w="5461" w:type="dxa"/>
            <w:noWrap w:val="0"/>
            <w:vAlign w:val="center"/>
          </w:tcPr>
          <w:p w14:paraId="43EF633C">
            <w:pPr>
              <w:jc w:val="center"/>
              <w:rPr>
                <w:rFonts w:hint="eastAsia" w:ascii="宋体" w:hAnsi="宋体" w:eastAsia="宋体"/>
                <w:sz w:val="21"/>
                <w:szCs w:val="21"/>
              </w:rPr>
            </w:pPr>
            <w:r>
              <w:rPr>
                <w:rFonts w:hint="eastAsia" w:ascii="宋体" w:hAnsi="宋体" w:eastAsia="宋体"/>
                <w:sz w:val="21"/>
                <w:szCs w:val="21"/>
              </w:rPr>
              <w:t>移动式羽毛球网架</w:t>
            </w:r>
          </w:p>
        </w:tc>
        <w:tc>
          <w:tcPr>
            <w:tcW w:w="1550" w:type="dxa"/>
            <w:noWrap w:val="0"/>
            <w:vAlign w:val="center"/>
          </w:tcPr>
          <w:p w14:paraId="51A62366">
            <w:pPr>
              <w:jc w:val="center"/>
              <w:rPr>
                <w:rFonts w:hint="eastAsia" w:ascii="宋体" w:hAnsi="宋体" w:eastAsia="宋体"/>
                <w:sz w:val="21"/>
                <w:szCs w:val="21"/>
              </w:rPr>
            </w:pPr>
            <w:r>
              <w:rPr>
                <w:rFonts w:hint="eastAsia" w:ascii="宋体" w:hAnsi="宋体" w:eastAsia="宋体"/>
                <w:sz w:val="21"/>
                <w:szCs w:val="21"/>
              </w:rPr>
              <w:t>套</w:t>
            </w:r>
          </w:p>
        </w:tc>
        <w:tc>
          <w:tcPr>
            <w:tcW w:w="1165" w:type="dxa"/>
            <w:noWrap w:val="0"/>
            <w:vAlign w:val="center"/>
          </w:tcPr>
          <w:p w14:paraId="0B7ECEA6">
            <w:pPr>
              <w:jc w:val="center"/>
              <w:rPr>
                <w:rFonts w:hint="eastAsia" w:ascii="宋体" w:hAnsi="宋体" w:eastAsia="宋体"/>
                <w:sz w:val="21"/>
                <w:szCs w:val="21"/>
              </w:rPr>
            </w:pPr>
            <w:r>
              <w:rPr>
                <w:rFonts w:hint="eastAsia" w:ascii="宋体" w:hAnsi="宋体" w:eastAsia="宋体"/>
                <w:sz w:val="21"/>
                <w:szCs w:val="21"/>
              </w:rPr>
              <w:t>2</w:t>
            </w:r>
          </w:p>
        </w:tc>
      </w:tr>
      <w:tr w14:paraId="7BC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21" w:type="dxa"/>
            <w:noWrap w:val="0"/>
            <w:vAlign w:val="center"/>
          </w:tcPr>
          <w:p w14:paraId="0E936726">
            <w:pPr>
              <w:jc w:val="center"/>
              <w:rPr>
                <w:rFonts w:hint="eastAsia" w:ascii="宋体" w:hAnsi="宋体" w:eastAsia="宋体"/>
                <w:sz w:val="21"/>
                <w:szCs w:val="21"/>
              </w:rPr>
            </w:pPr>
            <w:r>
              <w:rPr>
                <w:rFonts w:hint="eastAsia" w:ascii="宋体" w:hAnsi="宋体" w:eastAsia="宋体"/>
                <w:sz w:val="21"/>
                <w:szCs w:val="21"/>
              </w:rPr>
              <w:t>42</w:t>
            </w:r>
          </w:p>
        </w:tc>
        <w:tc>
          <w:tcPr>
            <w:tcW w:w="5461" w:type="dxa"/>
            <w:noWrap w:val="0"/>
            <w:vAlign w:val="center"/>
          </w:tcPr>
          <w:p w14:paraId="74F0CE27">
            <w:pPr>
              <w:jc w:val="center"/>
              <w:rPr>
                <w:rFonts w:hint="eastAsia" w:ascii="宋体" w:hAnsi="宋体" w:eastAsia="宋体"/>
                <w:sz w:val="21"/>
                <w:szCs w:val="21"/>
              </w:rPr>
            </w:pPr>
            <w:r>
              <w:rPr>
                <w:rFonts w:hint="eastAsia" w:ascii="宋体" w:hAnsi="宋体" w:eastAsia="宋体"/>
                <w:sz w:val="21"/>
                <w:szCs w:val="21"/>
              </w:rPr>
              <w:t>室外乒乓球台</w:t>
            </w:r>
          </w:p>
        </w:tc>
        <w:tc>
          <w:tcPr>
            <w:tcW w:w="1550" w:type="dxa"/>
            <w:noWrap w:val="0"/>
            <w:vAlign w:val="center"/>
          </w:tcPr>
          <w:p w14:paraId="39BC194C">
            <w:pPr>
              <w:jc w:val="center"/>
              <w:rPr>
                <w:rFonts w:hint="eastAsia" w:ascii="宋体" w:hAnsi="宋体" w:eastAsia="宋体"/>
                <w:sz w:val="21"/>
                <w:szCs w:val="21"/>
              </w:rPr>
            </w:pPr>
            <w:r>
              <w:rPr>
                <w:rFonts w:hint="eastAsia" w:ascii="宋体" w:hAnsi="宋体" w:eastAsia="宋体"/>
                <w:sz w:val="21"/>
                <w:szCs w:val="21"/>
              </w:rPr>
              <w:t>张</w:t>
            </w:r>
          </w:p>
        </w:tc>
        <w:tc>
          <w:tcPr>
            <w:tcW w:w="1165" w:type="dxa"/>
            <w:noWrap w:val="0"/>
            <w:vAlign w:val="center"/>
          </w:tcPr>
          <w:p w14:paraId="12030395">
            <w:pPr>
              <w:jc w:val="center"/>
              <w:rPr>
                <w:rFonts w:hint="eastAsia" w:ascii="宋体" w:hAnsi="宋体" w:eastAsia="宋体"/>
                <w:sz w:val="21"/>
                <w:szCs w:val="21"/>
              </w:rPr>
            </w:pPr>
            <w:r>
              <w:rPr>
                <w:rFonts w:hint="eastAsia" w:ascii="宋体" w:hAnsi="宋体" w:eastAsia="宋体"/>
                <w:sz w:val="21"/>
                <w:szCs w:val="21"/>
              </w:rPr>
              <w:t>4</w:t>
            </w:r>
          </w:p>
        </w:tc>
      </w:tr>
    </w:tbl>
    <w:p w14:paraId="602EA430">
      <w:pPr>
        <w:pStyle w:val="6"/>
        <w:numPr>
          <w:ilvl w:val="0"/>
          <w:numId w:val="0"/>
        </w:numPr>
        <w:snapToGrid w:val="0"/>
        <w:spacing w:before="240" w:line="360" w:lineRule="auto"/>
        <w:ind w:leftChars="0"/>
        <w:rPr>
          <w:rFonts w:hint="eastAsia" w:ascii="宋体" w:hAnsi="宋体" w:eastAsia="宋体"/>
          <w:b/>
          <w:bCs/>
          <w:sz w:val="28"/>
          <w:szCs w:val="28"/>
        </w:rPr>
      </w:pPr>
      <w:r>
        <w:rPr>
          <w:rFonts w:hint="eastAsia" w:ascii="宋体" w:hAnsi="宋体" w:eastAsia="宋体"/>
          <w:b/>
          <w:bCs/>
          <w:sz w:val="28"/>
          <w:szCs w:val="28"/>
          <w:lang w:val="en-US" w:eastAsia="zh-CN"/>
        </w:rPr>
        <w:t>二、</w:t>
      </w:r>
      <w:r>
        <w:rPr>
          <w:rFonts w:hint="eastAsia" w:ascii="宋体" w:hAnsi="宋体" w:eastAsia="宋体"/>
          <w:b/>
          <w:bCs/>
          <w:sz w:val="28"/>
          <w:szCs w:val="28"/>
        </w:rPr>
        <w:t>技术参数</w:t>
      </w:r>
    </w:p>
    <w:p w14:paraId="1F936BC8">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智能互动大屏</w:t>
      </w:r>
    </w:p>
    <w:p w14:paraId="10334D24">
      <w:pPr>
        <w:pStyle w:val="7"/>
        <w:widowControl/>
        <w:numPr>
          <w:ilvl w:val="0"/>
          <w:numId w:val="2"/>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面板类型:不小于65寸高亮液晶显示屏，不少于10点触摸，显示比例16:9；</w:t>
      </w:r>
    </w:p>
    <w:p w14:paraId="158752EE">
      <w:pPr>
        <w:pStyle w:val="7"/>
        <w:widowControl/>
        <w:numPr>
          <w:ilvl w:val="0"/>
          <w:numId w:val="2"/>
        </w:numPr>
        <w:adjustRightInd w:val="0"/>
        <w:snapToGrid w:val="0"/>
        <w:spacing w:line="360" w:lineRule="auto"/>
        <w:ind w:firstLineChars="0"/>
        <w:jc w:val="left"/>
        <w:rPr>
          <w:rFonts w:hint="eastAsia" w:ascii="宋体" w:hAnsi="宋体"/>
          <w:szCs w:val="21"/>
        </w:rPr>
      </w:pPr>
      <w:r>
        <w:rPr>
          <w:rFonts w:hint="eastAsia" w:ascii="宋体" w:hAnsi="宋体"/>
          <w:szCs w:val="21"/>
        </w:rPr>
        <w:t>屏幕分辨率不低于1920×1080P；</w:t>
      </w:r>
    </w:p>
    <w:p w14:paraId="06746CFE">
      <w:pPr>
        <w:pStyle w:val="7"/>
        <w:widowControl/>
        <w:numPr>
          <w:ilvl w:val="0"/>
          <w:numId w:val="2"/>
        </w:numPr>
        <w:adjustRightInd w:val="0"/>
        <w:snapToGrid w:val="0"/>
        <w:spacing w:line="360" w:lineRule="auto"/>
        <w:ind w:firstLineChars="0"/>
        <w:jc w:val="left"/>
        <w:rPr>
          <w:rFonts w:hint="eastAsia" w:ascii="宋体" w:hAnsi="宋体"/>
          <w:szCs w:val="21"/>
        </w:rPr>
      </w:pPr>
      <w:r>
        <w:rPr>
          <w:rFonts w:hint="eastAsia" w:ascii="宋体" w:hAnsi="宋体"/>
          <w:szCs w:val="21"/>
        </w:rPr>
        <w:t>使用寿命: 不少于50000小时，亮度：不低于2000nit；</w:t>
      </w:r>
    </w:p>
    <w:p w14:paraId="1E57B236">
      <w:pPr>
        <w:pStyle w:val="7"/>
        <w:widowControl/>
        <w:numPr>
          <w:ilvl w:val="0"/>
          <w:numId w:val="2"/>
        </w:numPr>
        <w:adjustRightInd w:val="0"/>
        <w:snapToGrid w:val="0"/>
        <w:spacing w:line="360" w:lineRule="auto"/>
        <w:ind w:firstLineChars="0"/>
        <w:jc w:val="left"/>
        <w:rPr>
          <w:rFonts w:hint="eastAsia" w:ascii="宋体" w:hAnsi="宋体"/>
          <w:szCs w:val="21"/>
        </w:rPr>
      </w:pPr>
      <w:r>
        <w:rPr>
          <w:rFonts w:hint="eastAsia" w:ascii="宋体" w:hAnsi="宋体"/>
          <w:szCs w:val="21"/>
        </w:rPr>
        <w:t>外观结构：钣金外壳镀锌钢板厚度不小于1.5mm；内层喷涂富锌底粉，表层喷氟碳漆保护；防护玻璃采用厚度不小于6MM高透钢化玻璃，透光率不小于97%；</w:t>
      </w:r>
    </w:p>
    <w:p w14:paraId="6DCBC617">
      <w:pPr>
        <w:pStyle w:val="7"/>
        <w:widowControl/>
        <w:numPr>
          <w:ilvl w:val="0"/>
          <w:numId w:val="2"/>
        </w:numPr>
        <w:adjustRightInd w:val="0"/>
        <w:snapToGrid w:val="0"/>
        <w:spacing w:line="360" w:lineRule="auto"/>
        <w:ind w:firstLineChars="0"/>
        <w:jc w:val="left"/>
        <w:rPr>
          <w:rFonts w:hint="eastAsia" w:ascii="宋体" w:hAnsi="宋体"/>
          <w:szCs w:val="21"/>
        </w:rPr>
      </w:pPr>
      <w:r>
        <w:rPr>
          <w:rFonts w:hint="eastAsia" w:ascii="宋体" w:hAnsi="宋体"/>
          <w:szCs w:val="21"/>
        </w:rPr>
        <w:t>硬件配置：</w:t>
      </w:r>
    </w:p>
    <w:p w14:paraId="29DB267E">
      <w:pPr>
        <w:pStyle w:val="7"/>
        <w:widowControl/>
        <w:adjustRightInd w:val="0"/>
        <w:snapToGrid w:val="0"/>
        <w:spacing w:line="360" w:lineRule="auto"/>
        <w:ind w:left="420" w:firstLine="0" w:firstLineChars="0"/>
        <w:jc w:val="left"/>
        <w:rPr>
          <w:rFonts w:hint="eastAsia" w:ascii="宋体" w:hAnsi="宋体"/>
          <w:szCs w:val="21"/>
        </w:rPr>
      </w:pPr>
      <w:r>
        <w:rPr>
          <w:rFonts w:hint="eastAsia" w:ascii="宋体" w:hAnsi="宋体"/>
          <w:szCs w:val="21"/>
        </w:rPr>
        <w:t>电控系统：带漏电保护开关、漏电保护、过压保护；</w:t>
      </w:r>
    </w:p>
    <w:p w14:paraId="48441178">
      <w:pPr>
        <w:pStyle w:val="7"/>
        <w:widowControl/>
        <w:adjustRightInd w:val="0"/>
        <w:snapToGrid w:val="0"/>
        <w:spacing w:line="360" w:lineRule="auto"/>
        <w:ind w:left="420" w:firstLine="0" w:firstLineChars="0"/>
        <w:jc w:val="left"/>
        <w:rPr>
          <w:rFonts w:hint="eastAsia" w:ascii="宋体" w:hAnsi="宋体"/>
          <w:szCs w:val="21"/>
        </w:rPr>
      </w:pPr>
      <w:r>
        <w:rPr>
          <w:rFonts w:hint="eastAsia" w:ascii="宋体" w:hAnsi="宋体"/>
          <w:szCs w:val="21"/>
        </w:rPr>
        <w:t>防雷器：防雷等级不低于C级；</w:t>
      </w:r>
    </w:p>
    <w:p w14:paraId="7922356E">
      <w:pPr>
        <w:pStyle w:val="7"/>
        <w:widowControl/>
        <w:adjustRightInd w:val="0"/>
        <w:snapToGrid w:val="0"/>
        <w:spacing w:line="360" w:lineRule="auto"/>
        <w:ind w:left="420" w:firstLine="0" w:firstLineChars="0"/>
        <w:jc w:val="left"/>
        <w:rPr>
          <w:rFonts w:hint="eastAsia" w:ascii="宋体" w:hAnsi="宋体"/>
          <w:szCs w:val="21"/>
        </w:rPr>
      </w:pPr>
      <w:r>
        <w:rPr>
          <w:rFonts w:hint="eastAsia" w:ascii="宋体" w:hAnsi="宋体"/>
          <w:szCs w:val="21"/>
        </w:rPr>
        <w:t>开关电源：单相交流电，户外专业电源；</w:t>
      </w:r>
    </w:p>
    <w:p w14:paraId="154CC93A">
      <w:pPr>
        <w:pStyle w:val="7"/>
        <w:widowControl/>
        <w:adjustRightInd w:val="0"/>
        <w:snapToGrid w:val="0"/>
        <w:spacing w:line="360" w:lineRule="auto"/>
        <w:ind w:left="420" w:firstLine="0" w:firstLineChars="0"/>
        <w:jc w:val="left"/>
        <w:rPr>
          <w:rFonts w:hint="eastAsia" w:ascii="宋体" w:hAnsi="宋体"/>
          <w:szCs w:val="21"/>
        </w:rPr>
      </w:pPr>
      <w:r>
        <w:rPr>
          <w:rFonts w:hint="eastAsia" w:ascii="宋体" w:hAnsi="宋体"/>
          <w:szCs w:val="21"/>
        </w:rPr>
        <w:t>人脸识别摄像头：摄像头分辨率不低于1920×1080高清无变形。</w:t>
      </w:r>
    </w:p>
    <w:p w14:paraId="66E1A1D3">
      <w:pPr>
        <w:pStyle w:val="7"/>
        <w:widowControl/>
        <w:adjustRightInd w:val="0"/>
        <w:snapToGrid w:val="0"/>
        <w:spacing w:line="360" w:lineRule="auto"/>
        <w:ind w:left="420" w:firstLine="0" w:firstLineChars="0"/>
        <w:jc w:val="left"/>
        <w:rPr>
          <w:rFonts w:hint="eastAsia" w:ascii="宋体" w:hAnsi="宋体"/>
          <w:szCs w:val="21"/>
        </w:rPr>
      </w:pPr>
      <w:r>
        <w:rPr>
          <w:rFonts w:hint="eastAsia" w:ascii="宋体" w:hAnsi="宋体"/>
          <w:szCs w:val="21"/>
        </w:rPr>
        <w:t>喇叭：不少于2个10W/8Ω喇叭。</w:t>
      </w:r>
    </w:p>
    <w:p w14:paraId="22E97201">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智能AI采集柱（双向）</w:t>
      </w:r>
    </w:p>
    <w:p w14:paraId="4C54EA0C">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szCs w:val="21"/>
        </w:rPr>
        <w:t>智能AI摄像头双向设置；</w:t>
      </w:r>
    </w:p>
    <w:p w14:paraId="0F71BD28">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szCs w:val="21"/>
        </w:rPr>
        <w:t>智能AI采集柱集成不小于21.5寸高亮液晶显示屏；显示比例：16:9 ；</w:t>
      </w:r>
    </w:p>
    <w:p w14:paraId="552E0054">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szCs w:val="21"/>
        </w:rPr>
        <w:t>屏幕分辨率：分辨率不低于1920×1080P；</w:t>
      </w:r>
    </w:p>
    <w:p w14:paraId="4ED9DF05">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szCs w:val="21"/>
        </w:rPr>
        <w:t>使用寿命: 不少于50000小时，亮度不低于2000nit；</w:t>
      </w:r>
    </w:p>
    <w:p w14:paraId="663111BF">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szCs w:val="21"/>
        </w:rPr>
        <w:t>外观结构：外观结构：钣金外壳镀锌钢板厚度不小于1.5mm；；内层喷涂富锌底粉，表层喷氟碳漆保护；</w:t>
      </w:r>
    </w:p>
    <w:p w14:paraId="07AC57BE">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szCs w:val="21"/>
        </w:rPr>
        <w:t>AI智能摄像机支持对运动人脸进行检测、跟踪、抓拍、评分、特征提取、识别，全程同步聚焦支持ONVIF、GB28181，1400、rtsp等协议；</w:t>
      </w:r>
    </w:p>
    <w:p w14:paraId="5AE765E8">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AI智能摄像机具多种抓拍模式，例如离开后抓拍、快速抓拍、间隔抓拍（以秒为单位）、间隔抓拍（以帧为单位）、单人模式、离开后抓拍、全抓模式等，投标文件中附公安部安全与警用电子产品质量中心出具的检测报告扫描件；</w:t>
      </w:r>
    </w:p>
    <w:p w14:paraId="14192BAA">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AI智能摄像机具有监控场景内两眼瞳距不小于20像素的人脸进行检，支持面部跟踪；支持同时检测监控场景内出现的最多32张人脸图片，并可进行抓拍及人脸跟踪；支持检测多种表情、肤色的人脸进行检测；投标文件中附公安部安全与警用电子产品质量中心出具的检测报告扫描件；</w:t>
      </w:r>
    </w:p>
    <w:p w14:paraId="629F1E2C">
      <w:pPr>
        <w:pStyle w:val="7"/>
        <w:widowControl/>
        <w:numPr>
          <w:ilvl w:val="0"/>
          <w:numId w:val="3"/>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AI智能摄像机具有人脸比对功能，可将抓拍图片与样本库图片比对，实现抓图联动报警；投标文件中附公安部安全与警用电子产品质量中心出具的检测报告扫描件。</w:t>
      </w:r>
    </w:p>
    <w:p w14:paraId="7C9C1C2E">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智能步道综合管理系统</w:t>
      </w:r>
    </w:p>
    <w:p w14:paraId="3BBC59D0">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用户登录：系统通过安全的加密传输，保障用户账号和密码的安全性。用户登录后，系统会根据其权限展示相应的数据和功能，确保信息的个性化和安全性。</w:t>
      </w:r>
    </w:p>
    <w:p w14:paraId="784E6553">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人脸识别系统：集成了先进的人脸识别技术，能够进行高效的面部属性分析、活体检测和特征识别；为小程序客户端用户提供便捷的注册和身份验证服务，确保用户身份的准确性和安全性，提升用户体验。</w:t>
      </w:r>
    </w:p>
    <w:p w14:paraId="32CF5152">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设备管理：提供直观的设备信息查询和展示界面；用户可以轻松查看设备详细信息。</w:t>
      </w:r>
    </w:p>
    <w:p w14:paraId="46084B20">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紧急呼救管理：为用户提供清晰的设备状态和历史记录列表，展示紧急呼救设备的名称、编号、当前状态、初次上报时间和最新上报时间，确保在紧急情况下的快速响应和有效管理。</w:t>
      </w:r>
    </w:p>
    <w:p w14:paraId="4731721F">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跑道管理：提供全面的跑道信息展示和管理，支持查询、编辑、新增、启用/停用和删除操作；列表展示包括项目名称、项目编号、负责人、联系电话和更新时间等信息，用户可以通过编辑功能维护项目信息，</w:t>
      </w:r>
    </w:p>
    <w:p w14:paraId="24AF344F">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AI智能摄像机管理：允许用户查看和管理摄像头设备的基础信息；系统提供新增和编辑设备的功能，支持清空摄像头存储的人脸数据以及删除设备，确保摄像头设备的高效管理和维护。</w:t>
      </w:r>
    </w:p>
    <w:p w14:paraId="2AE4127E">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大屏管理：提供大屏设备的详细展示和编辑功能，展示大屏设备编码、所属跑道、位置、在线状态、首页小程序显示状态等信息；用户可以编辑大屏设备信息。</w:t>
      </w:r>
    </w:p>
    <w:p w14:paraId="14F3B8E6">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识别记录：展示用户的运动识别数据，包括用户名称、用户头像、摄像头ID、摄像头名称、所属跑道、运动类型、速度、跑步距离、消耗卡路里、运动时长和更新时间；系统支持识别记录的删除、查询和导出功能，以便于数据的管理和分析，确保数据的完整性和可追溯性。</w:t>
      </w:r>
    </w:p>
    <w:p w14:paraId="41D017C2">
      <w:pPr>
        <w:pStyle w:val="7"/>
        <w:widowControl/>
        <w:numPr>
          <w:ilvl w:val="0"/>
          <w:numId w:val="4"/>
        </w:numPr>
        <w:adjustRightInd w:val="0"/>
        <w:snapToGrid w:val="0"/>
        <w:spacing w:line="360" w:lineRule="auto"/>
        <w:ind w:firstLineChars="0"/>
        <w:jc w:val="left"/>
        <w:rPr>
          <w:rFonts w:hint="eastAsia" w:ascii="宋体" w:hAnsi="宋体"/>
          <w:szCs w:val="21"/>
        </w:rPr>
      </w:pPr>
      <w:r>
        <w:rPr>
          <w:rFonts w:hint="eastAsia" w:ascii="宋体" w:hAnsi="宋体"/>
          <w:szCs w:val="21"/>
        </w:rPr>
        <w:t>用户运动数据管理：展示用户的运动数据，包括用户名称、头像、手机号、性别、身高、体重、运动类型、速度、跑步距离、消耗卡路里和运动时长等信息；通过系统，用户可以便捷地查看和管理自己的运动数据，进行健康分析和监控。</w:t>
      </w:r>
    </w:p>
    <w:p w14:paraId="602E287E">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手机端小程序</w:t>
      </w:r>
    </w:p>
    <w:p w14:paraId="31C84277">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主界面主界面提供可定制的轮播内容，能够根据用户需求展示运动指导、信息宣传等内容，增强用户的互动体验。</w:t>
      </w:r>
    </w:p>
    <w:p w14:paraId="5025BFA7">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BMI计算器：用户可以通过输入身高和体重来计算BMI值，并获得相关的健康建议，帮助用户了解自身的健康状况。</w:t>
      </w:r>
    </w:p>
    <w:p w14:paraId="7252352D">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天气信息展示：首页展示用户所在地的实时天气数据，包括温度、湿度、风向、空气质量和紫外线指数，同时提供24小时的天气预报，方便用户合理安排户外运动计划。</w:t>
      </w:r>
    </w:p>
    <w:p w14:paraId="08913058">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首页运动看板：用户可以查看近三十天的运动数据，包括累计运动次数、累计运动里程、平均速度、累计运动时长、累计步数和累计消耗热量；帮助用户全面了解和管理自己的运动情况。</w:t>
      </w:r>
    </w:p>
    <w:p w14:paraId="2B321570">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活动模块：</w:t>
      </w:r>
    </w:p>
    <w:p w14:paraId="6D0ACDC2">
      <w:pPr>
        <w:pStyle w:val="7"/>
        <w:widowControl/>
        <w:adjustRightInd w:val="0"/>
        <w:snapToGrid w:val="0"/>
        <w:spacing w:line="360" w:lineRule="auto"/>
        <w:ind w:left="420" w:firstLine="0" w:firstLineChars="0"/>
        <w:jc w:val="left"/>
        <w:rPr>
          <w:rFonts w:hint="eastAsia" w:ascii="宋体" w:hAnsi="宋体"/>
          <w:szCs w:val="21"/>
        </w:rPr>
      </w:pPr>
      <w:r>
        <w:rPr>
          <w:rFonts w:hint="eastAsia" w:ascii="宋体" w:hAnsi="宋体"/>
          <w:szCs w:val="21"/>
        </w:rPr>
        <w:t>至少包含最新专题活动、活动列表、活动详情等，并可选择活动类型，填写个人信息进行报名，简化了参与活动的流程。。</w:t>
      </w:r>
    </w:p>
    <w:p w14:paraId="16F2AA10">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排行：至少包含当日运动数据排行榜、本周运动数据排行榜、本月运动数据排行榜、个人排行榜、打卡排行榜、组队排行榜等。</w:t>
      </w:r>
    </w:p>
    <w:p w14:paraId="19D20A50">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实时数据展示：实时显示用户当前的运动数据，包括用时、消耗的卡路里和累计排名，帮助用户随时了解和优化自己的运动表现。</w:t>
      </w:r>
    </w:p>
    <w:p w14:paraId="4F617646">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允许用户设置每日的热量消耗目标，完成目标后可以解锁相应的里程勋章，激励用户保持规律的运动习惯并持续挑战自我。</w:t>
      </w:r>
    </w:p>
    <w:p w14:paraId="6434CD6A">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运动剪影：展示用户的运动记录，并提供制作和分享Vlog短视频的功能，用户可以直观记录和展示自己的运动瞬间，激励自己和他人。</w:t>
      </w:r>
    </w:p>
    <w:p w14:paraId="715931EE">
      <w:pPr>
        <w:pStyle w:val="7"/>
        <w:widowControl/>
        <w:numPr>
          <w:ilvl w:val="0"/>
          <w:numId w:val="5"/>
        </w:numPr>
        <w:adjustRightInd w:val="0"/>
        <w:snapToGrid w:val="0"/>
        <w:spacing w:line="360" w:lineRule="auto"/>
        <w:ind w:firstLineChars="0"/>
        <w:jc w:val="left"/>
        <w:rPr>
          <w:rFonts w:hint="eastAsia" w:ascii="宋体" w:hAnsi="宋体"/>
          <w:szCs w:val="21"/>
        </w:rPr>
      </w:pPr>
      <w:r>
        <w:rPr>
          <w:rFonts w:hint="eastAsia" w:ascii="宋体" w:hAnsi="宋体"/>
          <w:szCs w:val="21"/>
        </w:rPr>
        <w:t>用户根据累计的运动里程获取相应的勋章，记录和展示运动成就，鼓励用户持续保持运动热情和挑战自我。</w:t>
      </w:r>
    </w:p>
    <w:p w14:paraId="57ECE3B4">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智能步道大屏互动系统</w:t>
      </w:r>
    </w:p>
    <w:p w14:paraId="6D8670D8">
      <w:pPr>
        <w:pStyle w:val="7"/>
        <w:widowControl/>
        <w:numPr>
          <w:ilvl w:val="0"/>
          <w:numId w:val="6"/>
        </w:numPr>
        <w:adjustRightInd w:val="0"/>
        <w:snapToGrid w:val="0"/>
        <w:spacing w:line="360" w:lineRule="auto"/>
        <w:ind w:firstLineChars="0"/>
        <w:jc w:val="left"/>
        <w:rPr>
          <w:rFonts w:hint="eastAsia" w:ascii="宋体" w:hAnsi="宋体"/>
          <w:szCs w:val="21"/>
        </w:rPr>
      </w:pPr>
      <w:r>
        <w:rPr>
          <w:rFonts w:hint="eastAsia" w:ascii="宋体" w:hAnsi="宋体"/>
          <w:szCs w:val="21"/>
        </w:rPr>
        <w:t>展示所在地的天气数据，包含天气、温度、湿度、风速、风向、空气质量等信息；</w:t>
      </w:r>
    </w:p>
    <w:p w14:paraId="280C5B6F">
      <w:pPr>
        <w:pStyle w:val="7"/>
        <w:widowControl/>
        <w:numPr>
          <w:ilvl w:val="0"/>
          <w:numId w:val="6"/>
        </w:numPr>
        <w:adjustRightInd w:val="0"/>
        <w:snapToGrid w:val="0"/>
        <w:spacing w:line="360" w:lineRule="auto"/>
        <w:ind w:firstLineChars="0"/>
        <w:jc w:val="left"/>
        <w:rPr>
          <w:rFonts w:hint="eastAsia" w:ascii="宋体" w:hAnsi="宋体"/>
          <w:szCs w:val="21"/>
        </w:rPr>
      </w:pPr>
      <w:r>
        <w:rPr>
          <w:rFonts w:hint="eastAsia" w:ascii="宋体" w:hAnsi="宋体"/>
          <w:szCs w:val="21"/>
        </w:rPr>
        <w:t>展示排行榜数据：至少显示当天、本周、当月的运动排行及跑步里程数据，根据运动方式不同，展示七天内跑步和走路运动的注册人员数量变化趋势图；展示用户画像，根据性别和各年龄段范围等进行数据图表展示；</w:t>
      </w:r>
    </w:p>
    <w:p w14:paraId="5EF0F68F">
      <w:pPr>
        <w:pStyle w:val="7"/>
        <w:widowControl/>
        <w:numPr>
          <w:ilvl w:val="0"/>
          <w:numId w:val="6"/>
        </w:numPr>
        <w:adjustRightInd w:val="0"/>
        <w:snapToGrid w:val="0"/>
        <w:spacing w:line="360" w:lineRule="auto"/>
        <w:ind w:firstLineChars="0"/>
        <w:jc w:val="left"/>
        <w:rPr>
          <w:rFonts w:hint="eastAsia" w:ascii="宋体" w:hAnsi="宋体"/>
          <w:szCs w:val="21"/>
        </w:rPr>
      </w:pPr>
      <w:r>
        <w:rPr>
          <w:rFonts w:hint="eastAsia" w:ascii="宋体" w:hAnsi="宋体"/>
          <w:szCs w:val="21"/>
        </w:rPr>
        <w:t>展示步道用户统计情况：至少包含步道注册总人数、人均运动次数、累计运动数据、累计运动里程、累计消耗热量值、累计步数、累计运动总时间、平均速度等；</w:t>
      </w:r>
    </w:p>
    <w:p w14:paraId="7FDB63D1">
      <w:pPr>
        <w:pStyle w:val="7"/>
        <w:widowControl/>
        <w:numPr>
          <w:ilvl w:val="0"/>
          <w:numId w:val="6"/>
        </w:numPr>
        <w:adjustRightInd w:val="0"/>
        <w:snapToGrid w:val="0"/>
        <w:spacing w:line="360" w:lineRule="auto"/>
        <w:ind w:firstLineChars="0"/>
        <w:jc w:val="left"/>
        <w:rPr>
          <w:rFonts w:hint="eastAsia" w:ascii="宋体" w:hAnsi="宋体"/>
          <w:szCs w:val="21"/>
        </w:rPr>
      </w:pPr>
      <w:r>
        <w:rPr>
          <w:rFonts w:hint="eastAsia" w:ascii="宋体" w:hAnsi="宋体"/>
          <w:szCs w:val="21"/>
        </w:rPr>
        <w:t>用户注册：通过点击人脸识别按钮，扫描人脸，系统自动通过摄像头截取人脸作为用户头像，通过友好的交互方式输入用户信息后完成注册；</w:t>
      </w:r>
    </w:p>
    <w:p w14:paraId="51131948">
      <w:pPr>
        <w:pStyle w:val="7"/>
        <w:widowControl/>
        <w:numPr>
          <w:ilvl w:val="0"/>
          <w:numId w:val="6"/>
        </w:numPr>
        <w:adjustRightInd w:val="0"/>
        <w:snapToGrid w:val="0"/>
        <w:spacing w:line="360" w:lineRule="auto"/>
        <w:ind w:firstLineChars="0"/>
        <w:jc w:val="left"/>
        <w:rPr>
          <w:rFonts w:hint="eastAsia" w:ascii="宋体" w:hAnsi="宋体"/>
          <w:szCs w:val="21"/>
        </w:rPr>
      </w:pPr>
      <w:r>
        <w:rPr>
          <w:rFonts w:hint="eastAsia" w:ascii="宋体" w:hAnsi="宋体"/>
          <w:szCs w:val="21"/>
        </w:rPr>
        <w:t>数据查询：用户扫描人脸，系统获取用户信息，展示用户基本资料，如头像、姓名等，同时展示用户当天的运动数据，如当天的运动时间、当天的运动里程、当天运动的热量消耗、当天跑步的平均速度等，同时获取用户一周和一个月内的数据，通过图表的形式对用户历史一段时间的运动情况进行展示；</w:t>
      </w:r>
    </w:p>
    <w:p w14:paraId="376C20D4">
      <w:pPr>
        <w:pStyle w:val="7"/>
        <w:widowControl/>
        <w:numPr>
          <w:ilvl w:val="0"/>
          <w:numId w:val="6"/>
        </w:numPr>
        <w:adjustRightInd w:val="0"/>
        <w:snapToGrid w:val="0"/>
        <w:spacing w:line="360" w:lineRule="auto"/>
        <w:ind w:firstLineChars="0"/>
        <w:jc w:val="left"/>
        <w:rPr>
          <w:rFonts w:hint="eastAsia" w:ascii="宋体" w:hAnsi="宋体"/>
          <w:szCs w:val="21"/>
        </w:rPr>
      </w:pPr>
      <w:r>
        <w:rPr>
          <w:rFonts w:hint="eastAsia" w:ascii="宋体" w:hAnsi="宋体"/>
          <w:szCs w:val="21"/>
        </w:rPr>
        <w:t>紧急呼救：用户可在大屏点击紧急呼救，后台会进行通知，支持定制硬件电话呼救；</w:t>
      </w:r>
    </w:p>
    <w:p w14:paraId="7DE1B379">
      <w:pPr>
        <w:pStyle w:val="7"/>
        <w:widowControl/>
        <w:numPr>
          <w:ilvl w:val="0"/>
          <w:numId w:val="6"/>
        </w:numPr>
        <w:adjustRightInd w:val="0"/>
        <w:snapToGrid w:val="0"/>
        <w:spacing w:line="360" w:lineRule="auto"/>
        <w:ind w:firstLineChars="0"/>
        <w:jc w:val="left"/>
        <w:rPr>
          <w:rFonts w:hint="eastAsia" w:ascii="宋体" w:hAnsi="宋体"/>
          <w:szCs w:val="21"/>
        </w:rPr>
      </w:pPr>
      <w:r>
        <w:rPr>
          <w:rFonts w:hint="eastAsia" w:ascii="宋体" w:hAnsi="宋体"/>
          <w:szCs w:val="21"/>
        </w:rPr>
        <w:t>软件具备用户数据缓存功能，注册用户信息会定时与服务器进行数据同步，同一条步道支持无限数量的排行榜部署。</w:t>
      </w:r>
    </w:p>
    <w:p w14:paraId="40FCDC14">
      <w:pPr>
        <w:pStyle w:val="6"/>
        <w:numPr>
          <w:ilvl w:val="0"/>
          <w:numId w:val="1"/>
        </w:numPr>
        <w:snapToGrid w:val="0"/>
        <w:spacing w:line="360" w:lineRule="auto"/>
        <w:ind w:firstLineChars="0"/>
        <w:rPr>
          <w:rFonts w:ascii="宋体" w:hAnsi="宋体" w:eastAsia="宋体"/>
          <w:b/>
          <w:bCs/>
          <w:sz w:val="24"/>
          <w:szCs w:val="24"/>
        </w:rPr>
      </w:pPr>
      <w:r>
        <w:rPr>
          <w:rFonts w:hint="eastAsia" w:ascii="宋体" w:hAnsi="宋体" w:eastAsia="宋体"/>
          <w:b/>
          <w:bCs/>
          <w:sz w:val="24"/>
          <w:szCs w:val="24"/>
        </w:rPr>
        <w:t>健身步道改色</w:t>
      </w:r>
    </w:p>
    <w:p w14:paraId="44C7A778">
      <w:pPr>
        <w:pStyle w:val="6"/>
        <w:snapToGrid w:val="0"/>
        <w:spacing w:line="360" w:lineRule="auto"/>
        <w:ind w:left="440" w:firstLine="0" w:firstLineChars="0"/>
        <w:rPr>
          <w:rFonts w:hint="eastAsia" w:ascii="宋体" w:hAnsi="宋体" w:eastAsia="宋体"/>
          <w:b/>
          <w:bCs/>
          <w:sz w:val="24"/>
          <w:szCs w:val="24"/>
        </w:rPr>
      </w:pPr>
      <w:r>
        <w:rPr>
          <w:rFonts w:hint="eastAsia" w:ascii="宋体" w:hAnsi="宋体" w:eastAsia="宋体" w:cs="Times New Roman"/>
          <w:szCs w:val="21"/>
        </w:rPr>
        <w:t>健身步道改色面积不少于800㎡，采用专用材料喷涂，并喷涂距离标识。</w:t>
      </w:r>
    </w:p>
    <w:p w14:paraId="43441C71">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室外核心力量训练组合</w:t>
      </w:r>
    </w:p>
    <w:p w14:paraId="2F6EED5B">
      <w:pPr>
        <w:pStyle w:val="7"/>
        <w:widowControl/>
        <w:numPr>
          <w:ilvl w:val="0"/>
          <w:numId w:val="7"/>
        </w:numPr>
        <w:adjustRightInd w:val="0"/>
        <w:snapToGrid w:val="0"/>
        <w:spacing w:line="360" w:lineRule="auto"/>
        <w:ind w:firstLineChars="0"/>
        <w:jc w:val="left"/>
        <w:rPr>
          <w:rFonts w:hint="eastAsia" w:ascii="宋体" w:hAnsi="宋体"/>
          <w:szCs w:val="21"/>
        </w:rPr>
      </w:pPr>
      <w:r>
        <w:rPr>
          <w:rFonts w:hint="eastAsia" w:ascii="宋体" w:hAnsi="宋体"/>
          <w:szCs w:val="21"/>
        </w:rPr>
        <w:t>器材外形尺寸不小于</w:t>
      </w:r>
      <w:r>
        <w:rPr>
          <w:rFonts w:ascii="宋体" w:hAnsi="宋体"/>
          <w:szCs w:val="21"/>
        </w:rPr>
        <w:t>9780mm×2730mm×2910mm</w:t>
      </w:r>
      <w:r>
        <w:rPr>
          <w:rFonts w:hint="eastAsia" w:ascii="宋体" w:hAnsi="宋体"/>
          <w:szCs w:val="21"/>
        </w:rPr>
        <w:t>；</w:t>
      </w:r>
    </w:p>
    <w:p w14:paraId="413DCDD8">
      <w:pPr>
        <w:pStyle w:val="7"/>
        <w:widowControl/>
        <w:numPr>
          <w:ilvl w:val="0"/>
          <w:numId w:val="7"/>
        </w:numPr>
        <w:adjustRightInd w:val="0"/>
        <w:snapToGrid w:val="0"/>
        <w:spacing w:line="360" w:lineRule="auto"/>
        <w:ind w:firstLineChars="0"/>
        <w:jc w:val="left"/>
        <w:rPr>
          <w:rFonts w:hint="eastAsia" w:ascii="宋体" w:hAnsi="宋体"/>
          <w:szCs w:val="21"/>
        </w:rPr>
      </w:pPr>
      <w:r>
        <w:rPr>
          <w:rFonts w:hint="eastAsia" w:ascii="宋体" w:hAnsi="宋体"/>
          <w:szCs w:val="21"/>
        </w:rPr>
        <w:t>主立柱采用不小于Φ89×3mm圆管，横支管采用不小于Φ76×3mm圆管，手把管采用不小于Φ32×3mm花纹管；</w:t>
      </w:r>
    </w:p>
    <w:p w14:paraId="427F8426">
      <w:pPr>
        <w:pStyle w:val="7"/>
        <w:widowControl/>
        <w:numPr>
          <w:ilvl w:val="0"/>
          <w:numId w:val="7"/>
        </w:numPr>
        <w:adjustRightInd w:val="0"/>
        <w:snapToGrid w:val="0"/>
        <w:spacing w:line="360" w:lineRule="auto"/>
        <w:ind w:firstLineChars="0"/>
        <w:jc w:val="left"/>
        <w:rPr>
          <w:rFonts w:hint="eastAsia" w:ascii="宋体" w:hAnsi="宋体"/>
          <w:szCs w:val="21"/>
        </w:rPr>
      </w:pPr>
      <w:r>
        <w:rPr>
          <w:rFonts w:hint="eastAsia" w:ascii="宋体" w:hAnsi="宋体"/>
          <w:szCs w:val="21"/>
        </w:rPr>
        <w:t>器材主要功能：为多功能站位设计，可以进行俯卧撑训练、屈膝上举训练、体侧屈训练、平板支撑训练、仰卧起坐训练、天梯训练、辅助飞燕训练、俯卧挺身训练、腰部训练等；</w:t>
      </w:r>
    </w:p>
    <w:p w14:paraId="11ED6E3B">
      <w:pPr>
        <w:pStyle w:val="7"/>
        <w:widowControl/>
        <w:numPr>
          <w:ilvl w:val="0"/>
          <w:numId w:val="7"/>
        </w:numPr>
        <w:adjustRightInd w:val="0"/>
        <w:snapToGrid w:val="0"/>
        <w:spacing w:line="360" w:lineRule="auto"/>
        <w:ind w:firstLineChars="0"/>
        <w:jc w:val="left"/>
        <w:rPr>
          <w:rFonts w:hint="eastAsia" w:ascii="宋体" w:hAnsi="宋体"/>
          <w:szCs w:val="21"/>
        </w:rPr>
      </w:pPr>
      <w:r>
        <w:rPr>
          <w:rFonts w:hint="eastAsia" w:ascii="宋体" w:hAnsi="宋体"/>
          <w:szCs w:val="21"/>
        </w:rPr>
        <w:t>通过对核心肌群的强化训练，提高身体的控制力、平衡性,提高肢体协调工作效率，减少运动过程中的损伤；</w:t>
      </w:r>
    </w:p>
    <w:p w14:paraId="3275767A">
      <w:pPr>
        <w:pStyle w:val="7"/>
        <w:widowControl/>
        <w:numPr>
          <w:ilvl w:val="0"/>
          <w:numId w:val="7"/>
        </w:numPr>
        <w:adjustRightInd w:val="0"/>
        <w:snapToGrid w:val="0"/>
        <w:spacing w:line="360" w:lineRule="auto"/>
        <w:ind w:firstLineChars="0"/>
        <w:jc w:val="left"/>
        <w:rPr>
          <w:rFonts w:hint="eastAsia" w:ascii="宋体" w:hAnsi="宋体"/>
          <w:szCs w:val="21"/>
        </w:rPr>
      </w:pPr>
      <w:r>
        <w:rPr>
          <w:rFonts w:hint="eastAsia" w:ascii="宋体" w:hAnsi="宋体"/>
          <w:szCs w:val="21"/>
        </w:rPr>
        <w:t>器材紧固所使用的螺钉、螺母均具有防锈、防松和防盗功能；</w:t>
      </w:r>
    </w:p>
    <w:p w14:paraId="5E2B2B67">
      <w:pPr>
        <w:pStyle w:val="7"/>
        <w:widowControl/>
        <w:numPr>
          <w:ilvl w:val="0"/>
          <w:numId w:val="7"/>
        </w:numPr>
        <w:adjustRightInd w:val="0"/>
        <w:snapToGrid w:val="0"/>
        <w:spacing w:line="360" w:lineRule="auto"/>
        <w:ind w:firstLineChars="0"/>
        <w:jc w:val="left"/>
        <w:rPr>
          <w:rFonts w:hint="eastAsia" w:ascii="宋体" w:hAnsi="宋体"/>
          <w:szCs w:val="21"/>
        </w:rPr>
      </w:pPr>
      <w:r>
        <w:rPr>
          <w:rFonts w:hint="eastAsia" w:ascii="宋体" w:hAnsi="宋体"/>
          <w:szCs w:val="21"/>
        </w:rPr>
        <w:t>器材各支撑人体的表面所有棱边和尖角，其半径均不小于3mm；使用者或第三者易接触的零部件的其他所有棱边均予以圆滑过渡或防护；</w:t>
      </w:r>
    </w:p>
    <w:p w14:paraId="6A205AA2">
      <w:pPr>
        <w:pStyle w:val="7"/>
        <w:widowControl/>
        <w:numPr>
          <w:ilvl w:val="0"/>
          <w:numId w:val="7"/>
        </w:numPr>
        <w:adjustRightInd w:val="0"/>
        <w:snapToGrid w:val="0"/>
        <w:spacing w:line="360" w:lineRule="auto"/>
        <w:ind w:firstLineChars="0"/>
        <w:jc w:val="left"/>
        <w:rPr>
          <w:rFonts w:hint="eastAsia" w:ascii="宋体" w:hAnsi="宋体"/>
          <w:szCs w:val="21"/>
        </w:rPr>
      </w:pPr>
      <w:r>
        <w:rPr>
          <w:rFonts w:hint="eastAsia" w:ascii="宋体" w:hAnsi="宋体"/>
          <w:szCs w:val="21"/>
        </w:rPr>
        <w:t>器材所有闭合开口、不完全闭合开口均符合GB 19272-2011《室外健身器材的安全通用要求》中的相关标准要求。</w:t>
      </w:r>
    </w:p>
    <w:p w14:paraId="017DA5BF">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可调阻力坐式推举训练器</w:t>
      </w:r>
    </w:p>
    <w:p w14:paraId="361C4C00">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立柱尺寸</w:t>
      </w:r>
      <w:r>
        <w:rPr>
          <w:rFonts w:hint="eastAsia" w:ascii="宋体" w:hAnsi="宋体"/>
          <w:szCs w:val="21"/>
        </w:rPr>
        <w:t>：</w:t>
      </w:r>
      <w:r>
        <w:rPr>
          <w:rFonts w:ascii="宋体" w:hAnsi="宋体"/>
          <w:szCs w:val="21"/>
        </w:rPr>
        <w:t>不小于</w:t>
      </w:r>
      <w:r>
        <w:rPr>
          <w:rFonts w:hint="eastAsia" w:ascii="宋体" w:hAnsi="宋体"/>
          <w:szCs w:val="21"/>
        </w:rPr>
        <w:t>120×80×3矩形管；</w:t>
      </w:r>
    </w:p>
    <w:p w14:paraId="001EEAC6">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横梁尺寸</w:t>
      </w:r>
      <w:r>
        <w:rPr>
          <w:rFonts w:hint="eastAsia" w:ascii="宋体" w:hAnsi="宋体"/>
          <w:szCs w:val="21"/>
        </w:rPr>
        <w:t>：不小于100×50×3矩形管；</w:t>
      </w:r>
    </w:p>
    <w:p w14:paraId="5D7D563F">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采用配重式阻力结构，不少于4档</w:t>
      </w:r>
      <w:r>
        <w:rPr>
          <w:rFonts w:ascii="宋体" w:hAnsi="宋体"/>
          <w:szCs w:val="21"/>
        </w:rPr>
        <w:t>调节；</w:t>
      </w:r>
      <w:r>
        <w:rPr>
          <w:rFonts w:hint="eastAsia" w:ascii="宋体" w:hAnsi="宋体"/>
          <w:szCs w:val="21"/>
        </w:rPr>
        <w:t>配重块的结构设计方便使用者快速调整力矩，在滑轨上能显示对抗阻力值；</w:t>
      </w:r>
    </w:p>
    <w:p w14:paraId="603C8E65">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配重块滑轨</w:t>
      </w:r>
      <w:r>
        <w:rPr>
          <w:rFonts w:ascii="宋体" w:hAnsi="宋体"/>
          <w:szCs w:val="21"/>
        </w:rPr>
        <w:t>采用不锈钢材质；</w:t>
      </w:r>
    </w:p>
    <w:p w14:paraId="0BC209BE">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内限位结构，</w:t>
      </w:r>
      <w:r>
        <w:rPr>
          <w:rFonts w:ascii="宋体" w:hAnsi="宋体"/>
          <w:szCs w:val="21"/>
        </w:rPr>
        <w:t>双轴结构设计，支持双臂协同运动或单臂单侧运动</w:t>
      </w:r>
      <w:r>
        <w:rPr>
          <w:rFonts w:hint="eastAsia" w:ascii="宋体" w:hAnsi="宋体"/>
          <w:szCs w:val="21"/>
        </w:rPr>
        <w:t>；</w:t>
      </w:r>
    </w:p>
    <w:p w14:paraId="5D487F97">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配重块的调节和锁定机构应作用可靠，不应与使用者的运动范围干涉；</w:t>
      </w:r>
    </w:p>
    <w:p w14:paraId="614189D5">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采用高密度塑木座板+靠背；</w:t>
      </w:r>
    </w:p>
    <w:p w14:paraId="79C324D4">
      <w:pPr>
        <w:pStyle w:val="7"/>
        <w:widowControl/>
        <w:numPr>
          <w:ilvl w:val="0"/>
          <w:numId w:val="8"/>
        </w:numPr>
        <w:adjustRightInd w:val="0"/>
        <w:snapToGrid w:val="0"/>
        <w:spacing w:line="360" w:lineRule="auto"/>
        <w:ind w:firstLineChars="0"/>
        <w:jc w:val="left"/>
        <w:rPr>
          <w:rFonts w:hint="eastAsia" w:ascii="宋体" w:hAnsi="宋体"/>
          <w:szCs w:val="21"/>
        </w:rPr>
      </w:pPr>
      <w:r>
        <w:rPr>
          <w:rFonts w:ascii="宋体" w:hAnsi="宋体"/>
          <w:szCs w:val="21"/>
        </w:rPr>
        <w:t>可做坐姿推举运动</w:t>
      </w:r>
      <w:r>
        <w:rPr>
          <w:rFonts w:hint="eastAsia" w:ascii="宋体" w:hAnsi="宋体"/>
          <w:szCs w:val="21"/>
        </w:rPr>
        <w:t>，锻炼三角肌、斜方肌上部和肱三头肌等；</w:t>
      </w:r>
    </w:p>
    <w:p w14:paraId="76D02062">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szCs w:val="21"/>
        </w:rPr>
        <w:t>座椅、靠背上表面边缘应以</w:t>
      </w:r>
      <w:r>
        <w:rPr>
          <w:rFonts w:ascii="宋体" w:hAnsi="宋体"/>
          <w:szCs w:val="21"/>
        </w:rPr>
        <w:t>R</w:t>
      </w:r>
      <w:r>
        <w:rPr>
          <w:rFonts w:hint="eastAsia" w:ascii="宋体" w:hAnsi="宋体"/>
          <w:szCs w:val="21"/>
        </w:rPr>
        <w:t>不小于</w:t>
      </w:r>
      <w:r>
        <w:rPr>
          <w:rFonts w:ascii="宋体" w:hAnsi="宋体"/>
          <w:szCs w:val="21"/>
        </w:rPr>
        <w:t>3mm</w:t>
      </w:r>
      <w:r>
        <w:rPr>
          <w:rFonts w:hint="eastAsia" w:ascii="宋体" w:hAnsi="宋体"/>
          <w:szCs w:val="21"/>
        </w:rPr>
        <w:t>的圆弧过渡；座椅下部、靠背后侧棱边应圆滑过渡；</w:t>
      </w:r>
    </w:p>
    <w:p w14:paraId="4DD69C97">
      <w:pPr>
        <w:pStyle w:val="7"/>
        <w:widowControl/>
        <w:numPr>
          <w:ilvl w:val="0"/>
          <w:numId w:val="8"/>
        </w:numPr>
        <w:adjustRightInd w:val="0"/>
        <w:snapToGrid w:val="0"/>
        <w:spacing w:line="360" w:lineRule="auto"/>
        <w:ind w:firstLineChars="0"/>
        <w:jc w:val="left"/>
        <w:rPr>
          <w:rFonts w:hint="eastAsia" w:ascii="宋体" w:hAnsi="宋体"/>
          <w:szCs w:val="21"/>
        </w:rPr>
      </w:pPr>
      <w:r>
        <w:rPr>
          <w:rFonts w:ascii="宋体" w:hAnsi="宋体"/>
          <w:szCs w:val="21"/>
        </w:rPr>
        <w:t>把手直径不小于16mm且不大于45mm，把手端部直径不小于50mm</w:t>
      </w:r>
      <w:r>
        <w:rPr>
          <w:rFonts w:hint="eastAsia" w:ascii="宋体" w:hAnsi="宋体"/>
          <w:szCs w:val="21"/>
        </w:rPr>
        <w:t>；</w:t>
      </w:r>
    </w:p>
    <w:p w14:paraId="709E7DCB">
      <w:pPr>
        <w:pStyle w:val="7"/>
        <w:widowControl/>
        <w:numPr>
          <w:ilvl w:val="0"/>
          <w:numId w:val="8"/>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11D1C226">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可调阻力坐式划船训练器</w:t>
      </w:r>
    </w:p>
    <w:p w14:paraId="25C1D795">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立柱尺寸</w:t>
      </w:r>
      <w:r>
        <w:rPr>
          <w:rFonts w:hint="eastAsia" w:ascii="宋体" w:hAnsi="宋体"/>
          <w:szCs w:val="21"/>
        </w:rPr>
        <w:t>：</w:t>
      </w:r>
      <w:r>
        <w:rPr>
          <w:rFonts w:ascii="宋体" w:hAnsi="宋体"/>
          <w:szCs w:val="21"/>
        </w:rPr>
        <w:t>不小于</w:t>
      </w:r>
      <w:r>
        <w:rPr>
          <w:rFonts w:hint="eastAsia" w:ascii="宋体" w:hAnsi="宋体"/>
          <w:szCs w:val="21"/>
        </w:rPr>
        <w:t>120×80×3矩形管；</w:t>
      </w:r>
    </w:p>
    <w:p w14:paraId="5B875174">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横梁尺寸</w:t>
      </w:r>
      <w:r>
        <w:rPr>
          <w:rFonts w:hint="eastAsia" w:ascii="宋体" w:hAnsi="宋体"/>
          <w:szCs w:val="21"/>
        </w:rPr>
        <w:t>：不小于100×50×3矩形管；</w:t>
      </w:r>
    </w:p>
    <w:p w14:paraId="74B58C1B">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采用配重式阻力结构，不少于4档</w:t>
      </w:r>
      <w:r>
        <w:rPr>
          <w:rFonts w:ascii="宋体" w:hAnsi="宋体"/>
          <w:szCs w:val="21"/>
        </w:rPr>
        <w:t>调节；</w:t>
      </w:r>
      <w:r>
        <w:rPr>
          <w:rFonts w:hint="eastAsia" w:ascii="宋体" w:hAnsi="宋体"/>
          <w:szCs w:val="21"/>
        </w:rPr>
        <w:t>配重块的结构设计方便使用者快速调整力矩，在滑轨上能显示对抗阻力值；</w:t>
      </w:r>
    </w:p>
    <w:p w14:paraId="06CD4E3A">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配重块滑轨</w:t>
      </w:r>
      <w:r>
        <w:rPr>
          <w:rFonts w:ascii="宋体" w:hAnsi="宋体"/>
          <w:szCs w:val="21"/>
        </w:rPr>
        <w:t>采用不锈钢材质；</w:t>
      </w:r>
    </w:p>
    <w:p w14:paraId="2DA05D5D">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内限位结构，</w:t>
      </w:r>
      <w:r>
        <w:rPr>
          <w:rFonts w:ascii="宋体" w:hAnsi="宋体"/>
          <w:szCs w:val="21"/>
        </w:rPr>
        <w:t>双轴结构设计，支持双臂协同运动或单臂单侧运动</w:t>
      </w:r>
      <w:r>
        <w:rPr>
          <w:rFonts w:hint="eastAsia" w:ascii="宋体" w:hAnsi="宋体"/>
          <w:szCs w:val="21"/>
        </w:rPr>
        <w:t>；</w:t>
      </w:r>
    </w:p>
    <w:p w14:paraId="3D297D19">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配重块的调节和锁定机构应作用可靠，不应与使用者的运动范围干涉；</w:t>
      </w:r>
    </w:p>
    <w:p w14:paraId="57436553">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采用高密度塑木座板+</w:t>
      </w:r>
      <w:bookmarkStart w:id="0" w:name="_Hlk139982426"/>
      <w:r>
        <w:rPr>
          <w:rFonts w:hint="eastAsia" w:ascii="宋体" w:hAnsi="宋体"/>
          <w:szCs w:val="21"/>
        </w:rPr>
        <w:t>胸部靠板</w:t>
      </w:r>
      <w:bookmarkEnd w:id="0"/>
      <w:r>
        <w:rPr>
          <w:rFonts w:hint="eastAsia" w:ascii="宋体" w:hAnsi="宋体"/>
          <w:szCs w:val="21"/>
        </w:rPr>
        <w:t>；</w:t>
      </w:r>
    </w:p>
    <w:p w14:paraId="6F91CF11">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szCs w:val="21"/>
        </w:rPr>
        <w:t>可做坐姿划船运动，锻炼背部肌肉，尤其是背阔肌、大圆肌、三角肌后部、肱二头肌、肱肌、肱桡肌等；</w:t>
      </w:r>
    </w:p>
    <w:p w14:paraId="5C1CFB5D">
      <w:pPr>
        <w:pStyle w:val="6"/>
        <w:numPr>
          <w:ilvl w:val="0"/>
          <w:numId w:val="9"/>
        </w:numPr>
        <w:snapToGrid w:val="0"/>
        <w:spacing w:line="360" w:lineRule="auto"/>
        <w:ind w:firstLineChars="0"/>
        <w:rPr>
          <w:rFonts w:hint="eastAsia" w:ascii="宋体" w:hAnsi="宋体" w:eastAsia="宋体" w:cs="Times New Roman"/>
          <w:szCs w:val="21"/>
        </w:rPr>
      </w:pPr>
      <w:r>
        <w:rPr>
          <w:rFonts w:hint="eastAsia" w:ascii="宋体" w:hAnsi="宋体" w:eastAsia="宋体" w:cs="Times New Roman"/>
          <w:szCs w:val="21"/>
        </w:rPr>
        <w:t>座椅、胸部靠板上表面边缘应以</w:t>
      </w:r>
      <w:r>
        <w:rPr>
          <w:rFonts w:ascii="宋体" w:hAnsi="宋体" w:eastAsia="宋体" w:cs="Times New Roman"/>
          <w:szCs w:val="21"/>
        </w:rPr>
        <w:t>R不小于3mm的圆弧过渡；座椅下部、靠背后侧棱边应圆滑过渡；</w:t>
      </w:r>
    </w:p>
    <w:p w14:paraId="0D4FEB34">
      <w:pPr>
        <w:pStyle w:val="7"/>
        <w:widowControl/>
        <w:numPr>
          <w:ilvl w:val="0"/>
          <w:numId w:val="9"/>
        </w:numPr>
        <w:adjustRightInd w:val="0"/>
        <w:snapToGrid w:val="0"/>
        <w:spacing w:line="360" w:lineRule="auto"/>
        <w:ind w:firstLineChars="0"/>
        <w:jc w:val="left"/>
        <w:rPr>
          <w:rFonts w:hint="eastAsia" w:ascii="宋体" w:hAnsi="宋体"/>
          <w:szCs w:val="21"/>
        </w:rPr>
      </w:pPr>
      <w:r>
        <w:rPr>
          <w:rFonts w:ascii="宋体" w:hAnsi="宋体"/>
          <w:szCs w:val="21"/>
        </w:rPr>
        <w:t>把手直径不小于16mm且不大于45mm，把手端部直径不小于50mm</w:t>
      </w:r>
      <w:r>
        <w:rPr>
          <w:rFonts w:hint="eastAsia" w:ascii="宋体" w:hAnsi="宋体"/>
          <w:szCs w:val="21"/>
        </w:rPr>
        <w:t>；</w:t>
      </w:r>
    </w:p>
    <w:p w14:paraId="3031CEA1">
      <w:pPr>
        <w:pStyle w:val="7"/>
        <w:widowControl/>
        <w:numPr>
          <w:ilvl w:val="0"/>
          <w:numId w:val="9"/>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06F44CC2">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可调阻力坐式前推训练器</w:t>
      </w:r>
    </w:p>
    <w:p w14:paraId="5C6474EC">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立柱尺寸</w:t>
      </w:r>
      <w:r>
        <w:rPr>
          <w:rFonts w:hint="eastAsia" w:ascii="宋体" w:hAnsi="宋体"/>
          <w:szCs w:val="21"/>
        </w:rPr>
        <w:t>：</w:t>
      </w:r>
      <w:r>
        <w:rPr>
          <w:rFonts w:ascii="宋体" w:hAnsi="宋体"/>
          <w:szCs w:val="21"/>
        </w:rPr>
        <w:t>不小于</w:t>
      </w:r>
      <w:r>
        <w:rPr>
          <w:rFonts w:hint="eastAsia" w:ascii="宋体" w:hAnsi="宋体"/>
          <w:szCs w:val="21"/>
        </w:rPr>
        <w:t>120×80×3矩形管；</w:t>
      </w:r>
    </w:p>
    <w:p w14:paraId="26884486">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横梁尺寸</w:t>
      </w:r>
      <w:r>
        <w:rPr>
          <w:rFonts w:hint="eastAsia" w:ascii="宋体" w:hAnsi="宋体"/>
          <w:szCs w:val="21"/>
        </w:rPr>
        <w:t>：不小于100×50×3矩形管；</w:t>
      </w:r>
    </w:p>
    <w:p w14:paraId="1BD47EBB">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采用配重式阻力结构，不少于4档</w:t>
      </w:r>
      <w:r>
        <w:rPr>
          <w:rFonts w:ascii="宋体" w:hAnsi="宋体"/>
          <w:szCs w:val="21"/>
        </w:rPr>
        <w:t>调节；</w:t>
      </w:r>
      <w:r>
        <w:rPr>
          <w:rFonts w:hint="eastAsia" w:ascii="宋体" w:hAnsi="宋体"/>
          <w:szCs w:val="21"/>
        </w:rPr>
        <w:t>配重块的结构设计方便使用者快速调整力矩，在滑轨上能显示对抗阻力值；</w:t>
      </w:r>
    </w:p>
    <w:p w14:paraId="0FDC0A83">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配重块滑轨</w:t>
      </w:r>
      <w:r>
        <w:rPr>
          <w:rFonts w:ascii="宋体" w:hAnsi="宋体"/>
          <w:szCs w:val="21"/>
        </w:rPr>
        <w:t>采用不锈钢材质；</w:t>
      </w:r>
    </w:p>
    <w:p w14:paraId="364022B4">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内限位结构，</w:t>
      </w:r>
      <w:r>
        <w:rPr>
          <w:rFonts w:ascii="宋体" w:hAnsi="宋体"/>
          <w:szCs w:val="21"/>
        </w:rPr>
        <w:t>双轴结构设计，支持双臂协同运动或单臂单侧运动</w:t>
      </w:r>
      <w:r>
        <w:rPr>
          <w:rFonts w:hint="eastAsia" w:ascii="宋体" w:hAnsi="宋体"/>
          <w:szCs w:val="21"/>
        </w:rPr>
        <w:t>；</w:t>
      </w:r>
    </w:p>
    <w:p w14:paraId="0A0F1679">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配重块的调节和锁定机构应作用可靠，不应与使用者的运动范围干涉；</w:t>
      </w:r>
    </w:p>
    <w:p w14:paraId="6D514F19">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采用高密度塑木座板+靠背；</w:t>
      </w:r>
    </w:p>
    <w:p w14:paraId="276295AF">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szCs w:val="21"/>
        </w:rPr>
        <w:t>可做坐式前推运动，锻炼胸大肌、肱三头肌、三角肌以及肩胛肌群等；</w:t>
      </w:r>
    </w:p>
    <w:p w14:paraId="4093625D">
      <w:pPr>
        <w:pStyle w:val="6"/>
        <w:numPr>
          <w:ilvl w:val="0"/>
          <w:numId w:val="10"/>
        </w:numPr>
        <w:snapToGrid w:val="0"/>
        <w:spacing w:line="360" w:lineRule="auto"/>
        <w:ind w:firstLineChars="0"/>
        <w:rPr>
          <w:rFonts w:hint="eastAsia" w:ascii="宋体" w:hAnsi="宋体" w:eastAsia="宋体" w:cs="Times New Roman"/>
          <w:szCs w:val="21"/>
        </w:rPr>
      </w:pPr>
      <w:r>
        <w:rPr>
          <w:rFonts w:hint="eastAsia" w:ascii="宋体" w:hAnsi="宋体" w:eastAsia="宋体" w:cs="Times New Roman"/>
          <w:szCs w:val="21"/>
        </w:rPr>
        <w:t>座椅、靠背上表面边缘应以</w:t>
      </w:r>
      <w:r>
        <w:rPr>
          <w:rFonts w:ascii="宋体" w:hAnsi="宋体" w:eastAsia="宋体" w:cs="Times New Roman"/>
          <w:szCs w:val="21"/>
        </w:rPr>
        <w:t>R不小于3mm的圆弧过渡；座椅下部、靠背后侧棱边应圆滑过渡；</w:t>
      </w:r>
    </w:p>
    <w:p w14:paraId="713584C7">
      <w:pPr>
        <w:pStyle w:val="7"/>
        <w:widowControl/>
        <w:numPr>
          <w:ilvl w:val="0"/>
          <w:numId w:val="10"/>
        </w:numPr>
        <w:adjustRightInd w:val="0"/>
        <w:snapToGrid w:val="0"/>
        <w:spacing w:line="360" w:lineRule="auto"/>
        <w:ind w:firstLineChars="0"/>
        <w:jc w:val="left"/>
        <w:rPr>
          <w:rFonts w:hint="eastAsia" w:ascii="宋体" w:hAnsi="宋体"/>
          <w:szCs w:val="21"/>
        </w:rPr>
      </w:pPr>
      <w:r>
        <w:rPr>
          <w:rFonts w:ascii="宋体" w:hAnsi="宋体"/>
          <w:szCs w:val="21"/>
        </w:rPr>
        <w:t>把手直径不小于16mm且不大于45mm，把手端部直径不小于50mm</w:t>
      </w:r>
      <w:r>
        <w:rPr>
          <w:rFonts w:hint="eastAsia" w:ascii="宋体" w:hAnsi="宋体"/>
          <w:szCs w:val="21"/>
        </w:rPr>
        <w:t>；</w:t>
      </w:r>
    </w:p>
    <w:p w14:paraId="7902A437">
      <w:pPr>
        <w:pStyle w:val="7"/>
        <w:widowControl/>
        <w:numPr>
          <w:ilvl w:val="0"/>
          <w:numId w:val="10"/>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3856714B">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可调阻力背肌训练器</w:t>
      </w:r>
    </w:p>
    <w:p w14:paraId="5650D1FA">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立柱尺寸</w:t>
      </w:r>
      <w:r>
        <w:rPr>
          <w:rFonts w:hint="eastAsia" w:ascii="宋体" w:hAnsi="宋体"/>
          <w:szCs w:val="21"/>
        </w:rPr>
        <w:t>：</w:t>
      </w:r>
      <w:r>
        <w:rPr>
          <w:rFonts w:ascii="宋体" w:hAnsi="宋体"/>
          <w:szCs w:val="21"/>
        </w:rPr>
        <w:t>不小于</w:t>
      </w:r>
      <w:r>
        <w:rPr>
          <w:rFonts w:hint="eastAsia" w:ascii="宋体" w:hAnsi="宋体"/>
          <w:szCs w:val="21"/>
        </w:rPr>
        <w:t>120×80×3矩形管；</w:t>
      </w:r>
    </w:p>
    <w:p w14:paraId="502F2002">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横梁尺寸</w:t>
      </w:r>
      <w:r>
        <w:rPr>
          <w:rFonts w:hint="eastAsia" w:ascii="宋体" w:hAnsi="宋体"/>
          <w:szCs w:val="21"/>
        </w:rPr>
        <w:t>：不小于100×50×3矩形管；</w:t>
      </w:r>
    </w:p>
    <w:p w14:paraId="28543098">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采用配重式阻力结构，不少于4档</w:t>
      </w:r>
      <w:r>
        <w:rPr>
          <w:rFonts w:ascii="宋体" w:hAnsi="宋体"/>
          <w:szCs w:val="21"/>
        </w:rPr>
        <w:t>调节；</w:t>
      </w:r>
      <w:r>
        <w:rPr>
          <w:rFonts w:hint="eastAsia" w:ascii="宋体" w:hAnsi="宋体"/>
          <w:szCs w:val="21"/>
        </w:rPr>
        <w:t>配重块的结构设计方便使用者快速调整力矩，在滑轨上能显示对抗阻力值；</w:t>
      </w:r>
    </w:p>
    <w:p w14:paraId="6D565AD9">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配重块滑轨</w:t>
      </w:r>
      <w:r>
        <w:rPr>
          <w:rFonts w:ascii="宋体" w:hAnsi="宋体"/>
          <w:szCs w:val="21"/>
        </w:rPr>
        <w:t>采用不锈钢材质；</w:t>
      </w:r>
    </w:p>
    <w:p w14:paraId="4D673550">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内限位结构；</w:t>
      </w:r>
    </w:p>
    <w:p w14:paraId="0D903EC7">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配重块的调节和锁定机构应作用可靠，不应与使用者的运动范围干涉；</w:t>
      </w:r>
    </w:p>
    <w:p w14:paraId="4822924A">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采用高密度塑木座板；</w:t>
      </w:r>
    </w:p>
    <w:p w14:paraId="791F2CE4">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脚踏板具有防滑功能；</w:t>
      </w:r>
    </w:p>
    <w:p w14:paraId="55E523EF">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szCs w:val="21"/>
        </w:rPr>
        <w:t>可做背肌训练，主要锻炼竖脊肌、背阔肌、斜方肌、三角肌和肱二头肌等；</w:t>
      </w:r>
    </w:p>
    <w:p w14:paraId="2682E30E">
      <w:pPr>
        <w:pStyle w:val="6"/>
        <w:numPr>
          <w:ilvl w:val="0"/>
          <w:numId w:val="11"/>
        </w:numPr>
        <w:snapToGrid w:val="0"/>
        <w:spacing w:line="360" w:lineRule="auto"/>
        <w:ind w:firstLineChars="0"/>
        <w:rPr>
          <w:rFonts w:hint="eastAsia" w:ascii="宋体" w:hAnsi="宋体" w:eastAsia="宋体" w:cs="Times New Roman"/>
          <w:szCs w:val="21"/>
        </w:rPr>
      </w:pPr>
      <w:r>
        <w:rPr>
          <w:rFonts w:hint="eastAsia" w:ascii="宋体" w:hAnsi="宋体" w:eastAsia="宋体" w:cs="Times New Roman"/>
          <w:szCs w:val="21"/>
        </w:rPr>
        <w:t>座椅上表面边缘应以</w:t>
      </w:r>
      <w:r>
        <w:rPr>
          <w:rFonts w:ascii="宋体" w:hAnsi="宋体" w:eastAsia="宋体" w:cs="Times New Roman"/>
          <w:szCs w:val="21"/>
        </w:rPr>
        <w:t>R不小于3mm的圆弧过渡；座椅下部、靠背后侧棱边应圆滑过渡；</w:t>
      </w:r>
    </w:p>
    <w:p w14:paraId="06AB99FB">
      <w:pPr>
        <w:pStyle w:val="7"/>
        <w:widowControl/>
        <w:numPr>
          <w:ilvl w:val="0"/>
          <w:numId w:val="11"/>
        </w:numPr>
        <w:adjustRightInd w:val="0"/>
        <w:snapToGrid w:val="0"/>
        <w:spacing w:line="360" w:lineRule="auto"/>
        <w:ind w:firstLineChars="0"/>
        <w:jc w:val="left"/>
        <w:rPr>
          <w:rFonts w:hint="eastAsia" w:ascii="宋体" w:hAnsi="宋体"/>
          <w:szCs w:val="21"/>
        </w:rPr>
      </w:pPr>
      <w:r>
        <w:rPr>
          <w:rFonts w:ascii="宋体" w:hAnsi="宋体"/>
          <w:szCs w:val="21"/>
        </w:rPr>
        <w:t>把手直径不小于16mm且不大于45mm，把手端部直径不小于50mm</w:t>
      </w:r>
      <w:r>
        <w:rPr>
          <w:rFonts w:hint="eastAsia" w:ascii="宋体" w:hAnsi="宋体"/>
          <w:szCs w:val="21"/>
        </w:rPr>
        <w:t>；</w:t>
      </w:r>
    </w:p>
    <w:p w14:paraId="461EBBB6">
      <w:pPr>
        <w:pStyle w:val="7"/>
        <w:widowControl/>
        <w:numPr>
          <w:ilvl w:val="0"/>
          <w:numId w:val="11"/>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625B115D">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可调阻力坐式踢腿训练器</w:t>
      </w:r>
    </w:p>
    <w:p w14:paraId="2F37CBBE">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立柱尺寸</w:t>
      </w:r>
      <w:r>
        <w:rPr>
          <w:rFonts w:hint="eastAsia" w:ascii="宋体" w:hAnsi="宋体"/>
          <w:szCs w:val="21"/>
        </w:rPr>
        <w:t>：</w:t>
      </w:r>
      <w:r>
        <w:rPr>
          <w:rFonts w:ascii="宋体" w:hAnsi="宋体"/>
          <w:szCs w:val="21"/>
        </w:rPr>
        <w:t>不小于</w:t>
      </w:r>
      <w:r>
        <w:rPr>
          <w:rFonts w:hint="eastAsia" w:ascii="宋体" w:hAnsi="宋体"/>
          <w:szCs w:val="21"/>
        </w:rPr>
        <w:t>120×80×3矩形管；</w:t>
      </w:r>
    </w:p>
    <w:p w14:paraId="431F1003">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横梁尺寸</w:t>
      </w:r>
      <w:r>
        <w:rPr>
          <w:rFonts w:hint="eastAsia" w:ascii="宋体" w:hAnsi="宋体"/>
          <w:szCs w:val="21"/>
        </w:rPr>
        <w:t>：不小于100×50×3矩形管；</w:t>
      </w:r>
    </w:p>
    <w:p w14:paraId="2BEE794C">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采用配重式阻力结构，不少于4档</w:t>
      </w:r>
      <w:r>
        <w:rPr>
          <w:rFonts w:ascii="宋体" w:hAnsi="宋体"/>
          <w:szCs w:val="21"/>
        </w:rPr>
        <w:t>调节；</w:t>
      </w:r>
      <w:r>
        <w:rPr>
          <w:rFonts w:hint="eastAsia" w:ascii="宋体" w:hAnsi="宋体"/>
          <w:szCs w:val="21"/>
        </w:rPr>
        <w:t>配重块的结构设计方便使用者快速调整力矩，在滑轨上能显示对抗阻力值；</w:t>
      </w:r>
    </w:p>
    <w:p w14:paraId="549DEE40">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配重块滑轨</w:t>
      </w:r>
      <w:r>
        <w:rPr>
          <w:rFonts w:ascii="宋体" w:hAnsi="宋体"/>
          <w:szCs w:val="21"/>
        </w:rPr>
        <w:t>采用不锈钢材质；</w:t>
      </w:r>
    </w:p>
    <w:p w14:paraId="13E87C49">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内限位结构；</w:t>
      </w:r>
    </w:p>
    <w:p w14:paraId="29DC2F1F">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配重块的调节和锁定机构应作用可靠，不应与使用者的运动范围干涉；</w:t>
      </w:r>
    </w:p>
    <w:p w14:paraId="7A2A905E">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采用高密度塑木座板+靠背；</w:t>
      </w:r>
    </w:p>
    <w:p w14:paraId="2B7FF9CC">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踢腿部位采用发泡材质，使用更舒适；</w:t>
      </w:r>
    </w:p>
    <w:p w14:paraId="33F0495B">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szCs w:val="21"/>
        </w:rPr>
        <w:t>可做前踢腿训练，主要锻炼股四头肌；</w:t>
      </w:r>
    </w:p>
    <w:p w14:paraId="49B3E8E2">
      <w:pPr>
        <w:pStyle w:val="6"/>
        <w:numPr>
          <w:ilvl w:val="0"/>
          <w:numId w:val="12"/>
        </w:numPr>
        <w:snapToGrid w:val="0"/>
        <w:spacing w:line="360" w:lineRule="auto"/>
        <w:ind w:firstLineChars="0"/>
        <w:rPr>
          <w:rFonts w:hint="eastAsia" w:ascii="宋体" w:hAnsi="宋体" w:eastAsia="宋体" w:cs="Times New Roman"/>
          <w:szCs w:val="21"/>
        </w:rPr>
      </w:pPr>
      <w:r>
        <w:rPr>
          <w:rFonts w:hint="eastAsia" w:ascii="宋体" w:hAnsi="宋体" w:eastAsia="宋体" w:cs="Times New Roman"/>
          <w:szCs w:val="21"/>
        </w:rPr>
        <w:t>座椅、靠背上表面边缘应以</w:t>
      </w:r>
      <w:r>
        <w:rPr>
          <w:rFonts w:ascii="宋体" w:hAnsi="宋体" w:eastAsia="宋体" w:cs="Times New Roman"/>
          <w:szCs w:val="21"/>
        </w:rPr>
        <w:t>R不小于3mm的圆弧过渡；座椅下部、靠背后侧棱边应圆滑过渡；</w:t>
      </w:r>
    </w:p>
    <w:p w14:paraId="7EB06500">
      <w:pPr>
        <w:pStyle w:val="6"/>
        <w:numPr>
          <w:ilvl w:val="0"/>
          <w:numId w:val="12"/>
        </w:numPr>
        <w:snapToGrid w:val="0"/>
        <w:spacing w:line="360" w:lineRule="auto"/>
        <w:ind w:firstLineChars="0"/>
        <w:rPr>
          <w:rFonts w:hint="eastAsia" w:ascii="宋体" w:hAnsi="宋体" w:eastAsia="宋体" w:cs="Times New Roman"/>
          <w:szCs w:val="21"/>
        </w:rPr>
      </w:pPr>
      <w:r>
        <w:rPr>
          <w:rFonts w:ascii="宋体" w:hAnsi="宋体" w:eastAsia="宋体" w:cs="Times New Roman"/>
          <w:szCs w:val="21"/>
        </w:rPr>
        <w:t>把手直径不小于16mm且不大于45mm，把手端部直径不小于50mm</w:t>
      </w:r>
      <w:r>
        <w:rPr>
          <w:rFonts w:hint="eastAsia" w:ascii="宋体" w:hAnsi="宋体" w:eastAsia="宋体" w:cs="Times New Roman"/>
          <w:szCs w:val="21"/>
        </w:rPr>
        <w:t>；</w:t>
      </w:r>
    </w:p>
    <w:p w14:paraId="6F8FC3B2">
      <w:pPr>
        <w:pStyle w:val="7"/>
        <w:widowControl/>
        <w:numPr>
          <w:ilvl w:val="0"/>
          <w:numId w:val="12"/>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2F0006F8">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可调阻力腰部侧屈训练器</w:t>
      </w:r>
    </w:p>
    <w:p w14:paraId="3CC5D4E6">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立柱尺寸</w:t>
      </w:r>
      <w:r>
        <w:rPr>
          <w:rFonts w:hint="eastAsia" w:ascii="宋体" w:hAnsi="宋体"/>
          <w:szCs w:val="21"/>
        </w:rPr>
        <w:t>：</w:t>
      </w:r>
      <w:r>
        <w:rPr>
          <w:rFonts w:ascii="宋体" w:hAnsi="宋体"/>
          <w:szCs w:val="21"/>
        </w:rPr>
        <w:t>不小于</w:t>
      </w:r>
      <w:r>
        <w:rPr>
          <w:rFonts w:hint="eastAsia" w:ascii="宋体" w:hAnsi="宋体"/>
          <w:szCs w:val="21"/>
        </w:rPr>
        <w:t>120×80×3矩形管；</w:t>
      </w:r>
    </w:p>
    <w:p w14:paraId="4396E9A9">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横梁尺寸</w:t>
      </w:r>
      <w:r>
        <w:rPr>
          <w:rFonts w:hint="eastAsia" w:ascii="宋体" w:hAnsi="宋体"/>
          <w:szCs w:val="21"/>
        </w:rPr>
        <w:t>：不小于100×50×3矩形管；</w:t>
      </w:r>
    </w:p>
    <w:p w14:paraId="052F9891">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szCs w:val="21"/>
        </w:rPr>
        <w:t>采用配重式阻力结构，不少于4档</w:t>
      </w:r>
      <w:r>
        <w:rPr>
          <w:rFonts w:ascii="宋体" w:hAnsi="宋体"/>
          <w:szCs w:val="21"/>
        </w:rPr>
        <w:t>调节；</w:t>
      </w:r>
      <w:r>
        <w:rPr>
          <w:rFonts w:hint="eastAsia" w:ascii="宋体" w:hAnsi="宋体"/>
          <w:szCs w:val="21"/>
        </w:rPr>
        <w:t>配重块的结构设计方便使用者快速调整力矩，在滑轨上能显示对抗阻力值；</w:t>
      </w:r>
    </w:p>
    <w:p w14:paraId="00BA01A8">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szCs w:val="21"/>
        </w:rPr>
        <w:t>配重块滑轨</w:t>
      </w:r>
      <w:r>
        <w:rPr>
          <w:rFonts w:ascii="宋体" w:hAnsi="宋体"/>
          <w:szCs w:val="21"/>
        </w:rPr>
        <w:t>采用不锈钢材质；</w:t>
      </w:r>
    </w:p>
    <w:p w14:paraId="54B25AF1">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szCs w:val="21"/>
        </w:rPr>
        <w:t>配重块的调节和锁定机构应作用可靠，不应与使用者的运动范围干涉；</w:t>
      </w:r>
    </w:p>
    <w:p w14:paraId="40B8AEAA">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szCs w:val="21"/>
        </w:rPr>
        <w:t>采用高密度塑木座板+肩部靠板；</w:t>
      </w:r>
    </w:p>
    <w:p w14:paraId="36371385">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szCs w:val="21"/>
        </w:rPr>
        <w:t>可做腰部侧屈训练，主要锻炼腹外斜肌；</w:t>
      </w:r>
    </w:p>
    <w:p w14:paraId="51234B5C">
      <w:pPr>
        <w:pStyle w:val="6"/>
        <w:numPr>
          <w:ilvl w:val="0"/>
          <w:numId w:val="13"/>
        </w:numPr>
        <w:snapToGrid w:val="0"/>
        <w:spacing w:line="360" w:lineRule="auto"/>
        <w:ind w:firstLineChars="0"/>
        <w:rPr>
          <w:rFonts w:hint="eastAsia" w:ascii="宋体" w:hAnsi="宋体" w:eastAsia="宋体" w:cs="Times New Roman"/>
          <w:szCs w:val="21"/>
        </w:rPr>
      </w:pPr>
      <w:r>
        <w:rPr>
          <w:rFonts w:hint="eastAsia" w:ascii="宋体" w:hAnsi="宋体" w:eastAsia="宋体" w:cs="Times New Roman"/>
          <w:szCs w:val="21"/>
        </w:rPr>
        <w:t>座椅和肩部靠板上表面边缘应以</w:t>
      </w:r>
      <w:r>
        <w:rPr>
          <w:rFonts w:ascii="宋体" w:hAnsi="宋体" w:eastAsia="宋体" w:cs="Times New Roman"/>
          <w:szCs w:val="21"/>
        </w:rPr>
        <w:t>R不小于3mm的圆弧过渡；座椅下部、靠背后侧棱边应圆滑过渡</w:t>
      </w:r>
      <w:r>
        <w:rPr>
          <w:rFonts w:hint="eastAsia" w:ascii="宋体" w:hAnsi="宋体" w:eastAsia="宋体" w:cs="Times New Roman"/>
          <w:szCs w:val="21"/>
        </w:rPr>
        <w:t>；</w:t>
      </w:r>
    </w:p>
    <w:p w14:paraId="55EC4F87">
      <w:pPr>
        <w:pStyle w:val="6"/>
        <w:numPr>
          <w:ilvl w:val="0"/>
          <w:numId w:val="13"/>
        </w:numPr>
        <w:snapToGrid w:val="0"/>
        <w:spacing w:line="360" w:lineRule="auto"/>
        <w:ind w:firstLineChars="0"/>
        <w:rPr>
          <w:rFonts w:hint="eastAsia" w:ascii="宋体" w:hAnsi="宋体" w:eastAsia="宋体" w:cs="Times New Roman"/>
          <w:szCs w:val="21"/>
        </w:rPr>
      </w:pPr>
      <w:r>
        <w:rPr>
          <w:rFonts w:ascii="宋体" w:hAnsi="宋体" w:eastAsia="宋体" w:cs="Times New Roman"/>
          <w:szCs w:val="21"/>
        </w:rPr>
        <w:t>把手直径不小于16mm且不大于45mm，把手端部直径不小于50mm</w:t>
      </w:r>
      <w:r>
        <w:rPr>
          <w:rFonts w:hint="eastAsia" w:ascii="宋体" w:hAnsi="宋体" w:eastAsia="宋体" w:cs="Times New Roman"/>
          <w:szCs w:val="21"/>
        </w:rPr>
        <w:t>；</w:t>
      </w:r>
    </w:p>
    <w:p w14:paraId="667D1DED">
      <w:pPr>
        <w:pStyle w:val="7"/>
        <w:widowControl/>
        <w:numPr>
          <w:ilvl w:val="0"/>
          <w:numId w:val="13"/>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400A4694">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三位弹振压腿器</w:t>
      </w:r>
    </w:p>
    <w:p w14:paraId="73AB2D3B">
      <w:pPr>
        <w:pStyle w:val="6"/>
        <w:widowControl/>
        <w:numPr>
          <w:ilvl w:val="0"/>
          <w:numId w:val="14"/>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主要承载立柱采用铝合金+塑木+钢管复合立柱结构，</w:t>
      </w:r>
      <w:r>
        <w:rPr>
          <w:rFonts w:hint="eastAsia" w:ascii="宋体" w:hAnsi="宋体" w:eastAsia="宋体" w:cs="宋体"/>
          <w:color w:val="000000"/>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color w:val="000000"/>
          <w:szCs w:val="21"/>
        </w:rPr>
        <w:t>80</w:t>
      </w:r>
      <w:r>
        <w:rPr>
          <w:rFonts w:hint="eastAsia" w:ascii="宋体" w:hAnsi="宋体" w:eastAsia="宋体" w:cs="Times New Roman"/>
          <w:szCs w:val="21"/>
        </w:rPr>
        <w:t>×</w:t>
      </w:r>
      <w:r>
        <w:rPr>
          <w:rFonts w:hint="eastAsia" w:ascii="宋体" w:hAnsi="宋体" w:eastAsia="宋体" w:cs="宋体"/>
          <w:color w:val="000000"/>
          <w:szCs w:val="21"/>
        </w:rPr>
        <w:t>3.0mm</w:t>
      </w:r>
      <w:r>
        <w:rPr>
          <w:rFonts w:hint="eastAsia" w:ascii="宋体" w:hAnsi="宋体" w:eastAsia="宋体"/>
        </w:rPr>
        <w:t>；</w:t>
      </w:r>
    </w:p>
    <w:p w14:paraId="6262F852">
      <w:pPr>
        <w:pStyle w:val="6"/>
        <w:widowControl/>
        <w:numPr>
          <w:ilvl w:val="0"/>
          <w:numId w:val="14"/>
        </w:numPr>
        <w:adjustRightInd w:val="0"/>
        <w:snapToGrid w:val="0"/>
        <w:spacing w:line="360" w:lineRule="auto"/>
        <w:ind w:firstLineChars="0"/>
        <w:jc w:val="left"/>
        <w:rPr>
          <w:rFonts w:hint="eastAsia" w:ascii="宋体" w:hAnsi="宋体" w:eastAsia="宋体"/>
        </w:rPr>
      </w:pPr>
      <w:r>
        <w:rPr>
          <w:rFonts w:hint="eastAsia" w:ascii="宋体" w:hAnsi="宋体" w:eastAsia="宋体"/>
        </w:rPr>
        <w:t>器材横杠采用方管，主要承载横梁尺寸不小于70×30×3.0</w:t>
      </w:r>
      <w:r>
        <w:rPr>
          <w:rFonts w:ascii="宋体" w:hAnsi="宋体" w:eastAsia="宋体"/>
        </w:rPr>
        <w:t>mm</w:t>
      </w:r>
      <w:r>
        <w:rPr>
          <w:rFonts w:hint="eastAsia" w:ascii="宋体" w:hAnsi="宋体" w:eastAsia="宋体"/>
        </w:rPr>
        <w:t>；</w:t>
      </w:r>
    </w:p>
    <w:p w14:paraId="37363882">
      <w:pPr>
        <w:pStyle w:val="6"/>
        <w:widowControl/>
        <w:numPr>
          <w:ilvl w:val="0"/>
          <w:numId w:val="14"/>
        </w:numPr>
        <w:adjustRightInd w:val="0"/>
        <w:snapToGrid w:val="0"/>
        <w:spacing w:line="360" w:lineRule="auto"/>
        <w:ind w:firstLineChars="0"/>
        <w:jc w:val="left"/>
        <w:rPr>
          <w:rFonts w:hint="eastAsia" w:ascii="宋体" w:hAnsi="宋体" w:eastAsia="宋体"/>
        </w:rPr>
      </w:pPr>
      <w:r>
        <w:rPr>
          <w:rFonts w:hint="eastAsia" w:ascii="宋体" w:hAnsi="宋体" w:eastAsia="宋体"/>
        </w:rPr>
        <w:t>采用4根立柱3个不同高度站位设计，</w:t>
      </w:r>
      <w:r>
        <w:rPr>
          <w:rFonts w:hint="eastAsia" w:ascii="宋体" w:hAnsi="宋体" w:eastAsia="宋体" w:cs="Times New Roman"/>
        </w:rPr>
        <w:t>满足3人同时使用</w:t>
      </w:r>
      <w:r>
        <w:rPr>
          <w:rFonts w:hint="eastAsia" w:ascii="宋体" w:hAnsi="宋体" w:eastAsia="宋体"/>
        </w:rPr>
        <w:t>；</w:t>
      </w:r>
    </w:p>
    <w:p w14:paraId="22791D51">
      <w:pPr>
        <w:pStyle w:val="6"/>
        <w:widowControl/>
        <w:numPr>
          <w:ilvl w:val="0"/>
          <w:numId w:val="14"/>
        </w:numPr>
        <w:adjustRightInd w:val="0"/>
        <w:snapToGrid w:val="0"/>
        <w:spacing w:line="360" w:lineRule="auto"/>
        <w:ind w:firstLineChars="0"/>
        <w:jc w:val="left"/>
        <w:rPr>
          <w:rFonts w:hint="eastAsia" w:ascii="宋体" w:hAnsi="宋体" w:eastAsia="宋体"/>
        </w:rPr>
      </w:pPr>
      <w:r>
        <w:rPr>
          <w:rFonts w:hint="eastAsia" w:ascii="宋体" w:hAnsi="宋体" w:eastAsia="宋体"/>
        </w:rPr>
        <w:t>立柱采用外扣式封头，可防止雨水流入；</w:t>
      </w:r>
    </w:p>
    <w:p w14:paraId="024683E3">
      <w:pPr>
        <w:pStyle w:val="7"/>
        <w:widowControl/>
        <w:numPr>
          <w:ilvl w:val="0"/>
          <w:numId w:val="14"/>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65CCA406">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室外双位漫步机</w:t>
      </w:r>
    </w:p>
    <w:p w14:paraId="0061246A">
      <w:pPr>
        <w:pStyle w:val="6"/>
        <w:widowControl/>
        <w:numPr>
          <w:ilvl w:val="0"/>
          <w:numId w:val="15"/>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主要承载立柱采用铝合金+塑木+钢管复合立柱结构，外形尺寸不小于120×120mm，主承载钢管不小于120</w:t>
      </w:r>
      <w:r>
        <w:rPr>
          <w:rFonts w:hint="eastAsia" w:ascii="宋体" w:hAnsi="宋体" w:eastAsia="宋体" w:cs="Times New Roman"/>
          <w:szCs w:val="21"/>
        </w:rPr>
        <w:t>×</w:t>
      </w:r>
      <w:r>
        <w:rPr>
          <w:rFonts w:hint="eastAsia" w:ascii="宋体" w:hAnsi="宋体" w:eastAsia="宋体" w:cs="宋体"/>
          <w:color w:val="000000"/>
          <w:szCs w:val="21"/>
        </w:rPr>
        <w:t>80</w:t>
      </w:r>
      <w:r>
        <w:rPr>
          <w:rFonts w:hint="eastAsia" w:ascii="宋体" w:hAnsi="宋体" w:eastAsia="宋体" w:cs="Times New Roman"/>
          <w:szCs w:val="21"/>
        </w:rPr>
        <w:t>×</w:t>
      </w:r>
      <w:r>
        <w:rPr>
          <w:rFonts w:hint="eastAsia" w:ascii="宋体" w:hAnsi="宋体" w:eastAsia="宋体" w:cs="宋体"/>
          <w:color w:val="000000"/>
          <w:szCs w:val="21"/>
        </w:rPr>
        <w:t>3.0mm；</w:t>
      </w:r>
    </w:p>
    <w:p w14:paraId="3AEC90A3">
      <w:pPr>
        <w:pStyle w:val="6"/>
        <w:widowControl/>
        <w:numPr>
          <w:ilvl w:val="0"/>
          <w:numId w:val="15"/>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szCs w:val="21"/>
        </w:rPr>
        <w:t>摆腿管尺寸采用不小于φ60</w:t>
      </w:r>
      <w:r>
        <w:rPr>
          <w:rFonts w:ascii="宋体" w:hAnsi="宋体" w:eastAsia="宋体"/>
          <w:szCs w:val="21"/>
        </w:rPr>
        <w:t>×</w:t>
      </w:r>
      <w:r>
        <w:rPr>
          <w:rFonts w:hint="eastAsia" w:ascii="宋体" w:hAnsi="宋体" w:eastAsia="宋体"/>
          <w:szCs w:val="21"/>
        </w:rPr>
        <w:t>3.0</w:t>
      </w:r>
      <w:r>
        <w:rPr>
          <w:rFonts w:ascii="宋体" w:hAnsi="宋体" w:eastAsia="宋体"/>
          <w:szCs w:val="21"/>
        </w:rPr>
        <w:t>mm</w:t>
      </w:r>
      <w:r>
        <w:rPr>
          <w:rFonts w:hint="eastAsia" w:ascii="宋体" w:hAnsi="宋体" w:eastAsia="宋体"/>
          <w:szCs w:val="21"/>
        </w:rPr>
        <w:t>或等强度钢管；</w:t>
      </w:r>
    </w:p>
    <w:p w14:paraId="2175B766">
      <w:pPr>
        <w:numPr>
          <w:ilvl w:val="0"/>
          <w:numId w:val="15"/>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摆杆应有可靠内限位装置，且单侧摆动幅度不大于</w:t>
      </w:r>
      <w:r>
        <w:rPr>
          <w:rFonts w:ascii="宋体" w:hAnsi="宋体" w:eastAsia="宋体" w:cs="Times New Roman"/>
          <w:szCs w:val="21"/>
        </w:rPr>
        <w:t>65</w:t>
      </w:r>
      <w:r>
        <w:rPr>
          <w:rFonts w:hint="eastAsia" w:ascii="宋体" w:hAnsi="宋体" w:eastAsia="宋体" w:cs="Times New Roman"/>
          <w:szCs w:val="21"/>
        </w:rPr>
        <w:t>°；</w:t>
      </w:r>
    </w:p>
    <w:p w14:paraId="2DB70BFA">
      <w:pPr>
        <w:numPr>
          <w:ilvl w:val="0"/>
          <w:numId w:val="15"/>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踏板的主运动方向和易滑脱方向应设置高度不小于</w:t>
      </w:r>
      <w:r>
        <w:rPr>
          <w:rFonts w:ascii="宋体" w:hAnsi="宋体" w:eastAsia="宋体" w:cs="Times New Roman"/>
          <w:szCs w:val="21"/>
        </w:rPr>
        <w:t>30mm</w:t>
      </w:r>
      <w:r>
        <w:rPr>
          <w:rFonts w:hint="eastAsia" w:ascii="宋体" w:hAnsi="宋体" w:eastAsia="宋体" w:cs="Times New Roman"/>
          <w:szCs w:val="21"/>
        </w:rPr>
        <w:t>，长度大于踏板周长</w:t>
      </w:r>
      <w:r>
        <w:rPr>
          <w:rFonts w:ascii="宋体" w:hAnsi="宋体" w:eastAsia="宋体" w:cs="Times New Roman"/>
          <w:szCs w:val="21"/>
        </w:rPr>
        <w:t>2/3</w:t>
      </w:r>
      <w:r>
        <w:rPr>
          <w:rFonts w:hint="eastAsia" w:ascii="宋体" w:hAnsi="宋体" w:eastAsia="宋体" w:cs="Times New Roman"/>
          <w:szCs w:val="21"/>
        </w:rPr>
        <w:t>的防滑脱的凸台或护板；踏板前后两端设置防撞缓冲垫；</w:t>
      </w:r>
    </w:p>
    <w:p w14:paraId="6C697314">
      <w:pPr>
        <w:numPr>
          <w:ilvl w:val="0"/>
          <w:numId w:val="15"/>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摆动部件下缘距地面或底面最小高度应不小于</w:t>
      </w:r>
      <w:r>
        <w:rPr>
          <w:rFonts w:ascii="宋体" w:hAnsi="宋体" w:eastAsia="宋体" w:cs="Times New Roman"/>
          <w:szCs w:val="21"/>
        </w:rPr>
        <w:t>80mm</w:t>
      </w:r>
      <w:r>
        <w:rPr>
          <w:rFonts w:hint="eastAsia" w:ascii="宋体" w:hAnsi="宋体" w:eastAsia="宋体" w:cs="Times New Roman"/>
          <w:szCs w:val="21"/>
        </w:rPr>
        <w:t>；相邻运动的两踏板的间距应不小于</w:t>
      </w:r>
      <w:r>
        <w:rPr>
          <w:rFonts w:ascii="宋体" w:hAnsi="宋体" w:eastAsia="宋体" w:cs="Times New Roman"/>
          <w:szCs w:val="21"/>
        </w:rPr>
        <w:t>100mm</w:t>
      </w:r>
      <w:r>
        <w:rPr>
          <w:rFonts w:hint="eastAsia" w:ascii="宋体" w:hAnsi="宋体" w:eastAsia="宋体" w:cs="Times New Roman"/>
          <w:szCs w:val="21"/>
        </w:rPr>
        <w:t>；</w:t>
      </w:r>
    </w:p>
    <w:p w14:paraId="32BBDC80">
      <w:pPr>
        <w:numPr>
          <w:ilvl w:val="0"/>
          <w:numId w:val="15"/>
        </w:numPr>
        <w:snapToGrid w:val="0"/>
        <w:spacing w:line="360" w:lineRule="auto"/>
        <w:rPr>
          <w:rFonts w:hint="eastAsia" w:ascii="宋体" w:hAnsi="宋体" w:eastAsia="宋体"/>
          <w:szCs w:val="21"/>
        </w:rPr>
      </w:pPr>
      <w:r>
        <w:rPr>
          <w:rFonts w:hint="eastAsia" w:ascii="宋体" w:hAnsi="宋体" w:eastAsia="宋体" w:cs="Times New Roman"/>
          <w:szCs w:val="21"/>
        </w:rPr>
        <w:t>人体易接触区域无剪切点、卡夹、钩挂、缠绕结构；</w:t>
      </w:r>
    </w:p>
    <w:p w14:paraId="77C6FF41">
      <w:pPr>
        <w:numPr>
          <w:ilvl w:val="0"/>
          <w:numId w:val="15"/>
        </w:numPr>
        <w:snapToGrid w:val="0"/>
        <w:spacing w:line="360" w:lineRule="auto"/>
        <w:rPr>
          <w:rFonts w:hint="eastAsia" w:ascii="宋体" w:hAnsi="宋体" w:eastAsia="宋体"/>
          <w:szCs w:val="21"/>
        </w:rPr>
      </w:pPr>
      <w:r>
        <w:rPr>
          <w:rFonts w:hint="eastAsia" w:ascii="宋体" w:hAnsi="宋体" w:eastAsia="宋体" w:cs="Times New Roman"/>
          <w:szCs w:val="21"/>
        </w:rPr>
        <w:t>立柱采用外扣式封头，可防止雨水流入</w:t>
      </w:r>
      <w:r>
        <w:rPr>
          <w:rFonts w:hint="eastAsia" w:ascii="宋体" w:hAnsi="宋体" w:eastAsia="宋体"/>
          <w:szCs w:val="21"/>
        </w:rPr>
        <w:t>；</w:t>
      </w:r>
    </w:p>
    <w:p w14:paraId="14407B4A">
      <w:pPr>
        <w:pStyle w:val="7"/>
        <w:widowControl/>
        <w:numPr>
          <w:ilvl w:val="0"/>
          <w:numId w:val="15"/>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07211690">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三位扭腰器</w:t>
      </w:r>
    </w:p>
    <w:p w14:paraId="7D3DE992">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主要承载立柱采用铝合金+塑木+钢管复合立柱结构，外形尺寸不小于120×120mm，主承载钢管不小于120</w:t>
      </w:r>
      <w:r>
        <w:rPr>
          <w:rFonts w:hint="eastAsia" w:ascii="宋体" w:hAnsi="宋体" w:eastAsia="宋体" w:cs="Times New Roman"/>
          <w:szCs w:val="21"/>
        </w:rPr>
        <w:t>×</w:t>
      </w:r>
      <w:r>
        <w:rPr>
          <w:rFonts w:hint="eastAsia" w:ascii="宋体" w:hAnsi="宋体" w:eastAsia="宋体" w:cs="宋体"/>
          <w:color w:val="000000"/>
          <w:szCs w:val="21"/>
        </w:rPr>
        <w:t>80</w:t>
      </w:r>
      <w:r>
        <w:rPr>
          <w:rFonts w:hint="eastAsia" w:ascii="宋体" w:hAnsi="宋体" w:eastAsia="宋体" w:cs="Times New Roman"/>
          <w:szCs w:val="21"/>
        </w:rPr>
        <w:t>×</w:t>
      </w:r>
      <w:r>
        <w:rPr>
          <w:rFonts w:hint="eastAsia" w:ascii="宋体" w:hAnsi="宋体" w:eastAsia="宋体" w:cs="宋体"/>
          <w:color w:val="000000"/>
          <w:szCs w:val="21"/>
        </w:rPr>
        <w:t>3.0mm；</w:t>
      </w:r>
    </w:p>
    <w:p w14:paraId="7C50A209">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扭腰盘不应采用塑料材质，转盘类应设置防止超速运转的阻尼装置；</w:t>
      </w:r>
    </w:p>
    <w:p w14:paraId="0A7369FF">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脚踏部位应有防滑措施，摩擦系数应不小于0.5；</w:t>
      </w:r>
    </w:p>
    <w:p w14:paraId="2B12373F">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器材各支撑人体的表面所有棱边和尖角，应使其半径不小于3mm；使用者或第三者易接触的零部件的其他所有棱边应予以圆滑过渡或加以防护；</w:t>
      </w:r>
    </w:p>
    <w:p w14:paraId="4E00E01C">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扶手直径应不小于16mm且不大于45mm；</w:t>
      </w:r>
    </w:p>
    <w:p w14:paraId="4DE960A7">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活动部件底部距地面间的距离应不小于80mm；</w:t>
      </w:r>
    </w:p>
    <w:p w14:paraId="4E8DAEFE">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不允许存在衣服、头发钩挂或缠绕危险；</w:t>
      </w:r>
    </w:p>
    <w:p w14:paraId="45A38D6E">
      <w:pPr>
        <w:pStyle w:val="6"/>
        <w:widowControl/>
        <w:numPr>
          <w:ilvl w:val="0"/>
          <w:numId w:val="16"/>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color w:val="000000"/>
          <w:szCs w:val="21"/>
        </w:rPr>
        <w:t>不允许存在剪切点、挤压点、引入点，不允许存在刚性碰撞；</w:t>
      </w:r>
    </w:p>
    <w:p w14:paraId="62D60008">
      <w:pPr>
        <w:pStyle w:val="7"/>
        <w:widowControl/>
        <w:numPr>
          <w:ilvl w:val="0"/>
          <w:numId w:val="16"/>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0F61DEFB">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双位太极揉推器</w:t>
      </w:r>
    </w:p>
    <w:p w14:paraId="507C2385">
      <w:pPr>
        <w:pStyle w:val="6"/>
        <w:widowControl/>
        <w:numPr>
          <w:ilvl w:val="0"/>
          <w:numId w:val="17"/>
        </w:numPr>
        <w:adjustRightInd w:val="0"/>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主要承载立柱采用铝合金+塑木+钢管复合立柱结构，外形尺寸不小于120×120mm，主承载钢管不小于120</w:t>
      </w:r>
      <w:r>
        <w:rPr>
          <w:rFonts w:hint="eastAsia" w:ascii="宋体" w:hAnsi="宋体" w:eastAsia="宋体" w:cs="Times New Roman"/>
          <w:szCs w:val="21"/>
        </w:rPr>
        <w:t>×</w:t>
      </w:r>
      <w:r>
        <w:rPr>
          <w:rFonts w:hint="eastAsia" w:ascii="宋体" w:hAnsi="宋体" w:eastAsia="宋体" w:cs="宋体"/>
          <w:color w:val="000000"/>
          <w:szCs w:val="21"/>
        </w:rPr>
        <w:t>80</w:t>
      </w:r>
      <w:r>
        <w:rPr>
          <w:rFonts w:hint="eastAsia" w:ascii="宋体" w:hAnsi="宋体" w:eastAsia="宋体" w:cs="Times New Roman"/>
          <w:szCs w:val="21"/>
        </w:rPr>
        <w:t>×</w:t>
      </w:r>
      <w:r>
        <w:rPr>
          <w:rFonts w:hint="eastAsia" w:ascii="宋体" w:hAnsi="宋体" w:eastAsia="宋体" w:cs="宋体"/>
          <w:color w:val="000000"/>
          <w:szCs w:val="21"/>
        </w:rPr>
        <w:t>3.0mm；</w:t>
      </w:r>
    </w:p>
    <w:p w14:paraId="6CC3A493">
      <w:pPr>
        <w:pStyle w:val="6"/>
        <w:widowControl/>
        <w:numPr>
          <w:ilvl w:val="0"/>
          <w:numId w:val="17"/>
        </w:numPr>
        <w:adjustRightInd w:val="0"/>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主要承载横梁尺寸：不小于φ48×3.0mm；</w:t>
      </w:r>
    </w:p>
    <w:p w14:paraId="53151A06">
      <w:pPr>
        <w:pStyle w:val="6"/>
        <w:widowControl/>
        <w:numPr>
          <w:ilvl w:val="0"/>
          <w:numId w:val="17"/>
        </w:numPr>
        <w:adjustRightInd w:val="0"/>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揉推盘两圆盘间距不小于230mm；</w:t>
      </w:r>
    </w:p>
    <w:p w14:paraId="0A2CE60B">
      <w:pPr>
        <w:pStyle w:val="6"/>
        <w:widowControl/>
        <w:numPr>
          <w:ilvl w:val="0"/>
          <w:numId w:val="17"/>
        </w:numPr>
        <w:adjustRightInd w:val="0"/>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转轴部位应设置有防止超速转动的阻尼装置；</w:t>
      </w:r>
    </w:p>
    <w:p w14:paraId="2BB982DF">
      <w:pPr>
        <w:pStyle w:val="6"/>
        <w:widowControl/>
        <w:numPr>
          <w:ilvl w:val="0"/>
          <w:numId w:val="17"/>
        </w:numPr>
        <w:adjustRightInd w:val="0"/>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立柱采用外扣式封头，可防止雨水流入；</w:t>
      </w:r>
    </w:p>
    <w:p w14:paraId="14019FB4">
      <w:pPr>
        <w:pStyle w:val="7"/>
        <w:widowControl/>
        <w:numPr>
          <w:ilvl w:val="0"/>
          <w:numId w:val="17"/>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0C0F4D82">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伸背器</w:t>
      </w:r>
    </w:p>
    <w:p w14:paraId="7E514FB2">
      <w:pPr>
        <w:pStyle w:val="6"/>
        <w:widowControl/>
        <w:numPr>
          <w:ilvl w:val="0"/>
          <w:numId w:val="18"/>
        </w:numPr>
        <w:adjustRightInd w:val="0"/>
        <w:snapToGrid w:val="0"/>
        <w:spacing w:line="360" w:lineRule="auto"/>
        <w:ind w:firstLineChars="0"/>
        <w:jc w:val="left"/>
        <w:rPr>
          <w:rFonts w:hint="eastAsia" w:ascii="宋体" w:hAnsi="宋体" w:eastAsia="宋体"/>
        </w:rPr>
      </w:pPr>
      <w:bookmarkStart w:id="1" w:name="_Hlk160525717"/>
      <w:r>
        <w:rPr>
          <w:rFonts w:hint="eastAsia" w:ascii="宋体" w:hAnsi="宋体" w:eastAsia="宋体"/>
        </w:rPr>
        <w:t>主要承载立柱采用铝合金+塑木+钢管复合立柱结构，</w:t>
      </w:r>
      <w:r>
        <w:rPr>
          <w:rFonts w:hint="eastAsia" w:ascii="宋体" w:hAnsi="宋体" w:eastAsia="宋体" w:cs="宋体"/>
          <w:color w:val="000000"/>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color w:val="000000"/>
          <w:szCs w:val="21"/>
        </w:rPr>
        <w:t>80</w:t>
      </w:r>
      <w:r>
        <w:rPr>
          <w:rFonts w:hint="eastAsia" w:ascii="宋体" w:hAnsi="宋体" w:eastAsia="宋体" w:cs="Times New Roman"/>
          <w:szCs w:val="21"/>
        </w:rPr>
        <w:t>×</w:t>
      </w:r>
      <w:r>
        <w:rPr>
          <w:rFonts w:hint="eastAsia" w:ascii="宋体" w:hAnsi="宋体" w:eastAsia="宋体" w:cs="宋体"/>
          <w:color w:val="000000"/>
          <w:szCs w:val="21"/>
        </w:rPr>
        <w:t>3.0mm</w:t>
      </w:r>
      <w:r>
        <w:rPr>
          <w:rFonts w:hint="eastAsia" w:ascii="宋体" w:hAnsi="宋体" w:eastAsia="宋体"/>
        </w:rPr>
        <w:t>；</w:t>
      </w:r>
    </w:p>
    <w:p w14:paraId="006696E2">
      <w:pPr>
        <w:pStyle w:val="6"/>
        <w:widowControl/>
        <w:numPr>
          <w:ilvl w:val="0"/>
          <w:numId w:val="18"/>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主要承载横梁尺寸不小于</w:t>
      </w:r>
      <w:r>
        <w:rPr>
          <w:rFonts w:hint="eastAsia" w:ascii="宋体" w:hAnsi="宋体" w:eastAsia="宋体" w:cs="宋体"/>
          <w:color w:val="000000"/>
          <w:szCs w:val="21"/>
        </w:rPr>
        <w:t>80</w:t>
      </w:r>
      <w:r>
        <w:rPr>
          <w:rFonts w:hint="eastAsia" w:ascii="宋体" w:hAnsi="宋体" w:eastAsia="宋体" w:cs="Times New Roman"/>
          <w:szCs w:val="21"/>
        </w:rPr>
        <w:t>×</w:t>
      </w:r>
      <w:r>
        <w:rPr>
          <w:rFonts w:hint="eastAsia" w:ascii="宋体" w:hAnsi="宋体" w:eastAsia="宋体" w:cs="宋体"/>
          <w:color w:val="000000"/>
          <w:szCs w:val="21"/>
        </w:rPr>
        <w:t>40</w:t>
      </w:r>
      <w:r>
        <w:rPr>
          <w:rFonts w:hint="eastAsia" w:ascii="宋体" w:hAnsi="宋体" w:eastAsia="宋体" w:cs="Times New Roman"/>
          <w:szCs w:val="21"/>
        </w:rPr>
        <w:t>×</w:t>
      </w:r>
      <w:r>
        <w:rPr>
          <w:rFonts w:hint="eastAsia" w:ascii="宋体" w:hAnsi="宋体" w:eastAsia="宋体" w:cs="宋体"/>
          <w:color w:val="000000"/>
          <w:szCs w:val="21"/>
        </w:rPr>
        <w:t>3.0mm；</w:t>
      </w:r>
    </w:p>
    <w:p w14:paraId="76505524">
      <w:pPr>
        <w:pStyle w:val="6"/>
        <w:widowControl/>
        <w:numPr>
          <w:ilvl w:val="0"/>
          <w:numId w:val="18"/>
        </w:numPr>
        <w:adjustRightInd w:val="0"/>
        <w:snapToGrid w:val="0"/>
        <w:spacing w:line="360" w:lineRule="auto"/>
        <w:ind w:firstLineChars="0"/>
        <w:jc w:val="left"/>
        <w:rPr>
          <w:rFonts w:hint="eastAsia" w:ascii="宋体" w:hAnsi="宋体" w:eastAsia="宋体"/>
        </w:rPr>
      </w:pPr>
      <w:r>
        <w:rPr>
          <w:rFonts w:hint="eastAsia" w:ascii="宋体" w:hAnsi="宋体" w:eastAsia="宋体"/>
        </w:rPr>
        <w:t>伸背板采用不锈钢材质，并合理设置按摩凸点；</w:t>
      </w:r>
    </w:p>
    <w:p w14:paraId="60277D8B">
      <w:pPr>
        <w:pStyle w:val="6"/>
        <w:widowControl/>
        <w:numPr>
          <w:ilvl w:val="0"/>
          <w:numId w:val="18"/>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不允许存在衣服、头发钩挂或缠绕危险；</w:t>
      </w:r>
    </w:p>
    <w:p w14:paraId="4AB262F7">
      <w:pPr>
        <w:pStyle w:val="6"/>
        <w:widowControl/>
        <w:numPr>
          <w:ilvl w:val="0"/>
          <w:numId w:val="18"/>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扶手直径应不小于</w:t>
      </w:r>
      <w:r>
        <w:rPr>
          <w:rFonts w:ascii="宋体" w:hAnsi="宋体" w:eastAsia="宋体" w:cs="Times New Roman"/>
        </w:rPr>
        <w:t>16mm</w:t>
      </w:r>
      <w:r>
        <w:rPr>
          <w:rFonts w:hint="eastAsia" w:ascii="宋体" w:hAnsi="宋体" w:eastAsia="宋体" w:cs="Times New Roman"/>
        </w:rPr>
        <w:t>且不大于</w:t>
      </w:r>
      <w:r>
        <w:rPr>
          <w:rFonts w:ascii="宋体" w:hAnsi="宋体" w:eastAsia="宋体" w:cs="Times New Roman"/>
        </w:rPr>
        <w:t>45mm</w:t>
      </w:r>
      <w:r>
        <w:rPr>
          <w:rFonts w:hint="eastAsia" w:ascii="宋体" w:hAnsi="宋体" w:eastAsia="宋体"/>
        </w:rPr>
        <w:t>；</w:t>
      </w:r>
    </w:p>
    <w:p w14:paraId="201C1594">
      <w:pPr>
        <w:pStyle w:val="6"/>
        <w:widowControl/>
        <w:numPr>
          <w:ilvl w:val="0"/>
          <w:numId w:val="18"/>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器材各支撑人体的表面所有棱边和尖角，应使其半径不小于</w:t>
      </w:r>
      <w:r>
        <w:rPr>
          <w:rFonts w:ascii="宋体" w:hAnsi="宋体" w:eastAsia="宋体" w:cs="Times New Roman"/>
        </w:rPr>
        <w:t>3mm</w:t>
      </w:r>
      <w:r>
        <w:rPr>
          <w:rFonts w:hint="eastAsia" w:ascii="宋体" w:hAnsi="宋体" w:eastAsia="宋体" w:cs="Times New Roman"/>
        </w:rPr>
        <w:t>；使用者或第三者易接触的零部件的其他所有棱边应予以圆滑过渡或加以防护</w:t>
      </w:r>
      <w:r>
        <w:rPr>
          <w:rFonts w:hint="eastAsia" w:ascii="宋体" w:hAnsi="宋体" w:eastAsia="宋体"/>
        </w:rPr>
        <w:t>；</w:t>
      </w:r>
    </w:p>
    <w:bookmarkEnd w:id="1"/>
    <w:p w14:paraId="5027F9B5">
      <w:pPr>
        <w:pStyle w:val="7"/>
        <w:widowControl/>
        <w:numPr>
          <w:ilvl w:val="0"/>
          <w:numId w:val="18"/>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11FCA5A8">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腰背按摩器</w:t>
      </w:r>
    </w:p>
    <w:p w14:paraId="2803CB54">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主要承载立柱采用铝合金+塑木+钢管复合立柱结构，</w:t>
      </w:r>
      <w:r>
        <w:rPr>
          <w:rFonts w:hint="eastAsia" w:ascii="宋体" w:hAnsi="宋体" w:eastAsia="宋体" w:cs="宋体"/>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r>
        <w:rPr>
          <w:rFonts w:hint="eastAsia" w:ascii="宋体" w:hAnsi="宋体" w:eastAsia="宋体"/>
        </w:rPr>
        <w:t>；</w:t>
      </w:r>
    </w:p>
    <w:p w14:paraId="007E4055">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主要承载横梁尺寸不小于</w:t>
      </w:r>
      <w:r>
        <w:rPr>
          <w:rFonts w:hint="eastAsia" w:ascii="宋体" w:hAnsi="宋体" w:eastAsia="宋体" w:cs="宋体"/>
          <w:szCs w:val="21"/>
        </w:rPr>
        <w:t>φ48</w:t>
      </w:r>
      <w:r>
        <w:rPr>
          <w:rFonts w:hint="eastAsia" w:ascii="宋体" w:hAnsi="宋体" w:eastAsia="宋体" w:cs="Times New Roman"/>
          <w:szCs w:val="21"/>
        </w:rPr>
        <w:t>×</w:t>
      </w:r>
      <w:r>
        <w:rPr>
          <w:rFonts w:hint="eastAsia" w:ascii="宋体" w:hAnsi="宋体" w:eastAsia="宋体" w:cs="宋体"/>
          <w:szCs w:val="21"/>
        </w:rPr>
        <w:t>3.0mm；</w:t>
      </w:r>
    </w:p>
    <w:p w14:paraId="73728A77">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按摩轮与刚性固定部件间最小距离小于2mm</w:t>
      </w:r>
      <w:r>
        <w:rPr>
          <w:rFonts w:hint="eastAsia" w:ascii="宋体" w:hAnsi="宋体" w:eastAsia="宋体"/>
        </w:rPr>
        <w:t>；</w:t>
      </w:r>
    </w:p>
    <w:p w14:paraId="7E30BF5F">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不允许存在剪切点、挤压点、引入点，不允许存在刚性碰撞</w:t>
      </w:r>
      <w:r>
        <w:rPr>
          <w:rFonts w:hint="eastAsia" w:ascii="宋体" w:hAnsi="宋体" w:eastAsia="宋体"/>
        </w:rPr>
        <w:t>；</w:t>
      </w:r>
    </w:p>
    <w:p w14:paraId="218B2F58">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转轴直径不小于25mm</w:t>
      </w:r>
      <w:r>
        <w:rPr>
          <w:rFonts w:hint="eastAsia" w:ascii="宋体" w:hAnsi="宋体" w:eastAsia="宋体"/>
        </w:rPr>
        <w:t>；</w:t>
      </w:r>
    </w:p>
    <w:p w14:paraId="6B3B61D8">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不允许存在衣服、头发钩挂或缠绕危险</w:t>
      </w:r>
      <w:r>
        <w:rPr>
          <w:rFonts w:hint="eastAsia" w:ascii="宋体" w:hAnsi="宋体" w:eastAsia="宋体"/>
        </w:rPr>
        <w:t>；</w:t>
      </w:r>
    </w:p>
    <w:p w14:paraId="35DB1FBD">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扶手直径应不小于</w:t>
      </w:r>
      <w:r>
        <w:rPr>
          <w:rFonts w:ascii="宋体" w:hAnsi="宋体" w:eastAsia="宋体" w:cs="Times New Roman"/>
        </w:rPr>
        <w:t>16mm</w:t>
      </w:r>
      <w:r>
        <w:rPr>
          <w:rFonts w:hint="eastAsia" w:ascii="宋体" w:hAnsi="宋体" w:eastAsia="宋体" w:cs="Times New Roman"/>
        </w:rPr>
        <w:t>且不大于</w:t>
      </w:r>
      <w:r>
        <w:rPr>
          <w:rFonts w:ascii="宋体" w:hAnsi="宋体" w:eastAsia="宋体" w:cs="Times New Roman"/>
        </w:rPr>
        <w:t>45mm</w:t>
      </w:r>
      <w:r>
        <w:rPr>
          <w:rFonts w:hint="eastAsia" w:ascii="宋体" w:hAnsi="宋体" w:eastAsia="宋体"/>
        </w:rPr>
        <w:t>；</w:t>
      </w:r>
      <w:r>
        <w:rPr>
          <w:rFonts w:hint="eastAsia" w:ascii="宋体" w:hAnsi="宋体" w:eastAsia="宋体" w:cs="Times New Roman"/>
        </w:rPr>
        <w:t>把手端部直径不小于50mm</w:t>
      </w:r>
      <w:r>
        <w:rPr>
          <w:rFonts w:hint="eastAsia" w:ascii="宋体" w:hAnsi="宋体" w:eastAsia="宋体"/>
        </w:rPr>
        <w:t>；</w:t>
      </w:r>
    </w:p>
    <w:p w14:paraId="1A632D42">
      <w:pPr>
        <w:pStyle w:val="6"/>
        <w:widowControl/>
        <w:numPr>
          <w:ilvl w:val="0"/>
          <w:numId w:val="19"/>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立柱采用外扣式封头，可防止雨水流入；</w:t>
      </w:r>
    </w:p>
    <w:p w14:paraId="62FD5557">
      <w:pPr>
        <w:pStyle w:val="7"/>
        <w:widowControl/>
        <w:numPr>
          <w:ilvl w:val="0"/>
          <w:numId w:val="19"/>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47759E13">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双位蹬力训练器</w:t>
      </w:r>
    </w:p>
    <w:p w14:paraId="0613A4B9">
      <w:pPr>
        <w:pStyle w:val="6"/>
        <w:widowControl/>
        <w:numPr>
          <w:ilvl w:val="0"/>
          <w:numId w:val="20"/>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主要承载立柱采用铝合金+塑木+钢管复合立柱结构，</w:t>
      </w:r>
      <w:r>
        <w:rPr>
          <w:rFonts w:hint="eastAsia" w:ascii="宋体" w:hAnsi="宋体" w:eastAsia="宋体" w:cs="宋体"/>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r>
        <w:rPr>
          <w:rFonts w:hint="eastAsia" w:ascii="宋体" w:hAnsi="宋体" w:eastAsia="宋体"/>
        </w:rPr>
        <w:t>；</w:t>
      </w:r>
    </w:p>
    <w:p w14:paraId="140D541C">
      <w:pPr>
        <w:pStyle w:val="6"/>
        <w:widowControl/>
        <w:numPr>
          <w:ilvl w:val="0"/>
          <w:numId w:val="20"/>
        </w:numPr>
        <w:adjustRightInd w:val="0"/>
        <w:snapToGrid w:val="0"/>
        <w:spacing w:line="360" w:lineRule="auto"/>
        <w:ind w:firstLineChars="0"/>
        <w:jc w:val="left"/>
        <w:rPr>
          <w:rFonts w:hint="eastAsia" w:ascii="宋体" w:hAnsi="宋体" w:eastAsia="宋体"/>
        </w:rPr>
      </w:pPr>
      <w:r>
        <w:rPr>
          <w:rFonts w:hint="eastAsia" w:ascii="宋体" w:hAnsi="宋体" w:eastAsia="宋体"/>
        </w:rPr>
        <w:t>主要</w:t>
      </w:r>
      <w:r>
        <w:rPr>
          <w:rFonts w:ascii="宋体" w:hAnsi="宋体" w:eastAsia="宋体"/>
        </w:rPr>
        <w:t>承载横梁尺寸不小于80</w:t>
      </w:r>
      <w:r>
        <w:rPr>
          <w:rFonts w:hint="eastAsia" w:ascii="宋体" w:hAnsi="宋体" w:eastAsia="宋体"/>
        </w:rPr>
        <w:t>×</w:t>
      </w:r>
      <w:r>
        <w:rPr>
          <w:rFonts w:ascii="宋体" w:hAnsi="宋体" w:eastAsia="宋体"/>
        </w:rPr>
        <w:t>8</w:t>
      </w:r>
      <w:r>
        <w:rPr>
          <w:rFonts w:hint="eastAsia" w:ascii="宋体" w:hAnsi="宋体" w:eastAsia="宋体"/>
        </w:rPr>
        <w:t>0×</w:t>
      </w:r>
      <w:r>
        <w:rPr>
          <w:rFonts w:ascii="宋体" w:hAnsi="宋体" w:eastAsia="宋体"/>
        </w:rPr>
        <w:t>3</w:t>
      </w:r>
      <w:r>
        <w:rPr>
          <w:rFonts w:hint="eastAsia" w:ascii="宋体" w:hAnsi="宋体" w:eastAsia="宋体"/>
        </w:rPr>
        <w:t>.0</w:t>
      </w:r>
      <w:r>
        <w:rPr>
          <w:rFonts w:ascii="宋体" w:hAnsi="宋体" w:eastAsia="宋体"/>
        </w:rPr>
        <w:t>mm强度钢管；</w:t>
      </w:r>
    </w:p>
    <w:p w14:paraId="2985981C">
      <w:pPr>
        <w:pStyle w:val="6"/>
        <w:widowControl/>
        <w:numPr>
          <w:ilvl w:val="0"/>
          <w:numId w:val="20"/>
        </w:numPr>
        <w:adjustRightInd w:val="0"/>
        <w:snapToGrid w:val="0"/>
        <w:spacing w:line="360" w:lineRule="auto"/>
        <w:ind w:firstLineChars="0"/>
        <w:jc w:val="left"/>
        <w:rPr>
          <w:rFonts w:hint="eastAsia" w:ascii="宋体" w:hAnsi="宋体" w:eastAsia="宋体"/>
        </w:rPr>
      </w:pPr>
      <w:r>
        <w:rPr>
          <w:rFonts w:hint="eastAsia" w:ascii="宋体" w:hAnsi="宋体" w:eastAsia="宋体"/>
        </w:rPr>
        <w:t>蹬力器摆杆有限制摆幅的限位装置，摆管尺寸不小于φ60×3.0mm；</w:t>
      </w:r>
    </w:p>
    <w:p w14:paraId="70A41314">
      <w:pPr>
        <w:pStyle w:val="6"/>
        <w:widowControl/>
        <w:numPr>
          <w:ilvl w:val="0"/>
          <w:numId w:val="20"/>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座椅、靠背上表面边缘应以R不小于3mm的圆弧过渡</w:t>
      </w:r>
      <w:r>
        <w:rPr>
          <w:rFonts w:hint="eastAsia" w:ascii="宋体" w:hAnsi="宋体" w:eastAsia="宋体"/>
        </w:rPr>
        <w:t>，</w:t>
      </w:r>
      <w:r>
        <w:rPr>
          <w:rFonts w:hint="eastAsia" w:ascii="宋体" w:hAnsi="宋体" w:eastAsia="宋体" w:cs="Times New Roman"/>
        </w:rPr>
        <w:t>座椅下部、靠背后侧棱边R不小于2mm；</w:t>
      </w:r>
    </w:p>
    <w:p w14:paraId="0C96B7B7">
      <w:pPr>
        <w:pStyle w:val="6"/>
        <w:widowControl/>
        <w:numPr>
          <w:ilvl w:val="0"/>
          <w:numId w:val="20"/>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摆杆与立柱之间的距离不小于230mm；摆杆最下端与场地表面之间的最小距离应</w:t>
      </w:r>
      <w:r>
        <w:rPr>
          <w:rFonts w:hint="eastAsia" w:ascii="宋体" w:hAnsi="宋体" w:eastAsia="宋体"/>
        </w:rPr>
        <w:t>不小于</w:t>
      </w:r>
      <w:r>
        <w:rPr>
          <w:rFonts w:hint="eastAsia" w:ascii="宋体" w:hAnsi="宋体" w:eastAsia="宋体" w:cs="Times New Roman"/>
        </w:rPr>
        <w:t>400mm；</w:t>
      </w:r>
    </w:p>
    <w:p w14:paraId="2BBEADF2">
      <w:pPr>
        <w:pStyle w:val="6"/>
        <w:widowControl/>
        <w:numPr>
          <w:ilvl w:val="0"/>
          <w:numId w:val="20"/>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不允许存在剪切点、挤压点、引入点，不允许存在刚性碰撞</w:t>
      </w:r>
      <w:r>
        <w:rPr>
          <w:rFonts w:hint="eastAsia" w:ascii="宋体" w:hAnsi="宋体" w:eastAsia="宋体"/>
        </w:rPr>
        <w:t>，</w:t>
      </w:r>
      <w:r>
        <w:rPr>
          <w:rFonts w:hint="eastAsia" w:ascii="宋体" w:hAnsi="宋体" w:eastAsia="宋体" w:cs="Times New Roman"/>
        </w:rPr>
        <w:t>脚踏部位有防滑措施</w:t>
      </w:r>
      <w:r>
        <w:rPr>
          <w:rFonts w:hint="eastAsia" w:ascii="宋体" w:hAnsi="宋体" w:eastAsia="宋体"/>
        </w:rPr>
        <w:t>，</w:t>
      </w:r>
      <w:r>
        <w:rPr>
          <w:rFonts w:hint="eastAsia" w:ascii="宋体" w:hAnsi="宋体" w:eastAsia="宋体" w:cs="Times New Roman"/>
        </w:rPr>
        <w:t>摩擦系数大于0.5；</w:t>
      </w:r>
    </w:p>
    <w:p w14:paraId="07C99711">
      <w:pPr>
        <w:pStyle w:val="6"/>
        <w:widowControl/>
        <w:numPr>
          <w:ilvl w:val="0"/>
          <w:numId w:val="20"/>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转轴直径不小于25mm，限位轴直径不小于20mm；</w:t>
      </w:r>
    </w:p>
    <w:p w14:paraId="7ECFEC1A">
      <w:pPr>
        <w:pStyle w:val="6"/>
        <w:widowControl/>
        <w:numPr>
          <w:ilvl w:val="0"/>
          <w:numId w:val="20"/>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轴承座最薄处壁厚不小于6mm，轴承选用不小于6205承载能力的深沟球轴；安装轴承处应采取有效防水、防尘措施；</w:t>
      </w:r>
    </w:p>
    <w:p w14:paraId="364552CC">
      <w:pPr>
        <w:pStyle w:val="7"/>
        <w:widowControl/>
        <w:numPr>
          <w:ilvl w:val="0"/>
          <w:numId w:val="20"/>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4C96B83E">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伸展器</w:t>
      </w:r>
    </w:p>
    <w:p w14:paraId="061EFC99">
      <w:pPr>
        <w:pStyle w:val="6"/>
        <w:widowControl/>
        <w:numPr>
          <w:ilvl w:val="0"/>
          <w:numId w:val="21"/>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szCs w:val="21"/>
        </w:rPr>
        <w:t>主要承载立柱采用铝合金+塑木+钢管复合立柱结构，外形尺寸不小于120×120mm，主承载钢管不小于120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p>
    <w:p w14:paraId="5A441FB4">
      <w:pPr>
        <w:pStyle w:val="6"/>
        <w:widowControl/>
        <w:numPr>
          <w:ilvl w:val="0"/>
          <w:numId w:val="21"/>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主要承载横梁尺寸不小于</w:t>
      </w:r>
      <w:r>
        <w:rPr>
          <w:rFonts w:hint="eastAsia" w:ascii="宋体" w:hAnsi="宋体" w:eastAsia="宋体" w:cs="宋体"/>
          <w:szCs w:val="21"/>
        </w:rPr>
        <w:t>φ120</w:t>
      </w:r>
      <w:r>
        <w:rPr>
          <w:rFonts w:hint="eastAsia" w:ascii="宋体" w:hAnsi="宋体" w:eastAsia="宋体" w:cs="Times New Roman"/>
          <w:szCs w:val="21"/>
        </w:rPr>
        <w:t>×</w:t>
      </w:r>
      <w:r>
        <w:rPr>
          <w:rFonts w:hint="eastAsia" w:ascii="宋体" w:hAnsi="宋体" w:eastAsia="宋体" w:cs="宋体"/>
          <w:szCs w:val="21"/>
        </w:rPr>
        <w:t>3.0mm；</w:t>
      </w:r>
    </w:p>
    <w:p w14:paraId="231E88F9">
      <w:pPr>
        <w:pStyle w:val="6"/>
        <w:widowControl/>
        <w:numPr>
          <w:ilvl w:val="0"/>
          <w:numId w:val="21"/>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szCs w:val="21"/>
        </w:rPr>
        <w:t>扶手管直径应不小于16mm且不大于45mm；</w:t>
      </w:r>
    </w:p>
    <w:p w14:paraId="2E28DCA7">
      <w:pPr>
        <w:pStyle w:val="6"/>
        <w:widowControl/>
        <w:numPr>
          <w:ilvl w:val="0"/>
          <w:numId w:val="21"/>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szCs w:val="21"/>
        </w:rPr>
        <w:t>座板采用钢板一次冲压成型，厚度不小于4mm；</w:t>
      </w:r>
    </w:p>
    <w:p w14:paraId="74AE9651">
      <w:pPr>
        <w:pStyle w:val="6"/>
        <w:widowControl/>
        <w:numPr>
          <w:ilvl w:val="0"/>
          <w:numId w:val="21"/>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szCs w:val="21"/>
        </w:rPr>
        <w:t>转轴部位设置限位装置，轴承部位设置有密封圈，防尘、防水；</w:t>
      </w:r>
    </w:p>
    <w:p w14:paraId="0FC78020">
      <w:pPr>
        <w:pStyle w:val="6"/>
        <w:widowControl/>
        <w:numPr>
          <w:ilvl w:val="0"/>
          <w:numId w:val="21"/>
        </w:numPr>
        <w:adjustRightInd w:val="0"/>
        <w:snapToGrid w:val="0"/>
        <w:spacing w:line="360" w:lineRule="auto"/>
        <w:ind w:firstLineChars="0"/>
        <w:jc w:val="left"/>
        <w:rPr>
          <w:rFonts w:hint="eastAsia" w:ascii="宋体" w:hAnsi="宋体" w:eastAsia="宋体"/>
        </w:rPr>
      </w:pPr>
      <w:r>
        <w:rPr>
          <w:rFonts w:hint="eastAsia" w:ascii="宋体" w:hAnsi="宋体" w:eastAsia="宋体"/>
        </w:rPr>
        <w:t>立柱采用外扣式封头</w:t>
      </w:r>
      <w:r>
        <w:rPr>
          <w:rFonts w:hint="eastAsia" w:ascii="宋体" w:hAnsi="宋体" w:eastAsia="宋体" w:cs="Times New Roman"/>
        </w:rPr>
        <w:t>，可防止雨水流入</w:t>
      </w:r>
      <w:r>
        <w:rPr>
          <w:rFonts w:hint="eastAsia" w:ascii="宋体" w:hAnsi="宋体" w:eastAsia="宋体"/>
        </w:rPr>
        <w:t>。</w:t>
      </w:r>
    </w:p>
    <w:p w14:paraId="437523BC">
      <w:pPr>
        <w:pStyle w:val="7"/>
        <w:widowControl/>
        <w:numPr>
          <w:ilvl w:val="0"/>
          <w:numId w:val="21"/>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7A78C476">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多功能锻炼器</w:t>
      </w:r>
    </w:p>
    <w:p w14:paraId="764464B6">
      <w:pPr>
        <w:pStyle w:val="6"/>
        <w:widowControl/>
        <w:numPr>
          <w:ilvl w:val="0"/>
          <w:numId w:val="22"/>
        </w:numPr>
        <w:adjustRightInd w:val="0"/>
        <w:snapToGrid w:val="0"/>
        <w:spacing w:line="360" w:lineRule="auto"/>
        <w:ind w:firstLineChars="0"/>
        <w:jc w:val="left"/>
        <w:rPr>
          <w:rFonts w:hint="eastAsia" w:ascii="宋体" w:hAnsi="宋体" w:eastAsia="宋体"/>
          <w:szCs w:val="21"/>
        </w:rPr>
      </w:pPr>
      <w:r>
        <w:rPr>
          <w:rFonts w:hint="eastAsia" w:ascii="宋体" w:hAnsi="宋体" w:eastAsia="宋体" w:cs="宋体"/>
          <w:szCs w:val="21"/>
        </w:rPr>
        <w:t>主要承载立柱采用铝合金+塑木+钢管复合立柱结构，外形尺寸不小于120×120mm，主承载钢管不小于120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p>
    <w:p w14:paraId="59625F13">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szCs w:val="21"/>
        </w:rPr>
        <w:t>主要承载</w:t>
      </w:r>
      <w:r>
        <w:rPr>
          <w:rFonts w:ascii="宋体" w:hAnsi="宋体"/>
          <w:szCs w:val="21"/>
        </w:rPr>
        <w:t>横梁尺寸不小于</w:t>
      </w:r>
      <w:r>
        <w:rPr>
          <w:rFonts w:hint="eastAsia" w:ascii="宋体" w:hAnsi="宋体"/>
          <w:szCs w:val="21"/>
        </w:rPr>
        <w:t>φ60×3.0mm；</w:t>
      </w:r>
    </w:p>
    <w:p w14:paraId="06B9A9C3">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szCs w:val="21"/>
        </w:rPr>
        <w:t>器材</w:t>
      </w:r>
      <w:r>
        <w:rPr>
          <w:rFonts w:ascii="宋体" w:hAnsi="宋体"/>
          <w:szCs w:val="21"/>
        </w:rPr>
        <w:t>采用</w:t>
      </w:r>
      <w:r>
        <w:rPr>
          <w:rFonts w:hint="eastAsia" w:ascii="宋体" w:hAnsi="宋体"/>
          <w:szCs w:val="21"/>
        </w:rPr>
        <w:t>双立柱</w:t>
      </w:r>
      <w:r>
        <w:rPr>
          <w:rFonts w:ascii="宋体" w:hAnsi="宋体"/>
          <w:szCs w:val="21"/>
        </w:rPr>
        <w:t>设计，更稳固、安全；</w:t>
      </w:r>
    </w:p>
    <w:p w14:paraId="2A720C7C">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szCs w:val="21"/>
        </w:rPr>
        <w:t>器材需同时具备俯卧撑</w:t>
      </w:r>
      <w:r>
        <w:rPr>
          <w:rFonts w:ascii="宋体" w:hAnsi="宋体"/>
          <w:szCs w:val="21"/>
        </w:rPr>
        <w:t>、</w:t>
      </w:r>
      <w:r>
        <w:rPr>
          <w:rFonts w:hint="eastAsia" w:ascii="宋体" w:hAnsi="宋体"/>
          <w:szCs w:val="21"/>
        </w:rPr>
        <w:t>曲臂提膝、单杠（引体向上、悬垂</w:t>
      </w:r>
      <w:r>
        <w:rPr>
          <w:rFonts w:ascii="宋体" w:hAnsi="宋体"/>
          <w:szCs w:val="21"/>
        </w:rPr>
        <w:t>举腿</w:t>
      </w:r>
      <w:r>
        <w:rPr>
          <w:rFonts w:hint="eastAsia" w:ascii="宋体" w:hAnsi="宋体"/>
          <w:szCs w:val="21"/>
        </w:rPr>
        <w:t>）等功能；</w:t>
      </w:r>
    </w:p>
    <w:p w14:paraId="0422946A">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szCs w:val="21"/>
        </w:rPr>
        <w:t>俯卧撑：</w:t>
      </w:r>
      <w:r>
        <w:rPr>
          <w:rFonts w:ascii="宋体" w:hAnsi="宋体"/>
          <w:szCs w:val="21"/>
        </w:rPr>
        <w:t>双手紧握把手，</w:t>
      </w:r>
      <w:r>
        <w:rPr>
          <w:rFonts w:hint="eastAsia" w:ascii="宋体" w:hAnsi="宋体" w:cs="宋体"/>
          <w:szCs w:val="21"/>
        </w:rPr>
        <w:t>作俯卧撑运动；</w:t>
      </w:r>
    </w:p>
    <w:p w14:paraId="6485409A">
      <w:pPr>
        <w:pStyle w:val="7"/>
        <w:widowControl/>
        <w:adjustRightInd w:val="0"/>
        <w:snapToGrid w:val="0"/>
        <w:spacing w:line="360" w:lineRule="auto"/>
        <w:ind w:left="142" w:firstLine="0" w:firstLineChars="0"/>
        <w:jc w:val="left"/>
        <w:rPr>
          <w:rFonts w:hint="eastAsia" w:ascii="宋体" w:hAnsi="宋体"/>
          <w:szCs w:val="21"/>
        </w:rPr>
      </w:pPr>
      <w:r>
        <w:rPr>
          <w:rFonts w:hint="eastAsia" w:ascii="宋体" w:hAnsi="宋体"/>
          <w:szCs w:val="21"/>
        </w:rPr>
        <w:t>双杠：a.屈臂提膝：两肘置于两边圆管上，双手握紧把手，腰部紧靠支撑板，双腿垂直</w:t>
      </w:r>
      <w:r>
        <w:rPr>
          <w:rFonts w:ascii="宋体" w:hAnsi="宋体"/>
          <w:szCs w:val="21"/>
        </w:rPr>
        <w:t>弯曲</w:t>
      </w:r>
      <w:r>
        <w:rPr>
          <w:rFonts w:hint="eastAsia" w:ascii="宋体" w:hAnsi="宋体"/>
          <w:szCs w:val="21"/>
        </w:rPr>
        <w:t>上举或</w:t>
      </w:r>
      <w:r>
        <w:rPr>
          <w:rFonts w:ascii="宋体" w:hAnsi="宋体"/>
          <w:szCs w:val="21"/>
        </w:rPr>
        <w:t>平直上举</w:t>
      </w:r>
      <w:r>
        <w:rPr>
          <w:rFonts w:hint="eastAsia" w:ascii="宋体" w:hAnsi="宋体"/>
          <w:szCs w:val="21"/>
        </w:rPr>
        <w:t>，使大腿贴近胸部，腹肌收缩弓背；b.手臂屈伸:双臂支撑身体,在杠上作手臂屈伸撑体运动；</w:t>
      </w:r>
    </w:p>
    <w:p w14:paraId="0E65FAD9">
      <w:pPr>
        <w:pStyle w:val="7"/>
        <w:widowControl/>
        <w:adjustRightInd w:val="0"/>
        <w:snapToGrid w:val="0"/>
        <w:spacing w:line="360" w:lineRule="auto"/>
        <w:ind w:left="142" w:firstLine="0" w:firstLineChars="0"/>
        <w:jc w:val="left"/>
        <w:rPr>
          <w:rFonts w:hint="eastAsia" w:ascii="宋体" w:hAnsi="宋体"/>
          <w:szCs w:val="21"/>
        </w:rPr>
      </w:pPr>
      <w:r>
        <w:rPr>
          <w:rFonts w:hint="eastAsia" w:ascii="宋体" w:hAnsi="宋体"/>
          <w:szCs w:val="21"/>
        </w:rPr>
        <w:t>单杠：双手握紧横杠,作引体向上或悬垂举腿等运动；</w:t>
      </w:r>
    </w:p>
    <w:p w14:paraId="2AA3B27A">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szCs w:val="21"/>
        </w:rPr>
        <w:t>俯卧撑</w:t>
      </w:r>
      <w:r>
        <w:rPr>
          <w:rFonts w:ascii="宋体" w:hAnsi="宋体"/>
          <w:szCs w:val="21"/>
        </w:rPr>
        <w:t>、</w:t>
      </w:r>
      <w:r>
        <w:rPr>
          <w:rFonts w:hint="eastAsia" w:ascii="宋体" w:hAnsi="宋体"/>
          <w:szCs w:val="21"/>
        </w:rPr>
        <w:t>引体向上、曲臂提膝等手握持把手应不小于</w:t>
      </w:r>
      <w:r>
        <w:rPr>
          <w:rFonts w:ascii="宋体" w:hAnsi="宋体"/>
          <w:szCs w:val="21"/>
        </w:rPr>
        <w:t>16mm</w:t>
      </w:r>
      <w:r>
        <w:rPr>
          <w:rFonts w:hint="eastAsia" w:ascii="宋体" w:hAnsi="宋体"/>
          <w:szCs w:val="21"/>
        </w:rPr>
        <w:t>且不大于</w:t>
      </w:r>
      <w:r>
        <w:rPr>
          <w:rFonts w:ascii="宋体" w:hAnsi="宋体"/>
          <w:szCs w:val="21"/>
        </w:rPr>
        <w:t>45mm</w:t>
      </w:r>
      <w:r>
        <w:rPr>
          <w:rFonts w:hint="eastAsia" w:ascii="宋体" w:hAnsi="宋体"/>
          <w:szCs w:val="21"/>
        </w:rPr>
        <w:t>；</w:t>
      </w:r>
    </w:p>
    <w:p w14:paraId="6B832534">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szCs w:val="21"/>
        </w:rPr>
        <w:t>把手端部直径不小于50mm；</w:t>
      </w:r>
    </w:p>
    <w:p w14:paraId="0BA7457D">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szCs w:val="21"/>
        </w:rPr>
        <w:t>立柱采用外扣式钢制封头，可防止雨水流入。</w:t>
      </w:r>
    </w:p>
    <w:p w14:paraId="44AAC613">
      <w:pPr>
        <w:pStyle w:val="7"/>
        <w:widowControl/>
        <w:numPr>
          <w:ilvl w:val="0"/>
          <w:numId w:val="22"/>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1AD50A82">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上肢牵引器</w:t>
      </w:r>
    </w:p>
    <w:p w14:paraId="6E088674">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主要承载立柱采用铝合金+塑木+钢管复合立柱结构，外形尺寸不小于120×120mm，主承载钢管不小于120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p>
    <w:p w14:paraId="3BEA9BBE">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主要承载</w:t>
      </w:r>
      <w:r>
        <w:rPr>
          <w:rFonts w:ascii="宋体" w:hAnsi="宋体" w:eastAsia="宋体" w:cs="宋体"/>
          <w:szCs w:val="21"/>
        </w:rPr>
        <w:t>横梁尺寸不小于φ60</w:t>
      </w:r>
      <w:r>
        <w:rPr>
          <w:rFonts w:ascii="宋体" w:hAnsi="宋体" w:eastAsia="宋体"/>
        </w:rPr>
        <w:t>×3.0mm</w:t>
      </w:r>
      <w:r>
        <w:rPr>
          <w:rFonts w:hint="eastAsia" w:ascii="宋体" w:hAnsi="宋体" w:eastAsia="宋体"/>
        </w:rPr>
        <w:t>；</w:t>
      </w:r>
    </w:p>
    <w:p w14:paraId="62EA5651">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活动把手（不含柔性部件）质量不大于600g，柔性部件质量不大于600g；</w:t>
      </w:r>
    </w:p>
    <w:p w14:paraId="2994AB68">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若使用链环结构时，链扣之间最大间隙小于8mm；</w:t>
      </w:r>
    </w:p>
    <w:p w14:paraId="3221A254">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轴承有防尘、防水结构；</w:t>
      </w:r>
    </w:p>
    <w:p w14:paraId="24C8EE38">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把手直径不小于</w:t>
      </w:r>
      <w:r>
        <w:rPr>
          <w:rFonts w:ascii="宋体" w:hAnsi="宋体" w:eastAsia="宋体" w:cs="宋体"/>
          <w:szCs w:val="21"/>
        </w:rPr>
        <w:t>16mm</w:t>
      </w:r>
      <w:r>
        <w:rPr>
          <w:rFonts w:hint="eastAsia" w:ascii="宋体" w:hAnsi="宋体" w:eastAsia="宋体" w:cs="宋体"/>
          <w:szCs w:val="21"/>
        </w:rPr>
        <w:t>且不大于</w:t>
      </w:r>
      <w:r>
        <w:rPr>
          <w:rFonts w:ascii="宋体" w:hAnsi="宋体" w:eastAsia="宋体" w:cs="宋体"/>
          <w:szCs w:val="21"/>
        </w:rPr>
        <w:t>45mm</w:t>
      </w:r>
      <w:r>
        <w:rPr>
          <w:rFonts w:hint="eastAsia" w:ascii="宋体" w:hAnsi="宋体" w:eastAsia="宋体" w:cs="宋体"/>
          <w:szCs w:val="21"/>
        </w:rPr>
        <w:t>，把手端部直径不小于50mm；</w:t>
      </w:r>
    </w:p>
    <w:p w14:paraId="08365976">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不允许存在衣服、头发钩挂或缠绕危险；</w:t>
      </w:r>
    </w:p>
    <w:p w14:paraId="666F8A50">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不允许存在剪切点、挤压点、引入点，不允许存在刚性碰撞；</w:t>
      </w:r>
    </w:p>
    <w:p w14:paraId="3C00AEBD">
      <w:pPr>
        <w:pStyle w:val="6"/>
        <w:widowControl/>
        <w:numPr>
          <w:ilvl w:val="0"/>
          <w:numId w:val="23"/>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Times New Roman"/>
        </w:rPr>
        <w:t>摆杆应有限位结构，摆杆运动至极限位置时，摆杆最低点与地面的距离应不小于</w:t>
      </w:r>
      <w:r>
        <w:rPr>
          <w:rFonts w:ascii="宋体" w:hAnsi="宋体" w:eastAsia="宋体" w:cs="Times New Roman"/>
        </w:rPr>
        <w:t>1850mm</w:t>
      </w:r>
      <w:r>
        <w:rPr>
          <w:rFonts w:hint="eastAsia" w:ascii="宋体" w:hAnsi="宋体" w:eastAsia="宋体" w:cs="Times New Roman"/>
        </w:rPr>
        <w:t>；</w:t>
      </w:r>
    </w:p>
    <w:p w14:paraId="4CADF382">
      <w:pPr>
        <w:pStyle w:val="7"/>
        <w:widowControl/>
        <w:numPr>
          <w:ilvl w:val="0"/>
          <w:numId w:val="23"/>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03521640">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健骑机</w:t>
      </w:r>
    </w:p>
    <w:p w14:paraId="1A1070FC">
      <w:pPr>
        <w:pStyle w:val="6"/>
        <w:widowControl/>
        <w:numPr>
          <w:ilvl w:val="0"/>
          <w:numId w:val="24"/>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主要承载立柱采用铝合金+塑木+钢管复合立柱结构，</w:t>
      </w:r>
      <w:r>
        <w:rPr>
          <w:rFonts w:hint="eastAsia" w:ascii="宋体" w:hAnsi="宋体" w:eastAsia="宋体" w:cs="宋体"/>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r>
        <w:rPr>
          <w:rFonts w:hint="eastAsia" w:ascii="宋体" w:hAnsi="宋体" w:eastAsia="宋体"/>
        </w:rPr>
        <w:t>；</w:t>
      </w:r>
    </w:p>
    <w:p w14:paraId="39AF24F7">
      <w:pPr>
        <w:pStyle w:val="6"/>
        <w:widowControl/>
        <w:numPr>
          <w:ilvl w:val="0"/>
          <w:numId w:val="24"/>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主要承载横梁尺寸不小于60×3.0mm或等强度钢管；</w:t>
      </w:r>
    </w:p>
    <w:p w14:paraId="6C922ACD">
      <w:pPr>
        <w:pStyle w:val="6"/>
        <w:widowControl/>
        <w:numPr>
          <w:ilvl w:val="0"/>
          <w:numId w:val="24"/>
        </w:numPr>
        <w:adjustRightInd w:val="0"/>
        <w:snapToGrid w:val="0"/>
        <w:spacing w:line="360" w:lineRule="auto"/>
        <w:ind w:firstLineChars="0"/>
        <w:jc w:val="left"/>
        <w:rPr>
          <w:rFonts w:hint="eastAsia" w:ascii="宋体" w:hAnsi="宋体" w:eastAsia="宋体"/>
        </w:rPr>
      </w:pPr>
      <w:r>
        <w:rPr>
          <w:rFonts w:hint="eastAsia" w:ascii="宋体" w:hAnsi="宋体" w:eastAsia="宋体"/>
        </w:rPr>
        <w:t>采用一体冲压拉伸成形</w:t>
      </w:r>
      <w:r>
        <w:rPr>
          <w:rFonts w:hint="eastAsia" w:ascii="宋体" w:hAnsi="宋体" w:eastAsia="宋体" w:cs="Times New Roman"/>
        </w:rPr>
        <w:t>座板，板材壁厚不小于3mm</w:t>
      </w:r>
      <w:r>
        <w:rPr>
          <w:rFonts w:hint="eastAsia" w:ascii="宋体" w:hAnsi="宋体" w:eastAsia="宋体"/>
        </w:rPr>
        <w:t>；</w:t>
      </w:r>
    </w:p>
    <w:p w14:paraId="63C62FCD">
      <w:pPr>
        <w:pStyle w:val="6"/>
        <w:widowControl/>
        <w:numPr>
          <w:ilvl w:val="0"/>
          <w:numId w:val="24"/>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所有耳片、连接片壁厚不小于5mm；</w:t>
      </w:r>
    </w:p>
    <w:p w14:paraId="53FD5720">
      <w:pPr>
        <w:pStyle w:val="6"/>
        <w:widowControl/>
        <w:numPr>
          <w:ilvl w:val="0"/>
          <w:numId w:val="24"/>
        </w:numPr>
        <w:adjustRightInd w:val="0"/>
        <w:snapToGrid w:val="0"/>
        <w:spacing w:line="360" w:lineRule="auto"/>
        <w:ind w:firstLineChars="0"/>
        <w:jc w:val="left"/>
        <w:rPr>
          <w:rFonts w:hint="eastAsia" w:ascii="宋体" w:hAnsi="宋体" w:eastAsia="宋体"/>
        </w:rPr>
      </w:pPr>
      <w:r>
        <w:rPr>
          <w:rFonts w:hint="eastAsia" w:ascii="宋体" w:hAnsi="宋体" w:eastAsia="宋体"/>
        </w:rPr>
        <w:t>有内置限位装置，摆动件与立柱内侧距离及在使用中各结构件的内侧距离大于</w:t>
      </w:r>
      <w:r>
        <w:rPr>
          <w:rFonts w:ascii="宋体" w:hAnsi="宋体" w:eastAsia="宋体"/>
        </w:rPr>
        <w:t>230mm</w:t>
      </w:r>
      <w:r>
        <w:rPr>
          <w:rFonts w:hint="eastAsia" w:ascii="宋体" w:hAnsi="宋体" w:eastAsia="宋体"/>
        </w:rPr>
        <w:t>防止产生挤压、卡夹、碰撞的伤害可能；</w:t>
      </w:r>
    </w:p>
    <w:p w14:paraId="64F96805">
      <w:pPr>
        <w:pStyle w:val="6"/>
        <w:widowControl/>
        <w:numPr>
          <w:ilvl w:val="0"/>
          <w:numId w:val="24"/>
        </w:numPr>
        <w:adjustRightInd w:val="0"/>
        <w:snapToGrid w:val="0"/>
        <w:spacing w:line="360" w:lineRule="auto"/>
        <w:ind w:firstLineChars="0"/>
        <w:jc w:val="left"/>
        <w:rPr>
          <w:rFonts w:hint="eastAsia" w:ascii="宋体" w:hAnsi="宋体" w:eastAsia="宋体"/>
        </w:rPr>
      </w:pPr>
      <w:r>
        <w:rPr>
          <w:rFonts w:hint="eastAsia" w:ascii="宋体" w:hAnsi="宋体" w:eastAsia="宋体"/>
        </w:rPr>
        <w:t>脚踏位有防滑措施，摩擦系数应不小于</w:t>
      </w:r>
      <w:r>
        <w:rPr>
          <w:rFonts w:ascii="宋体" w:hAnsi="宋体" w:eastAsia="宋体"/>
        </w:rPr>
        <w:t>0.5</w:t>
      </w:r>
      <w:r>
        <w:rPr>
          <w:rFonts w:hint="eastAsia" w:ascii="宋体" w:hAnsi="宋体" w:eastAsia="宋体"/>
        </w:rPr>
        <w:t>；</w:t>
      </w:r>
    </w:p>
    <w:p w14:paraId="4C21523B">
      <w:pPr>
        <w:pStyle w:val="7"/>
        <w:widowControl/>
        <w:numPr>
          <w:ilvl w:val="0"/>
          <w:numId w:val="24"/>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6036C546">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仰卧起坐板</w:t>
      </w:r>
    </w:p>
    <w:p w14:paraId="04B4EC07">
      <w:pPr>
        <w:pStyle w:val="6"/>
        <w:widowControl/>
        <w:numPr>
          <w:ilvl w:val="0"/>
          <w:numId w:val="25"/>
        </w:numPr>
        <w:adjustRightInd w:val="0"/>
        <w:snapToGrid w:val="0"/>
        <w:spacing w:line="360" w:lineRule="auto"/>
        <w:ind w:firstLineChars="0"/>
        <w:jc w:val="left"/>
        <w:rPr>
          <w:rFonts w:hint="eastAsia" w:ascii="宋体" w:hAnsi="宋体" w:eastAsia="宋体"/>
        </w:rPr>
      </w:pPr>
      <w:r>
        <w:rPr>
          <w:rFonts w:hint="eastAsia" w:ascii="宋体" w:hAnsi="宋体" w:eastAsia="宋体"/>
        </w:rPr>
        <w:t>主要承载立柱采用铝合金+塑木+钢管复合立柱结构，</w:t>
      </w:r>
      <w:r>
        <w:rPr>
          <w:rFonts w:hint="eastAsia" w:ascii="宋体" w:hAnsi="宋体" w:eastAsia="宋体" w:cs="宋体"/>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r>
        <w:rPr>
          <w:rFonts w:hint="eastAsia" w:ascii="宋体" w:hAnsi="宋体" w:eastAsia="宋体"/>
        </w:rPr>
        <w:t>；</w:t>
      </w:r>
    </w:p>
    <w:p w14:paraId="007CE961">
      <w:pPr>
        <w:pStyle w:val="6"/>
        <w:widowControl/>
        <w:numPr>
          <w:ilvl w:val="0"/>
          <w:numId w:val="25"/>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宋体"/>
          <w:szCs w:val="21"/>
        </w:rPr>
        <w:t>主要承载</w:t>
      </w:r>
      <w:r>
        <w:rPr>
          <w:rFonts w:ascii="宋体" w:hAnsi="宋体" w:eastAsia="宋体" w:cs="宋体"/>
          <w:szCs w:val="21"/>
        </w:rPr>
        <w:t>横梁尺寸不小于φ60</w:t>
      </w:r>
      <w:r>
        <w:rPr>
          <w:rFonts w:ascii="宋体" w:hAnsi="宋体" w:eastAsia="宋体"/>
        </w:rPr>
        <w:t>×3.0mm</w:t>
      </w:r>
      <w:r>
        <w:rPr>
          <w:rFonts w:hint="eastAsia" w:ascii="宋体" w:hAnsi="宋体" w:eastAsia="宋体"/>
        </w:rPr>
        <w:t>；</w:t>
      </w:r>
    </w:p>
    <w:p w14:paraId="1B15EAF4">
      <w:pPr>
        <w:pStyle w:val="6"/>
        <w:widowControl/>
        <w:numPr>
          <w:ilvl w:val="0"/>
          <w:numId w:val="25"/>
        </w:numPr>
        <w:adjustRightInd w:val="0"/>
        <w:snapToGrid w:val="0"/>
        <w:spacing w:line="360" w:lineRule="auto"/>
        <w:ind w:firstLineChars="0"/>
        <w:jc w:val="left"/>
        <w:rPr>
          <w:rFonts w:hint="eastAsia" w:ascii="宋体" w:hAnsi="宋体" w:eastAsia="宋体" w:cs="宋体"/>
          <w:szCs w:val="21"/>
        </w:rPr>
      </w:pPr>
      <w:r>
        <w:rPr>
          <w:rFonts w:hint="eastAsia" w:ascii="宋体" w:hAnsi="宋体" w:eastAsia="宋体" w:cs="Times New Roman"/>
        </w:rPr>
        <w:t>座板间间隙不得大于8mm</w:t>
      </w:r>
      <w:r>
        <w:rPr>
          <w:rFonts w:hint="eastAsia" w:ascii="宋体" w:hAnsi="宋体" w:eastAsia="宋体"/>
        </w:rPr>
        <w:t>或采用整体式面板</w:t>
      </w:r>
      <w:r>
        <w:rPr>
          <w:rFonts w:hint="eastAsia" w:ascii="宋体" w:hAnsi="宋体" w:eastAsia="宋体" w:cs="Times New Roman"/>
        </w:rPr>
        <w:t>，并与其他管材同时满足GB19272-2011中相关标准要求</w:t>
      </w:r>
      <w:r>
        <w:rPr>
          <w:rFonts w:hint="eastAsia" w:ascii="宋体" w:hAnsi="宋体" w:eastAsia="宋体"/>
        </w:rPr>
        <w:t>；</w:t>
      </w:r>
    </w:p>
    <w:p w14:paraId="266D4062">
      <w:pPr>
        <w:pStyle w:val="7"/>
        <w:widowControl/>
        <w:numPr>
          <w:ilvl w:val="0"/>
          <w:numId w:val="25"/>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273A72F8">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手部腿部按摩器</w:t>
      </w:r>
    </w:p>
    <w:p w14:paraId="17E3A314">
      <w:pPr>
        <w:pStyle w:val="6"/>
        <w:widowControl/>
        <w:numPr>
          <w:ilvl w:val="0"/>
          <w:numId w:val="26"/>
        </w:numPr>
        <w:adjustRightInd w:val="0"/>
        <w:snapToGrid w:val="0"/>
        <w:spacing w:line="360" w:lineRule="auto"/>
        <w:ind w:firstLineChars="0"/>
        <w:jc w:val="left"/>
        <w:rPr>
          <w:rFonts w:hint="eastAsia" w:ascii="宋体" w:hAnsi="宋体" w:eastAsia="宋体"/>
        </w:rPr>
      </w:pPr>
      <w:bookmarkStart w:id="2" w:name="_Hlk160525735"/>
      <w:r>
        <w:rPr>
          <w:rFonts w:hint="eastAsia" w:ascii="宋体" w:hAnsi="宋体" w:eastAsia="宋体"/>
        </w:rPr>
        <w:t>主要承载立柱采用铝合金+塑木+钢管复合立柱结构，</w:t>
      </w:r>
      <w:r>
        <w:rPr>
          <w:rFonts w:hint="eastAsia" w:ascii="宋体" w:hAnsi="宋体" w:eastAsia="宋体" w:cs="宋体"/>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r>
        <w:rPr>
          <w:rFonts w:hint="eastAsia" w:ascii="宋体" w:hAnsi="宋体" w:eastAsia="宋体"/>
        </w:rPr>
        <w:t>；</w:t>
      </w:r>
    </w:p>
    <w:p w14:paraId="5B65974F">
      <w:pPr>
        <w:pStyle w:val="6"/>
        <w:widowControl/>
        <w:numPr>
          <w:ilvl w:val="0"/>
          <w:numId w:val="26"/>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rPr>
        <w:t>扶手采用不小于</w:t>
      </w:r>
      <w:r>
        <w:rPr>
          <w:rFonts w:hint="eastAsia" w:ascii="宋体" w:hAnsi="宋体" w:eastAsia="宋体" w:cs="Times New Roman"/>
        </w:rPr>
        <w:t>φ32mm×3mm花纹钢管，扶手端部不小于50mm；</w:t>
      </w:r>
    </w:p>
    <w:p w14:paraId="6E72224B">
      <w:pPr>
        <w:pStyle w:val="6"/>
        <w:widowControl/>
        <w:numPr>
          <w:ilvl w:val="0"/>
          <w:numId w:val="26"/>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按摩轮及揉推盘转轴直径均不小于φ25mm；</w:t>
      </w:r>
    </w:p>
    <w:p w14:paraId="27C81D26">
      <w:pPr>
        <w:pStyle w:val="6"/>
        <w:widowControl/>
        <w:numPr>
          <w:ilvl w:val="0"/>
          <w:numId w:val="26"/>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不允许存在衣服、头发钩挂或缠绕危险；</w:t>
      </w:r>
    </w:p>
    <w:p w14:paraId="18CCAD3F">
      <w:pPr>
        <w:pStyle w:val="6"/>
        <w:widowControl/>
        <w:numPr>
          <w:ilvl w:val="0"/>
          <w:numId w:val="26"/>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按摩轮和揉推盘与刚性固定部件间的间隙应小于2mm或大于30mm；</w:t>
      </w:r>
    </w:p>
    <w:p w14:paraId="5A4B5A3B">
      <w:pPr>
        <w:pStyle w:val="6"/>
        <w:widowControl/>
        <w:numPr>
          <w:ilvl w:val="0"/>
          <w:numId w:val="26"/>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安装轴承处应采取防水、防尘措施</w:t>
      </w:r>
      <w:r>
        <w:rPr>
          <w:rFonts w:hint="eastAsia" w:ascii="宋体" w:hAnsi="宋体" w:eastAsia="宋体"/>
        </w:rPr>
        <w:t>；</w:t>
      </w:r>
    </w:p>
    <w:p w14:paraId="40089EEF">
      <w:pPr>
        <w:pStyle w:val="6"/>
        <w:widowControl/>
        <w:numPr>
          <w:ilvl w:val="0"/>
          <w:numId w:val="26"/>
        </w:numPr>
        <w:adjustRightInd w:val="0"/>
        <w:snapToGrid w:val="0"/>
        <w:spacing w:line="360" w:lineRule="auto"/>
        <w:ind w:firstLineChars="0"/>
        <w:jc w:val="left"/>
        <w:rPr>
          <w:rFonts w:hint="eastAsia" w:ascii="宋体" w:hAnsi="宋体" w:eastAsia="宋体"/>
        </w:rPr>
      </w:pPr>
      <w:r>
        <w:rPr>
          <w:rFonts w:hint="eastAsia" w:ascii="宋体" w:hAnsi="宋体" w:eastAsia="宋体"/>
        </w:rPr>
        <w:t>立柱采用外扣式封头，可防止雨水流入；</w:t>
      </w:r>
    </w:p>
    <w:bookmarkEnd w:id="2"/>
    <w:p w14:paraId="52EF0381">
      <w:pPr>
        <w:pStyle w:val="7"/>
        <w:widowControl/>
        <w:numPr>
          <w:ilvl w:val="0"/>
          <w:numId w:val="26"/>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64D5EE1A">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告示牌</w:t>
      </w:r>
    </w:p>
    <w:p w14:paraId="26BB5802">
      <w:pPr>
        <w:pStyle w:val="6"/>
        <w:widowControl/>
        <w:numPr>
          <w:ilvl w:val="0"/>
          <w:numId w:val="27"/>
        </w:numPr>
        <w:adjustRightInd w:val="0"/>
        <w:snapToGrid w:val="0"/>
        <w:spacing w:line="360" w:lineRule="auto"/>
        <w:ind w:firstLineChars="0"/>
        <w:jc w:val="left"/>
        <w:rPr>
          <w:rFonts w:hint="eastAsia" w:ascii="宋体" w:hAnsi="宋体" w:eastAsia="宋体"/>
        </w:rPr>
      </w:pPr>
      <w:bookmarkStart w:id="3" w:name="_Hlk160525750"/>
      <w:r>
        <w:rPr>
          <w:rFonts w:hint="eastAsia" w:ascii="宋体" w:hAnsi="宋体" w:eastAsia="宋体"/>
        </w:rPr>
        <w:t>主要承载立柱采用铝合金+塑木+钢管复合立柱结构，</w:t>
      </w:r>
      <w:r>
        <w:rPr>
          <w:rFonts w:hint="eastAsia" w:ascii="宋体" w:hAnsi="宋体" w:eastAsia="宋体" w:cs="宋体"/>
          <w:szCs w:val="21"/>
        </w:rPr>
        <w:t>外形尺寸不小于120×120mm，主承载钢管不小于120</w:t>
      </w:r>
      <w:r>
        <w:rPr>
          <w:rFonts w:hint="eastAsia" w:ascii="宋体" w:hAnsi="宋体" w:eastAsia="宋体" w:cs="Times New Roman"/>
          <w:szCs w:val="21"/>
        </w:rPr>
        <w:t>×</w:t>
      </w:r>
      <w:r>
        <w:rPr>
          <w:rFonts w:hint="eastAsia" w:ascii="宋体" w:hAnsi="宋体" w:eastAsia="宋体" w:cs="宋体"/>
          <w:szCs w:val="21"/>
        </w:rPr>
        <w:t>80</w:t>
      </w:r>
      <w:r>
        <w:rPr>
          <w:rFonts w:hint="eastAsia" w:ascii="宋体" w:hAnsi="宋体" w:eastAsia="宋体" w:cs="Times New Roman"/>
          <w:szCs w:val="21"/>
        </w:rPr>
        <w:t>×</w:t>
      </w:r>
      <w:r>
        <w:rPr>
          <w:rFonts w:hint="eastAsia" w:ascii="宋体" w:hAnsi="宋体" w:eastAsia="宋体" w:cs="宋体"/>
          <w:szCs w:val="21"/>
        </w:rPr>
        <w:t>3.0mm</w:t>
      </w:r>
      <w:r>
        <w:rPr>
          <w:rFonts w:hint="eastAsia" w:ascii="宋体" w:hAnsi="宋体" w:eastAsia="宋体"/>
        </w:rPr>
        <w:t>；</w:t>
      </w:r>
    </w:p>
    <w:p w14:paraId="2513BBE0">
      <w:pPr>
        <w:pStyle w:val="6"/>
        <w:widowControl/>
        <w:numPr>
          <w:ilvl w:val="0"/>
          <w:numId w:val="27"/>
        </w:numPr>
        <w:adjustRightInd w:val="0"/>
        <w:snapToGrid w:val="0"/>
        <w:spacing w:line="360" w:lineRule="auto"/>
        <w:ind w:firstLineChars="0"/>
        <w:jc w:val="left"/>
        <w:rPr>
          <w:rFonts w:hint="eastAsia" w:ascii="宋体" w:hAnsi="宋体" w:eastAsia="宋体"/>
        </w:rPr>
      </w:pPr>
      <w:r>
        <w:rPr>
          <w:rFonts w:hint="eastAsia" w:ascii="宋体" w:hAnsi="宋体" w:eastAsia="宋体" w:cs="宋体"/>
          <w:szCs w:val="21"/>
        </w:rPr>
        <w:t>承载横梁尺寸不小于38</w:t>
      </w:r>
      <w:r>
        <w:rPr>
          <w:rFonts w:hint="eastAsia" w:ascii="宋体" w:hAnsi="宋体" w:eastAsia="宋体" w:cs="Times New Roman"/>
          <w:szCs w:val="21"/>
        </w:rPr>
        <w:t>×</w:t>
      </w:r>
      <w:r>
        <w:rPr>
          <w:rFonts w:hint="eastAsia" w:ascii="宋体" w:hAnsi="宋体" w:eastAsia="宋体" w:cs="宋体"/>
          <w:szCs w:val="21"/>
        </w:rPr>
        <w:t>38</w:t>
      </w:r>
      <w:r>
        <w:rPr>
          <w:rFonts w:hint="eastAsia" w:ascii="宋体" w:hAnsi="宋体" w:eastAsia="宋体" w:cs="Times New Roman"/>
          <w:szCs w:val="21"/>
        </w:rPr>
        <w:t>×</w:t>
      </w:r>
      <w:r>
        <w:rPr>
          <w:rFonts w:hint="eastAsia" w:ascii="宋体" w:hAnsi="宋体" w:eastAsia="宋体" w:cs="宋体"/>
          <w:szCs w:val="21"/>
        </w:rPr>
        <w:t>3.0mm</w:t>
      </w:r>
      <w:r>
        <w:rPr>
          <w:rFonts w:hint="eastAsia" w:ascii="宋体" w:hAnsi="宋体" w:eastAsia="宋体"/>
        </w:rPr>
        <w:t>；</w:t>
      </w:r>
    </w:p>
    <w:p w14:paraId="3BA3A250">
      <w:pPr>
        <w:pStyle w:val="6"/>
        <w:widowControl/>
        <w:numPr>
          <w:ilvl w:val="0"/>
          <w:numId w:val="27"/>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告示牌</w:t>
      </w:r>
      <w:r>
        <w:rPr>
          <w:rFonts w:hint="eastAsia" w:ascii="宋体" w:hAnsi="宋体" w:eastAsia="宋体"/>
        </w:rPr>
        <w:t>采用2块面板，</w:t>
      </w:r>
      <w:r>
        <w:rPr>
          <w:rFonts w:hint="eastAsia" w:ascii="宋体" w:hAnsi="宋体" w:eastAsia="宋体" w:cs="Times New Roman"/>
        </w:rPr>
        <w:t>面板采用不锈钢材质，厚度不小于0.8</w:t>
      </w:r>
      <w:r>
        <w:rPr>
          <w:rFonts w:ascii="宋体" w:hAnsi="宋体" w:eastAsia="宋体" w:cs="Times New Roman"/>
        </w:rPr>
        <w:t>mm</w:t>
      </w:r>
      <w:r>
        <w:rPr>
          <w:rFonts w:hint="eastAsia" w:ascii="宋体" w:hAnsi="宋体" w:eastAsia="宋体" w:cs="Times New Roman"/>
        </w:rPr>
        <w:t>，面板边缘及尖角不得翘起</w:t>
      </w:r>
      <w:r>
        <w:rPr>
          <w:rFonts w:hint="eastAsia" w:ascii="宋体" w:hAnsi="宋体" w:eastAsia="宋体"/>
        </w:rPr>
        <w:t>；</w:t>
      </w:r>
    </w:p>
    <w:p w14:paraId="143D9E21">
      <w:pPr>
        <w:pStyle w:val="6"/>
        <w:widowControl/>
        <w:numPr>
          <w:ilvl w:val="0"/>
          <w:numId w:val="27"/>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图样及字样</w:t>
      </w:r>
      <w:r>
        <w:rPr>
          <w:rFonts w:hint="eastAsia" w:ascii="宋体" w:hAnsi="宋体" w:eastAsia="宋体"/>
        </w:rPr>
        <w:t>采用腐蚀凹凸印刷</w:t>
      </w:r>
      <w:r>
        <w:rPr>
          <w:rFonts w:hint="eastAsia" w:ascii="宋体" w:hAnsi="宋体" w:eastAsia="宋体" w:cs="Times New Roman"/>
        </w:rPr>
        <w:t>蚀刻处理</w:t>
      </w:r>
      <w:r>
        <w:rPr>
          <w:rFonts w:hint="eastAsia" w:ascii="宋体" w:hAnsi="宋体" w:eastAsia="宋体"/>
        </w:rPr>
        <w:t>，更清晰，更经久耐用；</w:t>
      </w:r>
    </w:p>
    <w:p w14:paraId="1759A4BE">
      <w:pPr>
        <w:pStyle w:val="6"/>
        <w:widowControl/>
        <w:numPr>
          <w:ilvl w:val="0"/>
          <w:numId w:val="27"/>
        </w:numPr>
        <w:adjustRightInd w:val="0"/>
        <w:snapToGrid w:val="0"/>
        <w:spacing w:line="360" w:lineRule="auto"/>
        <w:ind w:firstLineChars="0"/>
        <w:jc w:val="left"/>
        <w:rPr>
          <w:rFonts w:hint="eastAsia" w:ascii="宋体" w:hAnsi="宋体" w:eastAsia="宋体"/>
        </w:rPr>
      </w:pPr>
      <w:r>
        <w:rPr>
          <w:rFonts w:hint="eastAsia" w:ascii="宋体" w:hAnsi="宋体" w:eastAsia="宋体" w:cs="Times New Roman"/>
        </w:rPr>
        <w:t>采用双立柱</w:t>
      </w:r>
      <w:r>
        <w:rPr>
          <w:rFonts w:hint="eastAsia" w:ascii="宋体" w:hAnsi="宋体" w:eastAsia="宋体"/>
        </w:rPr>
        <w:t>结构，</w:t>
      </w:r>
      <w:r>
        <w:rPr>
          <w:rFonts w:hint="eastAsia" w:ascii="宋体" w:hAnsi="宋体" w:eastAsia="宋体" w:cs="Times New Roman"/>
        </w:rPr>
        <w:t>面板与框架装配后上下两端面有铝型材扣件，整件器材无V型开口，无头颈卡夹危险</w:t>
      </w:r>
      <w:r>
        <w:rPr>
          <w:rFonts w:hint="eastAsia" w:ascii="宋体" w:hAnsi="宋体" w:eastAsia="宋体"/>
        </w:rPr>
        <w:t>；</w:t>
      </w:r>
    </w:p>
    <w:p w14:paraId="26AAD82B">
      <w:pPr>
        <w:pStyle w:val="6"/>
        <w:widowControl/>
        <w:numPr>
          <w:ilvl w:val="0"/>
          <w:numId w:val="27"/>
        </w:numPr>
        <w:adjustRightInd w:val="0"/>
        <w:snapToGrid w:val="0"/>
        <w:spacing w:line="360" w:lineRule="auto"/>
        <w:ind w:firstLineChars="0"/>
        <w:jc w:val="left"/>
        <w:rPr>
          <w:rFonts w:hint="eastAsia" w:ascii="宋体" w:hAnsi="宋体" w:eastAsia="宋体" w:cs="Times New Roman"/>
        </w:rPr>
      </w:pPr>
      <w:r>
        <w:rPr>
          <w:rFonts w:hint="eastAsia" w:ascii="宋体" w:hAnsi="宋体" w:eastAsia="宋体" w:cs="Times New Roman"/>
        </w:rPr>
        <w:t>告示牌内容至少包含以下内容：</w:t>
      </w:r>
    </w:p>
    <w:p w14:paraId="1523CD0F">
      <w:pPr>
        <w:pStyle w:val="6"/>
        <w:snapToGrid w:val="0"/>
        <w:spacing w:line="360" w:lineRule="auto"/>
        <w:ind w:left="420" w:firstLine="0" w:firstLineChars="0"/>
        <w:rPr>
          <w:rFonts w:hint="eastAsia" w:ascii="宋体" w:hAnsi="宋体" w:eastAsia="宋体"/>
        </w:rPr>
      </w:pPr>
      <w:r>
        <w:rPr>
          <w:rFonts w:hint="eastAsia" w:ascii="宋体" w:hAnsi="宋体" w:eastAsia="宋体" w:cs="Times New Roman"/>
        </w:rPr>
        <w:t>简明的的热身运动说明或图示；简明的安全警示说明；须有中国体育彩票标示；器材供应商的全称，售后服务电话及督查电话</w:t>
      </w:r>
      <w:r>
        <w:rPr>
          <w:rFonts w:hint="eastAsia" w:ascii="宋体" w:hAnsi="宋体" w:eastAsia="宋体"/>
        </w:rPr>
        <w:t>；</w:t>
      </w:r>
    </w:p>
    <w:p w14:paraId="2CA8E841">
      <w:pPr>
        <w:pStyle w:val="6"/>
        <w:widowControl/>
        <w:numPr>
          <w:ilvl w:val="0"/>
          <w:numId w:val="27"/>
        </w:numPr>
        <w:adjustRightInd w:val="0"/>
        <w:snapToGrid w:val="0"/>
        <w:spacing w:line="360" w:lineRule="auto"/>
        <w:ind w:firstLineChars="0"/>
        <w:jc w:val="left"/>
        <w:rPr>
          <w:rFonts w:hint="eastAsia" w:ascii="宋体" w:hAnsi="宋体" w:eastAsia="宋体"/>
        </w:rPr>
      </w:pPr>
      <w:r>
        <w:rPr>
          <w:rFonts w:hint="eastAsia" w:ascii="宋体" w:hAnsi="宋体" w:eastAsia="宋体"/>
        </w:rPr>
        <w:t>立柱采用外扣式封头</w:t>
      </w:r>
      <w:r>
        <w:rPr>
          <w:rFonts w:hint="eastAsia" w:ascii="宋体" w:hAnsi="宋体" w:eastAsia="宋体" w:cs="Times New Roman"/>
        </w:rPr>
        <w:t>，可防止雨水流入，立柱上部无钩挂结构</w:t>
      </w:r>
      <w:r>
        <w:rPr>
          <w:rFonts w:hint="eastAsia" w:ascii="宋体" w:hAnsi="宋体" w:eastAsia="宋体"/>
        </w:rPr>
        <w:t>；</w:t>
      </w:r>
    </w:p>
    <w:bookmarkEnd w:id="3"/>
    <w:p w14:paraId="7EFA3769">
      <w:pPr>
        <w:pStyle w:val="7"/>
        <w:widowControl/>
        <w:numPr>
          <w:ilvl w:val="0"/>
          <w:numId w:val="27"/>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58BEB863">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健身区EPDM场地面层</w:t>
      </w:r>
    </w:p>
    <w:p w14:paraId="5B3C7A3D">
      <w:pPr>
        <w:pStyle w:val="6"/>
        <w:numPr>
          <w:ilvl w:val="0"/>
          <w:numId w:val="28"/>
        </w:numPr>
        <w:snapToGrid w:val="0"/>
        <w:spacing w:line="360" w:lineRule="auto"/>
        <w:ind w:firstLineChars="0"/>
        <w:rPr>
          <w:rFonts w:hint="eastAsia" w:ascii="宋体" w:hAnsi="宋体" w:eastAsia="宋体" w:cs="Times New Roman"/>
          <w:szCs w:val="21"/>
        </w:rPr>
      </w:pPr>
      <w:r>
        <w:rPr>
          <w:rFonts w:hint="eastAsia" w:ascii="宋体" w:hAnsi="宋体" w:eastAsia="宋体"/>
          <w:szCs w:val="21"/>
        </w:rPr>
        <w:t>健身区采用</w:t>
      </w:r>
      <w:r>
        <w:rPr>
          <w:rFonts w:ascii="宋体" w:hAnsi="宋体" w:eastAsia="宋体" w:cs="Times New Roman"/>
          <w:szCs w:val="21"/>
        </w:rPr>
        <w:t>全彩环保EPDM颗粒，厚度不小于13mm</w:t>
      </w:r>
      <w:r>
        <w:rPr>
          <w:rFonts w:hint="eastAsia" w:ascii="宋体" w:hAnsi="宋体" w:eastAsia="宋体" w:cs="Times New Roman"/>
          <w:szCs w:val="21"/>
        </w:rPr>
        <w:t>，面积约800平方米</w:t>
      </w:r>
      <w:r>
        <w:rPr>
          <w:rFonts w:ascii="宋体" w:hAnsi="宋体" w:eastAsia="宋体" w:cs="Times New Roman"/>
          <w:szCs w:val="21"/>
        </w:rPr>
        <w:t>；</w:t>
      </w:r>
    </w:p>
    <w:p w14:paraId="00623F1E">
      <w:pPr>
        <w:pStyle w:val="8"/>
        <w:numPr>
          <w:ilvl w:val="0"/>
          <w:numId w:val="28"/>
        </w:numPr>
        <w:snapToGrid w:val="0"/>
        <w:spacing w:line="360" w:lineRule="auto"/>
        <w:ind w:firstLineChars="0"/>
        <w:rPr>
          <w:rFonts w:hint="eastAsia" w:ascii="宋体" w:hAnsi="宋体"/>
          <w:color w:val="auto"/>
          <w:szCs w:val="21"/>
        </w:rPr>
      </w:pPr>
      <w:r>
        <w:rPr>
          <w:rFonts w:ascii="宋体" w:hAnsi="宋体"/>
          <w:color w:val="auto"/>
          <w:szCs w:val="21"/>
        </w:rPr>
        <w:t>有害物质限量及气味要求</w:t>
      </w:r>
    </w:p>
    <w:tbl>
      <w:tblPr>
        <w:tblStyle w:val="3"/>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2248"/>
        <w:gridCol w:w="3178"/>
      </w:tblGrid>
      <w:tr w14:paraId="5AEB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204" w:type="dxa"/>
            <w:gridSpan w:val="2"/>
            <w:noWrap w:val="0"/>
            <w:vAlign w:val="center"/>
          </w:tcPr>
          <w:p w14:paraId="7C075D8E">
            <w:pPr>
              <w:snapToGrid w:val="0"/>
              <w:jc w:val="center"/>
              <w:rPr>
                <w:rFonts w:hint="eastAsia" w:ascii="宋体" w:hAnsi="宋体" w:eastAsia="宋体"/>
                <w:b/>
                <w:bCs/>
                <w:kern w:val="0"/>
                <w:szCs w:val="21"/>
                <w:lang w:eastAsia="en-US" w:bidi="en-US"/>
              </w:rPr>
            </w:pPr>
            <w:r>
              <w:rPr>
                <w:rFonts w:ascii="宋体" w:hAnsi="宋体" w:eastAsia="宋体"/>
                <w:kern w:val="0"/>
                <w:szCs w:val="21"/>
                <w:lang w:eastAsia="en-US" w:bidi="en-US"/>
              </w:rPr>
              <w:t>检验项目</w:t>
            </w:r>
          </w:p>
        </w:tc>
        <w:tc>
          <w:tcPr>
            <w:tcW w:w="3178" w:type="dxa"/>
            <w:noWrap w:val="0"/>
            <w:vAlign w:val="center"/>
          </w:tcPr>
          <w:p w14:paraId="494EE6A5">
            <w:pPr>
              <w:snapToGrid w:val="0"/>
              <w:jc w:val="center"/>
              <w:rPr>
                <w:rFonts w:hint="eastAsia" w:ascii="宋体" w:hAnsi="宋体" w:eastAsia="宋体"/>
                <w:b/>
                <w:bCs/>
                <w:kern w:val="0"/>
                <w:szCs w:val="21"/>
                <w:lang w:eastAsia="en-US" w:bidi="en-US"/>
              </w:rPr>
            </w:pPr>
            <w:r>
              <w:rPr>
                <w:rFonts w:ascii="宋体" w:hAnsi="宋体" w:eastAsia="宋体"/>
                <w:kern w:val="0"/>
                <w:szCs w:val="21"/>
                <w:lang w:eastAsia="en-US" w:bidi="en-US"/>
              </w:rPr>
              <w:t>标准要求</w:t>
            </w:r>
          </w:p>
        </w:tc>
      </w:tr>
      <w:tr w14:paraId="33C7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204" w:type="dxa"/>
            <w:gridSpan w:val="2"/>
            <w:noWrap w:val="0"/>
            <w:vAlign w:val="center"/>
          </w:tcPr>
          <w:p w14:paraId="4E1446CB">
            <w:pPr>
              <w:snapToGrid w:val="0"/>
              <w:jc w:val="center"/>
              <w:rPr>
                <w:rFonts w:hint="eastAsia" w:ascii="宋体" w:hAnsi="宋体" w:eastAsia="宋体"/>
                <w:kern w:val="0"/>
                <w:szCs w:val="21"/>
                <w:lang w:bidi="en-US"/>
              </w:rPr>
            </w:pPr>
            <w:r>
              <w:rPr>
                <w:rFonts w:ascii="宋体" w:hAnsi="宋体" w:eastAsia="宋体"/>
                <w:kern w:val="0"/>
                <w:szCs w:val="21"/>
                <w:lang w:bidi="en-US"/>
              </w:rPr>
              <w:t>18种多环芳烃总和（mg/kg）</w:t>
            </w:r>
          </w:p>
        </w:tc>
        <w:tc>
          <w:tcPr>
            <w:tcW w:w="3178" w:type="dxa"/>
            <w:noWrap w:val="0"/>
            <w:vAlign w:val="center"/>
          </w:tcPr>
          <w:p w14:paraId="24EFFFC7">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≤20</w:t>
            </w:r>
          </w:p>
        </w:tc>
      </w:tr>
      <w:tr w14:paraId="0ABE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204" w:type="dxa"/>
            <w:gridSpan w:val="2"/>
            <w:noWrap w:val="0"/>
            <w:vAlign w:val="center"/>
          </w:tcPr>
          <w:p w14:paraId="286D54CD">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苯并【a】芘（mg/kg）</w:t>
            </w:r>
          </w:p>
        </w:tc>
        <w:tc>
          <w:tcPr>
            <w:tcW w:w="3178" w:type="dxa"/>
            <w:noWrap w:val="0"/>
            <w:vAlign w:val="center"/>
          </w:tcPr>
          <w:p w14:paraId="33095E8F">
            <w:pPr>
              <w:snapToGrid w:val="0"/>
              <w:jc w:val="center"/>
              <w:rPr>
                <w:rFonts w:hint="eastAsia" w:ascii="宋体" w:hAnsi="宋体" w:eastAsia="宋体"/>
                <w:kern w:val="0"/>
                <w:szCs w:val="21"/>
                <w:lang w:bidi="en-US"/>
              </w:rPr>
            </w:pPr>
            <w:r>
              <w:rPr>
                <w:rFonts w:ascii="宋体" w:hAnsi="宋体" w:eastAsia="宋体"/>
                <w:kern w:val="0"/>
                <w:szCs w:val="21"/>
                <w:lang w:bidi="en-US"/>
              </w:rPr>
              <w:t>≤1.0</w:t>
            </w:r>
          </w:p>
        </w:tc>
      </w:tr>
      <w:tr w14:paraId="3428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956" w:type="dxa"/>
            <w:vMerge w:val="restart"/>
            <w:noWrap w:val="0"/>
            <w:vAlign w:val="center"/>
          </w:tcPr>
          <w:p w14:paraId="2104FA52">
            <w:pPr>
              <w:snapToGrid w:val="0"/>
              <w:jc w:val="center"/>
              <w:rPr>
                <w:rFonts w:hint="eastAsia" w:ascii="宋体" w:hAnsi="宋体" w:eastAsia="宋体"/>
                <w:b/>
                <w:bCs/>
                <w:kern w:val="0"/>
                <w:szCs w:val="21"/>
                <w:lang w:bidi="en-US"/>
              </w:rPr>
            </w:pPr>
            <w:r>
              <w:rPr>
                <w:rFonts w:ascii="宋体" w:hAnsi="宋体" w:eastAsia="宋体"/>
                <w:kern w:val="0"/>
                <w:szCs w:val="21"/>
                <w:lang w:bidi="en-US"/>
              </w:rPr>
              <w:t>重金属含量（mg/kg）</w:t>
            </w:r>
          </w:p>
        </w:tc>
        <w:tc>
          <w:tcPr>
            <w:tcW w:w="2247" w:type="dxa"/>
            <w:noWrap w:val="0"/>
            <w:vAlign w:val="center"/>
          </w:tcPr>
          <w:p w14:paraId="1E52F13F">
            <w:pPr>
              <w:snapToGrid w:val="0"/>
              <w:jc w:val="center"/>
              <w:rPr>
                <w:rFonts w:hint="eastAsia" w:ascii="宋体" w:hAnsi="宋体" w:eastAsia="宋体"/>
                <w:b/>
                <w:bCs/>
                <w:kern w:val="0"/>
                <w:szCs w:val="21"/>
                <w:lang w:bidi="en-US"/>
              </w:rPr>
            </w:pPr>
            <w:r>
              <w:rPr>
                <w:rFonts w:ascii="宋体" w:hAnsi="宋体" w:eastAsia="宋体"/>
                <w:kern w:val="0"/>
                <w:szCs w:val="21"/>
                <w:lang w:bidi="en-US"/>
              </w:rPr>
              <w:t>可溶性铬</w:t>
            </w:r>
          </w:p>
        </w:tc>
        <w:tc>
          <w:tcPr>
            <w:tcW w:w="3178" w:type="dxa"/>
            <w:noWrap w:val="0"/>
            <w:vAlign w:val="center"/>
          </w:tcPr>
          <w:p w14:paraId="1A0DCCA2">
            <w:pPr>
              <w:snapToGrid w:val="0"/>
              <w:jc w:val="center"/>
              <w:rPr>
                <w:rFonts w:hint="eastAsia" w:ascii="宋体" w:hAnsi="宋体" w:eastAsia="宋体"/>
                <w:kern w:val="0"/>
                <w:szCs w:val="21"/>
                <w:lang w:bidi="en-US"/>
              </w:rPr>
            </w:pPr>
            <w:r>
              <w:rPr>
                <w:rFonts w:ascii="宋体" w:hAnsi="宋体" w:eastAsia="宋体"/>
                <w:kern w:val="0"/>
                <w:szCs w:val="21"/>
                <w:lang w:bidi="en-US"/>
              </w:rPr>
              <w:t>≤10</w:t>
            </w:r>
          </w:p>
        </w:tc>
      </w:tr>
      <w:tr w14:paraId="1017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956" w:type="dxa"/>
            <w:vMerge w:val="continue"/>
            <w:noWrap w:val="0"/>
            <w:vAlign w:val="center"/>
          </w:tcPr>
          <w:p w14:paraId="0C424794">
            <w:pPr>
              <w:snapToGrid w:val="0"/>
              <w:ind w:firstLine="422"/>
              <w:jc w:val="center"/>
              <w:rPr>
                <w:rFonts w:hint="eastAsia" w:ascii="宋体" w:hAnsi="宋体" w:eastAsia="宋体"/>
                <w:b/>
                <w:bCs/>
                <w:kern w:val="0"/>
                <w:szCs w:val="21"/>
                <w:lang w:bidi="en-US"/>
              </w:rPr>
            </w:pPr>
          </w:p>
        </w:tc>
        <w:tc>
          <w:tcPr>
            <w:tcW w:w="2247" w:type="dxa"/>
            <w:noWrap w:val="0"/>
            <w:vAlign w:val="center"/>
          </w:tcPr>
          <w:p w14:paraId="6252B984">
            <w:pPr>
              <w:snapToGrid w:val="0"/>
              <w:jc w:val="center"/>
              <w:rPr>
                <w:rFonts w:hint="eastAsia" w:ascii="宋体" w:hAnsi="宋体" w:eastAsia="宋体"/>
                <w:b/>
                <w:bCs/>
                <w:kern w:val="0"/>
                <w:szCs w:val="21"/>
                <w:lang w:bidi="en-US"/>
              </w:rPr>
            </w:pPr>
            <w:r>
              <w:rPr>
                <w:rFonts w:ascii="宋体" w:hAnsi="宋体" w:eastAsia="宋体"/>
                <w:kern w:val="0"/>
                <w:szCs w:val="21"/>
                <w:lang w:bidi="en-US"/>
              </w:rPr>
              <w:t>可溶性镉</w:t>
            </w:r>
          </w:p>
        </w:tc>
        <w:tc>
          <w:tcPr>
            <w:tcW w:w="3178" w:type="dxa"/>
            <w:noWrap w:val="0"/>
            <w:vAlign w:val="center"/>
          </w:tcPr>
          <w:p w14:paraId="51145FDC">
            <w:pPr>
              <w:snapToGrid w:val="0"/>
              <w:jc w:val="center"/>
              <w:rPr>
                <w:rFonts w:hint="eastAsia" w:ascii="宋体" w:hAnsi="宋体" w:eastAsia="宋体"/>
                <w:kern w:val="0"/>
                <w:szCs w:val="21"/>
                <w:lang w:bidi="en-US"/>
              </w:rPr>
            </w:pPr>
            <w:r>
              <w:rPr>
                <w:rFonts w:ascii="宋体" w:hAnsi="宋体" w:eastAsia="宋体"/>
                <w:kern w:val="0"/>
                <w:szCs w:val="21"/>
                <w:lang w:bidi="en-US"/>
              </w:rPr>
              <w:t>≤10</w:t>
            </w:r>
          </w:p>
        </w:tc>
      </w:tr>
      <w:tr w14:paraId="608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956" w:type="dxa"/>
            <w:vMerge w:val="continue"/>
            <w:noWrap w:val="0"/>
            <w:vAlign w:val="center"/>
          </w:tcPr>
          <w:p w14:paraId="610209AE">
            <w:pPr>
              <w:snapToGrid w:val="0"/>
              <w:ind w:firstLine="422"/>
              <w:jc w:val="center"/>
              <w:rPr>
                <w:rFonts w:hint="eastAsia" w:ascii="宋体" w:hAnsi="宋体" w:eastAsia="宋体"/>
                <w:b/>
                <w:bCs/>
                <w:kern w:val="0"/>
                <w:szCs w:val="21"/>
                <w:lang w:bidi="en-US"/>
              </w:rPr>
            </w:pPr>
          </w:p>
        </w:tc>
        <w:tc>
          <w:tcPr>
            <w:tcW w:w="2247" w:type="dxa"/>
            <w:noWrap w:val="0"/>
            <w:vAlign w:val="center"/>
          </w:tcPr>
          <w:p w14:paraId="44B90CBE">
            <w:pPr>
              <w:snapToGrid w:val="0"/>
              <w:jc w:val="center"/>
              <w:rPr>
                <w:rFonts w:hint="eastAsia" w:ascii="宋体" w:hAnsi="宋体" w:eastAsia="宋体"/>
                <w:b/>
                <w:bCs/>
                <w:kern w:val="0"/>
                <w:szCs w:val="21"/>
                <w:lang w:bidi="en-US"/>
              </w:rPr>
            </w:pPr>
            <w:r>
              <w:rPr>
                <w:rFonts w:ascii="宋体" w:hAnsi="宋体" w:eastAsia="宋体"/>
                <w:kern w:val="0"/>
                <w:szCs w:val="21"/>
                <w:lang w:bidi="en-US"/>
              </w:rPr>
              <w:t>可溶性铅</w:t>
            </w:r>
          </w:p>
        </w:tc>
        <w:tc>
          <w:tcPr>
            <w:tcW w:w="3178" w:type="dxa"/>
            <w:noWrap w:val="0"/>
            <w:vAlign w:val="center"/>
          </w:tcPr>
          <w:p w14:paraId="13595765">
            <w:pPr>
              <w:snapToGrid w:val="0"/>
              <w:jc w:val="center"/>
              <w:rPr>
                <w:rFonts w:hint="eastAsia" w:ascii="宋体" w:hAnsi="宋体" w:eastAsia="宋体"/>
                <w:kern w:val="0"/>
                <w:szCs w:val="21"/>
                <w:lang w:bidi="en-US"/>
              </w:rPr>
            </w:pPr>
            <w:r>
              <w:rPr>
                <w:rFonts w:ascii="宋体" w:hAnsi="宋体" w:eastAsia="宋体"/>
                <w:kern w:val="0"/>
                <w:szCs w:val="21"/>
                <w:lang w:bidi="en-US"/>
              </w:rPr>
              <w:t>≤50</w:t>
            </w:r>
          </w:p>
        </w:tc>
      </w:tr>
      <w:tr w14:paraId="2F94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956" w:type="dxa"/>
            <w:vMerge w:val="continue"/>
            <w:noWrap w:val="0"/>
            <w:vAlign w:val="center"/>
          </w:tcPr>
          <w:p w14:paraId="6B152B5D">
            <w:pPr>
              <w:snapToGrid w:val="0"/>
              <w:ind w:firstLine="422"/>
              <w:jc w:val="center"/>
              <w:rPr>
                <w:rFonts w:hint="eastAsia" w:ascii="宋体" w:hAnsi="宋体" w:eastAsia="宋体"/>
                <w:b/>
                <w:bCs/>
                <w:kern w:val="0"/>
                <w:szCs w:val="21"/>
                <w:lang w:bidi="en-US"/>
              </w:rPr>
            </w:pPr>
          </w:p>
        </w:tc>
        <w:tc>
          <w:tcPr>
            <w:tcW w:w="2247" w:type="dxa"/>
            <w:noWrap w:val="0"/>
            <w:vAlign w:val="center"/>
          </w:tcPr>
          <w:p w14:paraId="48456876">
            <w:pPr>
              <w:snapToGrid w:val="0"/>
              <w:ind w:firstLine="732"/>
              <w:jc w:val="left"/>
              <w:rPr>
                <w:rFonts w:hint="eastAsia" w:ascii="宋体" w:hAnsi="宋体" w:eastAsia="宋体"/>
                <w:kern w:val="0"/>
                <w:szCs w:val="21"/>
                <w:lang w:bidi="en-US"/>
              </w:rPr>
            </w:pPr>
            <w:r>
              <w:rPr>
                <w:rFonts w:ascii="宋体" w:hAnsi="宋体" w:eastAsia="宋体"/>
                <w:kern w:val="0"/>
                <w:szCs w:val="21"/>
                <w:lang w:bidi="en-US"/>
              </w:rPr>
              <w:t>可溶性汞</w:t>
            </w:r>
          </w:p>
        </w:tc>
        <w:tc>
          <w:tcPr>
            <w:tcW w:w="3178" w:type="dxa"/>
            <w:noWrap w:val="0"/>
            <w:vAlign w:val="center"/>
          </w:tcPr>
          <w:p w14:paraId="6FF0EDC7">
            <w:pPr>
              <w:snapToGrid w:val="0"/>
              <w:jc w:val="center"/>
              <w:rPr>
                <w:rFonts w:hint="eastAsia" w:ascii="宋体" w:hAnsi="宋体" w:eastAsia="宋体"/>
                <w:kern w:val="0"/>
                <w:szCs w:val="21"/>
                <w:lang w:bidi="en-US"/>
              </w:rPr>
            </w:pPr>
            <w:r>
              <w:rPr>
                <w:rFonts w:ascii="宋体" w:hAnsi="宋体" w:eastAsia="宋体"/>
                <w:kern w:val="0"/>
                <w:szCs w:val="21"/>
                <w:lang w:bidi="en-US"/>
              </w:rPr>
              <w:t>≤2</w:t>
            </w:r>
          </w:p>
        </w:tc>
      </w:tr>
      <w:tr w14:paraId="3C53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204" w:type="dxa"/>
            <w:gridSpan w:val="2"/>
            <w:noWrap w:val="0"/>
            <w:vAlign w:val="center"/>
          </w:tcPr>
          <w:p w14:paraId="52DC2CDB">
            <w:pPr>
              <w:snapToGrid w:val="0"/>
              <w:ind w:firstLine="480"/>
              <w:jc w:val="center"/>
              <w:rPr>
                <w:rFonts w:hint="eastAsia" w:ascii="宋体" w:hAnsi="宋体" w:eastAsia="宋体"/>
                <w:kern w:val="0"/>
                <w:szCs w:val="21"/>
                <w:lang w:bidi="en-US"/>
              </w:rPr>
            </w:pPr>
            <w:r>
              <w:rPr>
                <w:rFonts w:ascii="宋体" w:hAnsi="宋体" w:eastAsia="宋体"/>
                <w:kern w:val="0"/>
                <w:szCs w:val="21"/>
                <w:lang w:bidi="en-US"/>
              </w:rPr>
              <w:t>气味等级（级）</w:t>
            </w:r>
          </w:p>
        </w:tc>
        <w:tc>
          <w:tcPr>
            <w:tcW w:w="3178" w:type="dxa"/>
            <w:noWrap w:val="0"/>
            <w:vAlign w:val="center"/>
          </w:tcPr>
          <w:p w14:paraId="11E40CF0">
            <w:pPr>
              <w:snapToGrid w:val="0"/>
              <w:jc w:val="center"/>
              <w:rPr>
                <w:rFonts w:hint="eastAsia" w:ascii="宋体" w:hAnsi="宋体" w:eastAsia="宋体"/>
                <w:kern w:val="0"/>
                <w:szCs w:val="21"/>
                <w:lang w:bidi="en-US"/>
              </w:rPr>
            </w:pPr>
            <w:r>
              <w:rPr>
                <w:rFonts w:ascii="宋体" w:hAnsi="宋体" w:eastAsia="宋体"/>
                <w:kern w:val="0"/>
                <w:szCs w:val="21"/>
                <w:lang w:bidi="en-US"/>
              </w:rPr>
              <w:t>≤3</w:t>
            </w:r>
          </w:p>
        </w:tc>
      </w:tr>
    </w:tbl>
    <w:p w14:paraId="50E2CE12">
      <w:pPr>
        <w:pStyle w:val="6"/>
        <w:numPr>
          <w:ilvl w:val="0"/>
          <w:numId w:val="28"/>
        </w:numPr>
        <w:snapToGrid w:val="0"/>
        <w:spacing w:line="360" w:lineRule="auto"/>
        <w:ind w:firstLineChars="0"/>
        <w:rPr>
          <w:rFonts w:hint="eastAsia" w:ascii="宋体" w:hAnsi="宋体" w:eastAsia="宋体"/>
          <w:szCs w:val="21"/>
        </w:rPr>
      </w:pPr>
      <w:r>
        <w:rPr>
          <w:rFonts w:hint="eastAsia" w:ascii="宋体" w:hAnsi="宋体" w:eastAsia="宋体"/>
          <w:szCs w:val="21"/>
        </w:rPr>
        <w:t>成品物理</w:t>
      </w:r>
      <w:r>
        <w:rPr>
          <w:rFonts w:ascii="宋体" w:hAnsi="宋体" w:eastAsia="宋体"/>
          <w:szCs w:val="21"/>
        </w:rPr>
        <w:t>性能要求</w:t>
      </w:r>
    </w:p>
    <w:tbl>
      <w:tblPr>
        <w:tblStyle w:val="3"/>
        <w:tblW w:w="8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1"/>
        <w:gridCol w:w="3224"/>
      </w:tblGrid>
      <w:tr w14:paraId="719D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0E47FB3F">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检验项目</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02F0FECA">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要求</w:t>
            </w:r>
          </w:p>
        </w:tc>
      </w:tr>
      <w:tr w14:paraId="4353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56DF4028">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冲击吸收/（%）</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07ACF257">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25-50</w:t>
            </w:r>
          </w:p>
        </w:tc>
      </w:tr>
      <w:tr w14:paraId="1029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74382D3B">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抗滑值（-）</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0B1D96A8">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≥47</w:t>
            </w:r>
          </w:p>
        </w:tc>
      </w:tr>
      <w:tr w14:paraId="357F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2507C8C7">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阻燃（级）</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037F32F5">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I</w:t>
            </w:r>
          </w:p>
        </w:tc>
      </w:tr>
      <w:tr w14:paraId="647A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23EE1E83">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拉伸强度（MPa）</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19C1A48E">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≥0.4</w:t>
            </w:r>
          </w:p>
        </w:tc>
      </w:tr>
      <w:tr w14:paraId="3980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432FB716">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拉断伸长率/（%）</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148E6484">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≥40</w:t>
            </w:r>
          </w:p>
        </w:tc>
      </w:tr>
      <w:tr w14:paraId="739F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616CA3B6">
            <w:pPr>
              <w:snapToGrid w:val="0"/>
              <w:ind w:firstLine="480"/>
              <w:jc w:val="center"/>
              <w:rPr>
                <w:rFonts w:hint="eastAsia" w:ascii="宋体" w:hAnsi="宋体" w:eastAsia="宋体"/>
                <w:kern w:val="0"/>
                <w:szCs w:val="21"/>
                <w:lang w:eastAsia="en-US" w:bidi="en-US"/>
              </w:rPr>
            </w:pPr>
            <w:r>
              <w:rPr>
                <w:rFonts w:ascii="宋体" w:hAnsi="宋体" w:eastAsia="宋体"/>
                <w:kern w:val="0"/>
                <w:szCs w:val="21"/>
                <w:lang w:eastAsia="en-US" w:bidi="en-US"/>
              </w:rPr>
              <w:t>高聚物总量（%）</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2563E074">
            <w:pPr>
              <w:snapToGrid w:val="0"/>
              <w:jc w:val="center"/>
              <w:rPr>
                <w:rFonts w:hint="eastAsia" w:ascii="宋体" w:hAnsi="宋体" w:eastAsia="宋体"/>
                <w:kern w:val="0"/>
                <w:szCs w:val="21"/>
                <w:lang w:eastAsia="en-US" w:bidi="en-US"/>
              </w:rPr>
            </w:pPr>
            <w:r>
              <w:rPr>
                <w:rFonts w:ascii="宋体" w:hAnsi="宋体" w:eastAsia="宋体"/>
                <w:kern w:val="0"/>
                <w:szCs w:val="21"/>
                <w:lang w:eastAsia="en-US" w:bidi="en-US"/>
              </w:rPr>
              <w:t>≥20</w:t>
            </w:r>
          </w:p>
        </w:tc>
      </w:tr>
      <w:tr w14:paraId="513F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1" w:type="dxa"/>
            <w:tcBorders>
              <w:top w:val="single" w:color="auto" w:sz="4" w:space="0"/>
              <w:left w:val="single" w:color="auto" w:sz="4" w:space="0"/>
              <w:bottom w:val="single" w:color="auto" w:sz="4" w:space="0"/>
              <w:right w:val="single" w:color="auto" w:sz="4" w:space="0"/>
            </w:tcBorders>
            <w:noWrap w:val="0"/>
            <w:vAlign w:val="center"/>
          </w:tcPr>
          <w:p w14:paraId="663B7843">
            <w:pPr>
              <w:snapToGrid w:val="0"/>
              <w:ind w:firstLine="480"/>
              <w:jc w:val="center"/>
              <w:rPr>
                <w:rFonts w:hint="eastAsia" w:ascii="宋体" w:hAnsi="宋体" w:eastAsia="宋体"/>
                <w:kern w:val="0"/>
                <w:szCs w:val="21"/>
                <w:lang w:eastAsia="en-US" w:bidi="en-US"/>
              </w:rPr>
            </w:pPr>
            <w:r>
              <w:rPr>
                <w:rFonts w:ascii="宋体" w:hAnsi="宋体" w:eastAsia="宋体"/>
                <w:kern w:val="0"/>
                <w:szCs w:val="21"/>
                <w:lang w:eastAsia="en-US" w:bidi="en-US"/>
              </w:rPr>
              <w:t>二硫化碳（mg/(㎡·h）</w:t>
            </w:r>
          </w:p>
        </w:tc>
        <w:tc>
          <w:tcPr>
            <w:tcW w:w="3224" w:type="dxa"/>
            <w:tcBorders>
              <w:top w:val="single" w:color="auto" w:sz="4" w:space="0"/>
              <w:left w:val="single" w:color="auto" w:sz="4" w:space="0"/>
              <w:bottom w:val="single" w:color="auto" w:sz="4" w:space="0"/>
              <w:right w:val="single" w:color="auto" w:sz="4" w:space="0"/>
            </w:tcBorders>
            <w:noWrap w:val="0"/>
            <w:vAlign w:val="center"/>
          </w:tcPr>
          <w:p w14:paraId="79A18963">
            <w:pPr>
              <w:snapToGrid w:val="0"/>
              <w:jc w:val="center"/>
              <w:rPr>
                <w:rFonts w:hint="eastAsia" w:ascii="宋体" w:hAnsi="宋体" w:eastAsia="宋体"/>
                <w:kern w:val="0"/>
                <w:szCs w:val="21"/>
                <w:lang w:bidi="en-US"/>
              </w:rPr>
            </w:pPr>
            <w:r>
              <w:rPr>
                <w:rFonts w:ascii="宋体" w:hAnsi="宋体" w:eastAsia="宋体"/>
                <w:kern w:val="0"/>
                <w:szCs w:val="21"/>
                <w:lang w:bidi="en-US"/>
              </w:rPr>
              <w:t>≤7</w:t>
            </w:r>
          </w:p>
        </w:tc>
      </w:tr>
    </w:tbl>
    <w:p w14:paraId="3FDB6D20">
      <w:pPr>
        <w:pStyle w:val="6"/>
        <w:numPr>
          <w:ilvl w:val="0"/>
          <w:numId w:val="28"/>
        </w:numPr>
        <w:snapToGrid w:val="0"/>
        <w:spacing w:line="360" w:lineRule="auto"/>
        <w:ind w:firstLineChars="0"/>
        <w:rPr>
          <w:rFonts w:hint="eastAsia" w:ascii="宋体" w:hAnsi="宋体" w:eastAsia="宋体"/>
          <w:sz w:val="21"/>
          <w:szCs w:val="21"/>
        </w:rPr>
      </w:pPr>
      <w:r>
        <w:rPr>
          <w:rFonts w:hint="eastAsia" w:ascii="宋体" w:hAnsi="宋体" w:cs="仿宋_GB2312"/>
          <w:sz w:val="21"/>
          <w:szCs w:val="21"/>
        </w:rPr>
        <w:t>●</w:t>
      </w:r>
      <w:r>
        <w:rPr>
          <w:rFonts w:ascii="宋体" w:hAnsi="宋体" w:eastAsia="宋体"/>
          <w:sz w:val="21"/>
          <w:szCs w:val="21"/>
        </w:rPr>
        <w:t>提供所投EPDM颗粒制造商符合GB36246-2018《中小学合成材料面层运动场地》要求的检验报告</w:t>
      </w:r>
      <w:r>
        <w:rPr>
          <w:rFonts w:hint="eastAsia" w:ascii="宋体" w:hAnsi="宋体" w:eastAsia="宋体"/>
          <w:sz w:val="21"/>
          <w:szCs w:val="21"/>
        </w:rPr>
        <w:t>；</w:t>
      </w:r>
    </w:p>
    <w:p w14:paraId="33879FBB">
      <w:pPr>
        <w:pStyle w:val="6"/>
        <w:numPr>
          <w:ilvl w:val="0"/>
          <w:numId w:val="28"/>
        </w:numPr>
        <w:snapToGrid w:val="0"/>
        <w:spacing w:line="360" w:lineRule="auto"/>
        <w:ind w:firstLineChars="0"/>
        <w:rPr>
          <w:rFonts w:hint="eastAsia" w:ascii="宋体" w:hAnsi="宋体" w:eastAsia="宋体"/>
          <w:sz w:val="21"/>
          <w:szCs w:val="21"/>
        </w:rPr>
      </w:pPr>
      <w:r>
        <w:rPr>
          <w:rFonts w:hint="eastAsia" w:ascii="宋体" w:hAnsi="宋体" w:cs="仿宋_GB2312"/>
          <w:sz w:val="21"/>
          <w:szCs w:val="21"/>
        </w:rPr>
        <w:t>●</w:t>
      </w:r>
      <w:r>
        <w:rPr>
          <w:rFonts w:hint="eastAsia" w:ascii="宋体" w:hAnsi="宋体" w:eastAsia="宋体"/>
          <w:sz w:val="21"/>
          <w:szCs w:val="21"/>
        </w:rPr>
        <w:t>提供EPDM面层所用胶粘剂50℃贮存60天后，贮存稳定性检验结果通过GB/T 6753.3-1986检测标准要求的检验报告；</w:t>
      </w:r>
    </w:p>
    <w:p w14:paraId="1824CEC1">
      <w:pPr>
        <w:pStyle w:val="6"/>
        <w:numPr>
          <w:ilvl w:val="0"/>
          <w:numId w:val="28"/>
        </w:numPr>
        <w:snapToGrid w:val="0"/>
        <w:spacing w:line="360" w:lineRule="auto"/>
        <w:ind w:firstLineChars="0"/>
        <w:rPr>
          <w:rFonts w:hint="eastAsia" w:ascii="宋体" w:hAnsi="宋体" w:eastAsia="宋体"/>
          <w:sz w:val="21"/>
          <w:szCs w:val="21"/>
        </w:rPr>
      </w:pPr>
      <w:r>
        <w:rPr>
          <w:rFonts w:hint="eastAsia" w:ascii="宋体" w:hAnsi="宋体" w:cs="仿宋_GB2312"/>
          <w:sz w:val="21"/>
          <w:szCs w:val="21"/>
        </w:rPr>
        <w:t>●</w:t>
      </w:r>
      <w:r>
        <w:rPr>
          <w:rFonts w:hint="eastAsia" w:ascii="宋体" w:hAnsi="宋体" w:eastAsia="宋体"/>
          <w:sz w:val="21"/>
          <w:szCs w:val="21"/>
        </w:rPr>
        <w:t>提供EPDM聚氨酯面层制造商满足CEC074-2023《重点管控新污染物限用（RoECs）认证技术规范》的重点管控新污染物限用（RoECs）认证证书及国家认监委网站查询截图；</w:t>
      </w:r>
    </w:p>
    <w:p w14:paraId="01033500">
      <w:pPr>
        <w:pStyle w:val="6"/>
        <w:numPr>
          <w:ilvl w:val="0"/>
          <w:numId w:val="28"/>
        </w:numPr>
        <w:snapToGrid w:val="0"/>
        <w:spacing w:line="360" w:lineRule="auto"/>
        <w:ind w:firstLineChars="0"/>
        <w:rPr>
          <w:rFonts w:hint="eastAsia" w:ascii="宋体" w:hAnsi="宋体" w:eastAsia="宋体"/>
          <w:sz w:val="21"/>
          <w:szCs w:val="21"/>
        </w:rPr>
      </w:pPr>
      <w:r>
        <w:rPr>
          <w:rFonts w:hint="eastAsia" w:ascii="宋体" w:hAnsi="宋体" w:cs="仿宋_GB2312"/>
          <w:sz w:val="21"/>
          <w:szCs w:val="21"/>
        </w:rPr>
        <w:t>●</w:t>
      </w:r>
      <w:r>
        <w:rPr>
          <w:rFonts w:hint="eastAsia" w:ascii="宋体" w:hAnsi="宋体" w:eastAsia="宋体"/>
          <w:sz w:val="21"/>
          <w:szCs w:val="21"/>
        </w:rPr>
        <w:t>为保障产品性能，售后服务的稳定性和及时性，提供符合上述要求的EPDM产品制造商针对本项目的售后服务承诺函。</w:t>
      </w:r>
    </w:p>
    <w:p w14:paraId="4BBD84AB">
      <w:pPr>
        <w:pStyle w:val="6"/>
        <w:numPr>
          <w:ilvl w:val="0"/>
          <w:numId w:val="1"/>
        </w:numPr>
        <w:snapToGrid w:val="0"/>
        <w:spacing w:line="360" w:lineRule="auto"/>
        <w:ind w:firstLineChars="0"/>
        <w:rPr>
          <w:rFonts w:hint="eastAsia" w:ascii="宋体" w:hAnsi="宋体" w:eastAsia="宋体"/>
          <w:b/>
          <w:bCs/>
          <w:sz w:val="21"/>
          <w:szCs w:val="21"/>
        </w:rPr>
      </w:pPr>
      <w:r>
        <w:rPr>
          <w:rFonts w:hint="eastAsia" w:ascii="宋体" w:hAnsi="宋体" w:eastAsia="宋体"/>
          <w:b/>
          <w:bCs/>
          <w:sz w:val="21"/>
          <w:szCs w:val="21"/>
        </w:rPr>
        <w:t>棋牌桌</w:t>
      </w:r>
    </w:p>
    <w:p w14:paraId="063B5205">
      <w:pPr>
        <w:pStyle w:val="6"/>
        <w:widowControl/>
        <w:numPr>
          <w:ilvl w:val="0"/>
          <w:numId w:val="29"/>
        </w:numPr>
        <w:adjustRightInd w:val="0"/>
        <w:snapToGrid w:val="0"/>
        <w:spacing w:line="360" w:lineRule="auto"/>
        <w:ind w:firstLineChars="0"/>
        <w:jc w:val="left"/>
        <w:rPr>
          <w:rFonts w:hint="eastAsia" w:ascii="宋体" w:hAnsi="宋体" w:eastAsia="宋体"/>
          <w:sz w:val="21"/>
          <w:szCs w:val="21"/>
        </w:rPr>
      </w:pPr>
      <w:bookmarkStart w:id="4" w:name="_Hlk160525742"/>
      <w:r>
        <w:rPr>
          <w:rFonts w:hint="eastAsia" w:ascii="宋体" w:hAnsi="宋体" w:eastAsia="宋体"/>
          <w:sz w:val="21"/>
          <w:szCs w:val="21"/>
        </w:rPr>
        <w:t>主要承载立柱采用铝合金+塑木+钢管复合立柱结构，外形尺寸不小于120×120mm，主承载钢管不小于120×80×3.0mm，座位管不小于φ76×3.0mm</w:t>
      </w:r>
      <w:r>
        <w:rPr>
          <w:rFonts w:ascii="宋体" w:hAnsi="宋体" w:eastAsia="宋体"/>
          <w:sz w:val="21"/>
          <w:szCs w:val="21"/>
        </w:rPr>
        <w:t>；</w:t>
      </w:r>
    </w:p>
    <w:p w14:paraId="333BD83C">
      <w:pPr>
        <w:pStyle w:val="6"/>
        <w:widowControl/>
        <w:numPr>
          <w:ilvl w:val="0"/>
          <w:numId w:val="29"/>
        </w:numPr>
        <w:adjustRightInd w:val="0"/>
        <w:snapToGrid w:val="0"/>
        <w:spacing w:line="360" w:lineRule="auto"/>
        <w:ind w:firstLineChars="0"/>
        <w:jc w:val="left"/>
        <w:rPr>
          <w:rFonts w:hint="eastAsia" w:ascii="宋体" w:hAnsi="宋体" w:eastAsia="宋体"/>
          <w:sz w:val="21"/>
          <w:szCs w:val="21"/>
        </w:rPr>
      </w:pPr>
      <w:r>
        <w:rPr>
          <w:rFonts w:hint="eastAsia" w:ascii="宋体" w:hAnsi="宋体" w:eastAsia="宋体"/>
          <w:sz w:val="21"/>
          <w:szCs w:val="21"/>
        </w:rPr>
        <w:t>主要承载横梁尺寸不小于40×25×3.0mm；</w:t>
      </w:r>
    </w:p>
    <w:p w14:paraId="2947FC1C">
      <w:pPr>
        <w:pStyle w:val="6"/>
        <w:widowControl/>
        <w:numPr>
          <w:ilvl w:val="0"/>
          <w:numId w:val="29"/>
        </w:numPr>
        <w:adjustRightInd w:val="0"/>
        <w:snapToGrid w:val="0"/>
        <w:spacing w:line="360" w:lineRule="auto"/>
        <w:ind w:firstLineChars="0"/>
        <w:jc w:val="left"/>
        <w:rPr>
          <w:rFonts w:hint="eastAsia" w:ascii="宋体" w:hAnsi="宋体" w:eastAsia="宋体"/>
          <w:sz w:val="21"/>
          <w:szCs w:val="21"/>
        </w:rPr>
      </w:pPr>
      <w:r>
        <w:rPr>
          <w:rFonts w:ascii="宋体" w:hAnsi="宋体" w:eastAsia="宋体"/>
          <w:sz w:val="21"/>
          <w:szCs w:val="21"/>
        </w:rPr>
        <w:t>桌面采用不锈钢材质，板材厚度</w:t>
      </w:r>
      <w:r>
        <w:rPr>
          <w:rFonts w:hint="eastAsia" w:ascii="宋体" w:hAnsi="宋体" w:eastAsia="宋体"/>
          <w:sz w:val="21"/>
          <w:szCs w:val="21"/>
        </w:rPr>
        <w:t>不小于</w:t>
      </w:r>
      <w:r>
        <w:rPr>
          <w:rFonts w:ascii="宋体" w:hAnsi="宋体" w:eastAsia="宋体"/>
          <w:sz w:val="21"/>
          <w:szCs w:val="21"/>
        </w:rPr>
        <w:t>1mm，图样及字样蚀刻处理；</w:t>
      </w:r>
    </w:p>
    <w:p w14:paraId="7A00CDB2">
      <w:pPr>
        <w:pStyle w:val="6"/>
        <w:widowControl/>
        <w:numPr>
          <w:ilvl w:val="0"/>
          <w:numId w:val="29"/>
        </w:numPr>
        <w:adjustRightInd w:val="0"/>
        <w:snapToGrid w:val="0"/>
        <w:spacing w:line="360" w:lineRule="auto"/>
        <w:ind w:firstLineChars="0"/>
        <w:jc w:val="left"/>
        <w:rPr>
          <w:rFonts w:hint="eastAsia" w:ascii="宋体" w:hAnsi="宋体" w:eastAsia="宋体"/>
          <w:sz w:val="21"/>
          <w:szCs w:val="21"/>
        </w:rPr>
      </w:pPr>
      <w:r>
        <w:rPr>
          <w:rFonts w:ascii="宋体" w:hAnsi="宋体" w:eastAsia="宋体"/>
          <w:sz w:val="21"/>
          <w:szCs w:val="21"/>
        </w:rPr>
        <w:t>台面边框及加强管管材壁厚不小于2mm；</w:t>
      </w:r>
    </w:p>
    <w:p w14:paraId="025C755C">
      <w:pPr>
        <w:pStyle w:val="6"/>
        <w:widowControl/>
        <w:numPr>
          <w:ilvl w:val="0"/>
          <w:numId w:val="29"/>
        </w:numPr>
        <w:adjustRightInd w:val="0"/>
        <w:snapToGrid w:val="0"/>
        <w:spacing w:line="360" w:lineRule="auto"/>
        <w:ind w:firstLineChars="0"/>
        <w:jc w:val="left"/>
        <w:rPr>
          <w:rFonts w:hint="eastAsia" w:ascii="宋体" w:hAnsi="宋体" w:eastAsia="宋体"/>
        </w:rPr>
      </w:pPr>
      <w:r>
        <w:rPr>
          <w:rFonts w:ascii="宋体" w:hAnsi="宋体" w:eastAsia="宋体"/>
          <w:sz w:val="21"/>
          <w:szCs w:val="21"/>
        </w:rPr>
        <w:t>配备四个凳子，凳</w:t>
      </w:r>
      <w:r>
        <w:rPr>
          <w:rFonts w:hint="eastAsia" w:ascii="宋体" w:hAnsi="宋体" w:eastAsia="宋体"/>
          <w:sz w:val="21"/>
          <w:szCs w:val="21"/>
        </w:rPr>
        <w:t>面</w:t>
      </w:r>
      <w:r>
        <w:rPr>
          <w:rFonts w:ascii="宋体" w:hAnsi="宋体" w:eastAsia="宋体"/>
          <w:sz w:val="21"/>
          <w:szCs w:val="21"/>
        </w:rPr>
        <w:t>采用钢板冲压一体成型</w:t>
      </w:r>
      <w:r>
        <w:rPr>
          <w:rFonts w:hint="eastAsia" w:ascii="宋体" w:hAnsi="宋体" w:eastAsia="宋体"/>
          <w:sz w:val="21"/>
          <w:szCs w:val="21"/>
        </w:rPr>
        <w:t>或采用塑木</w:t>
      </w:r>
      <w:r>
        <w:rPr>
          <w:rFonts w:hint="eastAsia" w:ascii="宋体" w:hAnsi="宋体" w:eastAsia="宋体"/>
        </w:rPr>
        <w:t>材质</w:t>
      </w:r>
      <w:r>
        <w:rPr>
          <w:rFonts w:ascii="宋体" w:hAnsi="宋体" w:eastAsia="宋体"/>
        </w:rPr>
        <w:t>，壁厚</w:t>
      </w:r>
      <w:r>
        <w:rPr>
          <w:rFonts w:hint="eastAsia" w:ascii="宋体" w:hAnsi="宋体" w:eastAsia="宋体"/>
        </w:rPr>
        <w:t>不小于4</w:t>
      </w:r>
      <w:r>
        <w:rPr>
          <w:rFonts w:ascii="宋体" w:hAnsi="宋体" w:eastAsia="宋体"/>
        </w:rPr>
        <w:t>mm</w:t>
      </w:r>
      <w:r>
        <w:rPr>
          <w:rFonts w:hint="eastAsia" w:ascii="宋体" w:hAnsi="宋体" w:eastAsia="宋体"/>
        </w:rPr>
        <w:t>；</w:t>
      </w:r>
    </w:p>
    <w:bookmarkEnd w:id="4"/>
    <w:p w14:paraId="5BC20993">
      <w:pPr>
        <w:pStyle w:val="6"/>
        <w:widowControl/>
        <w:numPr>
          <w:ilvl w:val="0"/>
          <w:numId w:val="29"/>
        </w:numPr>
        <w:adjustRightInd w:val="0"/>
        <w:snapToGrid w:val="0"/>
        <w:spacing w:line="360" w:lineRule="auto"/>
        <w:ind w:firstLineChars="0"/>
        <w:jc w:val="left"/>
        <w:rPr>
          <w:rFonts w:hint="eastAsia" w:ascii="宋体" w:hAnsi="宋体" w:eastAsia="宋体"/>
        </w:rPr>
      </w:pPr>
      <w:r>
        <w:rPr>
          <w:rFonts w:hint="eastAsia" w:ascii="宋体" w:hAnsi="宋体" w:cs="仿宋_GB2312"/>
          <w:sz w:val="24"/>
          <w:szCs w:val="24"/>
        </w:rPr>
        <w:t>●</w:t>
      </w:r>
      <w:r>
        <w:rPr>
          <w:rFonts w:hint="eastAsia" w:ascii="宋体" w:hAnsi="宋体" w:eastAsia="宋体"/>
        </w:rPr>
        <w:t>所投产品取得国家认证认可监督管理委员会批准的第三方认证机构颁发的认证证书和确认函。</w:t>
      </w:r>
    </w:p>
    <w:p w14:paraId="20EC76F5">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益智算盘</w:t>
      </w:r>
    </w:p>
    <w:p w14:paraId="3C0589D5">
      <w:pPr>
        <w:pStyle w:val="6"/>
        <w:numPr>
          <w:ilvl w:val="0"/>
          <w:numId w:val="30"/>
        </w:numPr>
        <w:snapToGrid w:val="0"/>
        <w:spacing w:line="360" w:lineRule="auto"/>
        <w:ind w:firstLineChars="0"/>
        <w:rPr>
          <w:rFonts w:hint="eastAsia" w:ascii="宋体" w:hAnsi="宋体" w:eastAsia="宋体"/>
          <w:szCs w:val="24"/>
        </w:rPr>
      </w:pPr>
      <w:r>
        <w:rPr>
          <w:rFonts w:hint="eastAsia" w:ascii="宋体" w:hAnsi="宋体" w:eastAsia="宋体"/>
          <w:szCs w:val="24"/>
        </w:rPr>
        <w:t>主立柱采用优质钢管，直径不小于110mm，主立柱壁厚不小于2.75mm</w:t>
      </w:r>
      <w:r>
        <w:rPr>
          <w:rFonts w:hint="eastAsia" w:ascii="宋体" w:hAnsi="宋体" w:eastAsia="宋体" w:cs="Times New Roman"/>
          <w:szCs w:val="24"/>
        </w:rPr>
        <w:t>；</w:t>
      </w:r>
    </w:p>
    <w:p w14:paraId="5F211C9B">
      <w:pPr>
        <w:pStyle w:val="6"/>
        <w:numPr>
          <w:ilvl w:val="0"/>
          <w:numId w:val="30"/>
        </w:numPr>
        <w:snapToGrid w:val="0"/>
        <w:spacing w:line="360" w:lineRule="auto"/>
        <w:ind w:firstLineChars="0"/>
        <w:rPr>
          <w:rFonts w:hint="eastAsia" w:ascii="宋体" w:hAnsi="宋体" w:eastAsia="宋体"/>
          <w:szCs w:val="24"/>
        </w:rPr>
      </w:pPr>
      <w:r>
        <w:rPr>
          <w:rFonts w:hint="eastAsia" w:ascii="宋体" w:hAnsi="宋体" w:eastAsia="宋体"/>
          <w:szCs w:val="24"/>
        </w:rPr>
        <w:t>主要</w:t>
      </w:r>
      <w:r>
        <w:rPr>
          <w:rFonts w:ascii="宋体" w:hAnsi="宋体" w:eastAsia="宋体"/>
          <w:szCs w:val="24"/>
        </w:rPr>
        <w:t>承载横梁尺寸不小于</w:t>
      </w:r>
      <w:r>
        <w:rPr>
          <w:rFonts w:hint="eastAsia" w:ascii="宋体" w:hAnsi="宋体" w:eastAsia="宋体"/>
          <w:szCs w:val="24"/>
        </w:rPr>
        <w:t>120</w:t>
      </w:r>
      <w:r>
        <w:rPr>
          <w:rFonts w:hint="eastAsia" w:ascii="宋体" w:hAnsi="宋体" w:eastAsia="宋体" w:cs="Times New Roman"/>
          <w:sz w:val="24"/>
          <w:szCs w:val="24"/>
        </w:rPr>
        <w:t>×</w:t>
      </w:r>
      <w:r>
        <w:rPr>
          <w:rFonts w:hint="eastAsia" w:ascii="宋体" w:hAnsi="宋体" w:eastAsia="宋体" w:cs="Times New Roman"/>
          <w:szCs w:val="24"/>
        </w:rPr>
        <w:t>80</w:t>
      </w:r>
      <w:r>
        <w:rPr>
          <w:rFonts w:hint="eastAsia" w:ascii="宋体" w:hAnsi="宋体" w:eastAsia="宋体" w:cs="Times New Roman"/>
          <w:sz w:val="24"/>
          <w:szCs w:val="24"/>
        </w:rPr>
        <w:t>×</w:t>
      </w:r>
      <w:r>
        <w:rPr>
          <w:rFonts w:hint="eastAsia" w:ascii="宋体" w:hAnsi="宋体" w:eastAsia="宋体" w:cs="Times New Roman"/>
          <w:szCs w:val="24"/>
        </w:rPr>
        <w:t>3.0</w:t>
      </w:r>
      <w:r>
        <w:rPr>
          <w:rFonts w:ascii="宋体" w:hAnsi="宋体" w:eastAsia="宋体" w:cs="Times New Roman"/>
          <w:sz w:val="24"/>
          <w:szCs w:val="24"/>
        </w:rPr>
        <w:t>mm</w:t>
      </w:r>
      <w:r>
        <w:rPr>
          <w:rFonts w:hint="eastAsia" w:ascii="宋体" w:hAnsi="宋体" w:eastAsia="宋体" w:cs="Times New Roman"/>
          <w:szCs w:val="24"/>
        </w:rPr>
        <w:t>；</w:t>
      </w:r>
    </w:p>
    <w:p w14:paraId="53C4DC3F">
      <w:pPr>
        <w:pStyle w:val="6"/>
        <w:numPr>
          <w:ilvl w:val="0"/>
          <w:numId w:val="30"/>
        </w:numPr>
        <w:snapToGrid w:val="0"/>
        <w:spacing w:line="360" w:lineRule="auto"/>
        <w:ind w:firstLineChars="0"/>
        <w:rPr>
          <w:rFonts w:hint="eastAsia" w:ascii="宋体" w:hAnsi="宋体" w:eastAsia="宋体"/>
          <w:szCs w:val="24"/>
        </w:rPr>
      </w:pPr>
      <w:r>
        <w:rPr>
          <w:rFonts w:hint="eastAsia" w:ascii="宋体" w:hAnsi="宋体" w:eastAsia="宋体"/>
          <w:szCs w:val="24"/>
        </w:rPr>
        <w:t>活动件与刚性固定部件间的间隙应小于</w:t>
      </w:r>
      <w:r>
        <w:rPr>
          <w:rFonts w:ascii="宋体" w:hAnsi="宋体" w:eastAsia="宋体"/>
          <w:szCs w:val="24"/>
        </w:rPr>
        <w:t>2mm或大于30mm</w:t>
      </w:r>
      <w:r>
        <w:rPr>
          <w:rFonts w:hint="eastAsia" w:ascii="宋体" w:hAnsi="宋体" w:eastAsia="宋体"/>
          <w:szCs w:val="24"/>
        </w:rPr>
        <w:t>；</w:t>
      </w:r>
    </w:p>
    <w:p w14:paraId="724816A6">
      <w:pPr>
        <w:pStyle w:val="6"/>
        <w:numPr>
          <w:ilvl w:val="0"/>
          <w:numId w:val="30"/>
        </w:numPr>
        <w:snapToGrid w:val="0"/>
        <w:spacing w:line="360" w:lineRule="auto"/>
        <w:ind w:firstLineChars="0"/>
        <w:rPr>
          <w:rFonts w:hint="eastAsia" w:ascii="宋体" w:hAnsi="宋体" w:eastAsia="宋体"/>
          <w:szCs w:val="24"/>
        </w:rPr>
      </w:pPr>
      <w:r>
        <w:rPr>
          <w:rFonts w:hint="eastAsia" w:ascii="宋体" w:hAnsi="宋体" w:eastAsia="宋体"/>
          <w:szCs w:val="24"/>
        </w:rPr>
        <w:t>使用者或第三者易接触的零部件的其他所有棱边应予以圆滑过渡或加以防护；</w:t>
      </w:r>
    </w:p>
    <w:p w14:paraId="65AFB167">
      <w:pPr>
        <w:pStyle w:val="6"/>
        <w:numPr>
          <w:ilvl w:val="0"/>
          <w:numId w:val="30"/>
        </w:numPr>
        <w:snapToGrid w:val="0"/>
        <w:spacing w:line="360" w:lineRule="auto"/>
        <w:ind w:firstLineChars="0"/>
        <w:rPr>
          <w:rFonts w:hint="eastAsia" w:ascii="宋体" w:hAnsi="宋体" w:eastAsia="宋体"/>
          <w:szCs w:val="24"/>
        </w:rPr>
      </w:pPr>
      <w:r>
        <w:rPr>
          <w:rFonts w:hint="eastAsia" w:ascii="宋体" w:hAnsi="宋体" w:eastAsia="宋体"/>
          <w:szCs w:val="24"/>
        </w:rPr>
        <w:t>双站位设计，可满足2人同时使用；</w:t>
      </w:r>
    </w:p>
    <w:p w14:paraId="04F95B1E">
      <w:pPr>
        <w:pStyle w:val="6"/>
        <w:numPr>
          <w:ilvl w:val="0"/>
          <w:numId w:val="30"/>
        </w:numPr>
        <w:snapToGrid w:val="0"/>
        <w:spacing w:line="360" w:lineRule="auto"/>
        <w:ind w:firstLineChars="0"/>
        <w:rPr>
          <w:rFonts w:hint="eastAsia" w:ascii="宋体" w:hAnsi="宋体" w:eastAsia="宋体"/>
          <w:szCs w:val="24"/>
        </w:rPr>
      </w:pPr>
      <w:r>
        <w:rPr>
          <w:rFonts w:hint="eastAsia" w:ascii="宋体" w:hAnsi="宋体" w:eastAsia="宋体"/>
          <w:szCs w:val="24"/>
        </w:rPr>
        <w:t>算盘导柱采用优质不锈钢材料，避免在室外环境和使用摩擦的情况下锈蚀生锈；</w:t>
      </w:r>
    </w:p>
    <w:p w14:paraId="69C4DCDF">
      <w:pPr>
        <w:pStyle w:val="7"/>
        <w:widowControl/>
        <w:numPr>
          <w:ilvl w:val="0"/>
          <w:numId w:val="30"/>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1A0CA54F">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笼式场地围网系统</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核心产品）</w:t>
      </w:r>
    </w:p>
    <w:p w14:paraId="52DDD4CE">
      <w:pPr>
        <w:pStyle w:val="6"/>
        <w:widowControl/>
        <w:numPr>
          <w:ilvl w:val="0"/>
          <w:numId w:val="31"/>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包含篮球场3块，足球场1块，网球场2块，匹克球场2块，排球场1块，羽毛球场2块，乒乓球场1块，相邻场地共用一道围网，总面积</w:t>
      </w:r>
      <w:r>
        <w:rPr>
          <w:rFonts w:hint="eastAsia" w:ascii="宋体" w:hAnsi="宋体" w:eastAsia="宋体" w:cs="宋体"/>
          <w:szCs w:val="21"/>
        </w:rPr>
        <w:t>不少于</w:t>
      </w:r>
      <w:r>
        <w:rPr>
          <w:rFonts w:hint="eastAsia" w:ascii="宋体" w:hAnsi="宋体" w:eastAsia="宋体"/>
          <w:szCs w:val="21"/>
        </w:rPr>
        <w:t>3122㎡。</w:t>
      </w:r>
    </w:p>
    <w:p w14:paraId="559F7DDC">
      <w:pPr>
        <w:pStyle w:val="6"/>
        <w:widowControl/>
        <w:numPr>
          <w:ilvl w:val="0"/>
          <w:numId w:val="31"/>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框架：围网立柱采用不小于φ76mm，管壁厚度为不小于3mm的优质钢管，围网采用模块拼接式，单个网片规格不大于3000(长)mm×2000（高）mm，围网总高度不小于4米，立柱间隔不大于3米，所有管材表面须经过静电粉末喷塑,颜色为墨绿色．立柱埋入地下深度应不小于4</w:t>
      </w:r>
      <w:r>
        <w:rPr>
          <w:rFonts w:ascii="宋体" w:hAnsi="宋体" w:eastAsia="宋体"/>
          <w:szCs w:val="21"/>
        </w:rPr>
        <w:t>00</w:t>
      </w:r>
      <w:r>
        <w:rPr>
          <w:rFonts w:hint="eastAsia" w:ascii="宋体" w:hAnsi="宋体" w:eastAsia="宋体"/>
          <w:szCs w:val="21"/>
        </w:rPr>
        <w:t>mm，地基尺寸应不小于4</w:t>
      </w:r>
      <w:r>
        <w:rPr>
          <w:rFonts w:ascii="宋体" w:hAnsi="宋体" w:eastAsia="宋体"/>
          <w:szCs w:val="21"/>
        </w:rPr>
        <w:t>00×</w:t>
      </w:r>
      <w:r>
        <w:rPr>
          <w:rFonts w:hint="eastAsia" w:ascii="宋体" w:hAnsi="宋体" w:eastAsia="宋体"/>
          <w:szCs w:val="21"/>
        </w:rPr>
        <w:t>4</w:t>
      </w:r>
      <w:r>
        <w:rPr>
          <w:rFonts w:ascii="宋体" w:hAnsi="宋体" w:eastAsia="宋体"/>
          <w:szCs w:val="21"/>
        </w:rPr>
        <w:t>00×</w:t>
      </w:r>
      <w:r>
        <w:rPr>
          <w:rFonts w:hint="eastAsia" w:ascii="宋体" w:hAnsi="宋体" w:eastAsia="宋体"/>
          <w:szCs w:val="21"/>
        </w:rPr>
        <w:t>4</w:t>
      </w:r>
      <w:r>
        <w:rPr>
          <w:rFonts w:ascii="宋体" w:hAnsi="宋体" w:eastAsia="宋体"/>
          <w:szCs w:val="21"/>
        </w:rPr>
        <w:t>00</w:t>
      </w:r>
      <w:r>
        <w:rPr>
          <w:rFonts w:hint="eastAsia" w:ascii="宋体" w:hAnsi="宋体" w:eastAsia="宋体"/>
          <w:szCs w:val="21"/>
        </w:rPr>
        <w:t>mm（深）。</w:t>
      </w:r>
    </w:p>
    <w:p w14:paraId="668756A3">
      <w:pPr>
        <w:pStyle w:val="6"/>
        <w:widowControl/>
        <w:numPr>
          <w:ilvl w:val="0"/>
          <w:numId w:val="31"/>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根据场地需要，配置不小于1.4米宽、1.9米高的单开式框架进出口，与</w:t>
      </w:r>
      <w:r>
        <w:rPr>
          <w:rFonts w:ascii="宋体" w:hAnsi="宋体" w:eastAsia="宋体"/>
          <w:szCs w:val="21"/>
        </w:rPr>
        <w:t>围网模块结构</w:t>
      </w:r>
      <w:r>
        <w:rPr>
          <w:rFonts w:hint="eastAsia" w:ascii="宋体" w:hAnsi="宋体" w:eastAsia="宋体"/>
          <w:szCs w:val="21"/>
        </w:rPr>
        <w:t>一致。围网全部采用防盗镀锌或不锈钢螺栓，并采用防松螺母防松方式，保证连接长期可靠。立柱与连接横管采用固态粉静电喷涂工艺，颜色为墨绿色，色泽保持八年不变，围网风载荷标准值应不小于0</w:t>
      </w:r>
      <w:r>
        <w:rPr>
          <w:rFonts w:ascii="宋体" w:hAnsi="宋体" w:eastAsia="宋体"/>
          <w:szCs w:val="21"/>
        </w:rPr>
        <w:t>.35kn/</w:t>
      </w:r>
      <w:r>
        <w:rPr>
          <w:rFonts w:hint="eastAsia" w:ascii="宋体" w:hAnsi="宋体" w:eastAsia="宋体"/>
          <w:szCs w:val="21"/>
        </w:rPr>
        <w:t>㎡。</w:t>
      </w:r>
    </w:p>
    <w:p w14:paraId="18C6EF51">
      <w:pPr>
        <w:pStyle w:val="6"/>
        <w:widowControl/>
        <w:numPr>
          <w:ilvl w:val="0"/>
          <w:numId w:val="31"/>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网丝:包塑网片丝浸塑处理后网片径不小于Ф4mm, 采用优质低碳镀锌铁丝，处理前丝径不小于Ф3mm，网孔50×50 mm，勾花网，颜色为墨绿色，表面光滑细腻，各项性能指标达到GB15065-94和IE60502标准，吸水率为0%。围网孔径应与运动功能相适应，具有防止球脱出的功能。</w:t>
      </w:r>
    </w:p>
    <w:p w14:paraId="6CCC62B0">
      <w:pPr>
        <w:pStyle w:val="6"/>
        <w:widowControl/>
        <w:numPr>
          <w:ilvl w:val="0"/>
          <w:numId w:val="31"/>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宣传标示牌：应牢固固定于进出口区域，面板采用不锈钢材质，耐蚀性能相当于0Cr18Ni9（SUS304），尺寸</w:t>
      </w:r>
      <w:r>
        <w:rPr>
          <w:rFonts w:ascii="宋体" w:hAnsi="宋体" w:eastAsia="宋体"/>
          <w:szCs w:val="21"/>
        </w:rPr>
        <w:t>不小于</w:t>
      </w:r>
      <w:r>
        <w:rPr>
          <w:rFonts w:hint="eastAsia" w:ascii="宋体" w:hAnsi="宋体" w:eastAsia="宋体"/>
          <w:szCs w:val="21"/>
        </w:rPr>
        <w:t>800×500mm，厚度不小于</w:t>
      </w:r>
      <w:r>
        <w:rPr>
          <w:rFonts w:ascii="宋体" w:hAnsi="宋体" w:eastAsia="宋体"/>
          <w:szCs w:val="21"/>
        </w:rPr>
        <w:t>0.8</w:t>
      </w:r>
      <w:r>
        <w:rPr>
          <w:rFonts w:hint="eastAsia" w:ascii="宋体" w:hAnsi="宋体" w:eastAsia="宋体"/>
          <w:szCs w:val="21"/>
        </w:rPr>
        <w:t>mm，面板边缘及尖角不得翘起，图样及字样蚀刻处理；内容至少包含以下内容：须有中国体育彩票标示；产品名称；简明的科学健身提示，产品使用安全注意事项；产品供应商的全称，售后服务电话及督查电话；管理维护单位及联系电话。</w:t>
      </w:r>
    </w:p>
    <w:p w14:paraId="455FDC66">
      <w:pPr>
        <w:pStyle w:val="6"/>
        <w:widowControl/>
        <w:numPr>
          <w:ilvl w:val="0"/>
          <w:numId w:val="31"/>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配套灯光系统：灯柱为围网的一部分，在整场围网中亦为围网的主立柱，增强围网的稳定性，灯柱采用直径不小于Ф114×3.0mm的钢管，根据场地需要配备灯柱，灯柱高6米,采用市电供电或太阳能供电。</w:t>
      </w:r>
    </w:p>
    <w:p w14:paraId="24121A8C">
      <w:pPr>
        <w:pStyle w:val="6"/>
        <w:widowControl/>
        <w:adjustRightInd w:val="0"/>
        <w:snapToGrid w:val="0"/>
        <w:spacing w:line="360" w:lineRule="auto"/>
        <w:ind w:left="426" w:firstLine="0" w:firstLineChars="0"/>
        <w:jc w:val="left"/>
        <w:rPr>
          <w:rFonts w:hint="eastAsia" w:ascii="宋体" w:hAnsi="宋体" w:eastAsia="宋体"/>
          <w:szCs w:val="21"/>
        </w:rPr>
      </w:pPr>
      <w:r>
        <w:rPr>
          <w:rFonts w:hint="eastAsia" w:ascii="宋体" w:hAnsi="宋体" w:eastAsia="宋体"/>
          <w:szCs w:val="21"/>
        </w:rPr>
        <w:t>市电供电：每根灯柱配1盏不小于200W LED灯。配电柜及线路：使用PVC穿线管保护线路，场内电线不小于4平方毫米，灯柱内电线不小于2.5平方毫米，配100A漏电开关及双极32A空气开关，分组控制，带漏电保护（采用配电箱，开关、电线与电负荷相匹配）。</w:t>
      </w:r>
    </w:p>
    <w:p w14:paraId="31A4BB10">
      <w:pPr>
        <w:pStyle w:val="6"/>
        <w:widowControl/>
        <w:adjustRightInd w:val="0"/>
        <w:snapToGrid w:val="0"/>
        <w:spacing w:line="360" w:lineRule="auto"/>
        <w:ind w:left="426" w:firstLine="0" w:firstLineChars="0"/>
        <w:jc w:val="left"/>
        <w:rPr>
          <w:rFonts w:hint="eastAsia" w:ascii="宋体" w:hAnsi="宋体" w:eastAsia="宋体"/>
          <w:szCs w:val="21"/>
        </w:rPr>
      </w:pPr>
      <w:r>
        <w:rPr>
          <w:rFonts w:hint="eastAsia" w:ascii="宋体" w:hAnsi="宋体" w:eastAsia="宋体"/>
          <w:szCs w:val="21"/>
        </w:rPr>
        <w:t>太阳能供电：每根灯柱配1盏不小于30W LED灯，使用太阳能供电模式，采用锂电池或胶体蓄电池，充电后应能满足24 小时保障场地照明正常使用。太阳能板到蓄电池的连线及蓄电池要密封,不得暴露在外。</w:t>
      </w:r>
    </w:p>
    <w:p w14:paraId="58C254B7">
      <w:pPr>
        <w:pStyle w:val="6"/>
        <w:widowControl/>
        <w:adjustRightInd w:val="0"/>
        <w:snapToGrid w:val="0"/>
        <w:spacing w:line="360" w:lineRule="auto"/>
        <w:ind w:left="426" w:firstLine="0" w:firstLineChars="0"/>
        <w:jc w:val="left"/>
        <w:rPr>
          <w:rFonts w:hint="eastAsia" w:ascii="宋体" w:hAnsi="宋体" w:eastAsia="宋体"/>
          <w:szCs w:val="21"/>
        </w:rPr>
      </w:pPr>
      <w:r>
        <w:rPr>
          <w:rFonts w:hint="eastAsia" w:ascii="宋体" w:hAnsi="宋体" w:eastAsia="宋体"/>
          <w:szCs w:val="21"/>
        </w:rPr>
        <w:t>灯柱安全使用寿命不低于8 年；其中作为易损部件的电子部件及供电系统使用寿命应不小于2 年。灯柱采用直埋方式，深度不小于600mm。</w:t>
      </w:r>
    </w:p>
    <w:p w14:paraId="5676030B">
      <w:pPr>
        <w:pStyle w:val="6"/>
        <w:widowControl/>
        <w:numPr>
          <w:ilvl w:val="0"/>
          <w:numId w:val="31"/>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cs="仿宋_GB2312"/>
          <w:sz w:val="24"/>
          <w:szCs w:val="24"/>
        </w:rPr>
        <w:t>●</w:t>
      </w:r>
      <w:r>
        <w:rPr>
          <w:rFonts w:hint="eastAsia" w:ascii="宋体" w:hAnsi="宋体" w:eastAsia="宋体"/>
          <w:szCs w:val="21"/>
        </w:rPr>
        <w:t>投标文件中附笼式场地围网系统经国家认证认可监督管理委员会批准的第三方认证机构颁发的认证证书和确认函。</w:t>
      </w:r>
    </w:p>
    <w:p w14:paraId="29FCBDE3">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硅PU场地面层</w:t>
      </w:r>
    </w:p>
    <w:p w14:paraId="02997685">
      <w:pPr>
        <w:pStyle w:val="6"/>
        <w:widowControl/>
        <w:numPr>
          <w:ilvl w:val="0"/>
          <w:numId w:val="32"/>
        </w:numPr>
        <w:adjustRightInd w:val="0"/>
        <w:snapToGrid w:val="0"/>
        <w:spacing w:line="360" w:lineRule="auto"/>
        <w:ind w:left="426" w:firstLineChars="0"/>
        <w:jc w:val="left"/>
        <w:rPr>
          <w:rFonts w:hint="eastAsia" w:ascii="宋体" w:hAnsi="宋体" w:eastAsia="宋体"/>
          <w:szCs w:val="21"/>
        </w:rPr>
      </w:pPr>
      <w:r>
        <w:rPr>
          <w:rFonts w:hint="eastAsia" w:ascii="宋体" w:hAnsi="宋体" w:eastAsia="宋体"/>
          <w:szCs w:val="21"/>
        </w:rPr>
        <w:t>硅PU场地面层满铺，厚度不小于5mm；包含篮球场3块，网球场2块，匹克球场2块，排球场1块，羽毛球场2块，总面积</w:t>
      </w:r>
      <w:r>
        <w:rPr>
          <w:rFonts w:hint="eastAsia" w:ascii="宋体" w:hAnsi="宋体" w:eastAsia="宋体" w:cs="宋体"/>
          <w:szCs w:val="21"/>
        </w:rPr>
        <w:t>不少于</w:t>
      </w:r>
      <w:r>
        <w:rPr>
          <w:rFonts w:hint="eastAsia" w:ascii="宋体" w:hAnsi="宋体" w:eastAsia="宋体"/>
          <w:szCs w:val="21"/>
        </w:rPr>
        <w:t>4186㎡；</w:t>
      </w:r>
    </w:p>
    <w:p w14:paraId="2CA91A49">
      <w:pPr>
        <w:pStyle w:val="6"/>
        <w:widowControl/>
        <w:numPr>
          <w:ilvl w:val="0"/>
          <w:numId w:val="32"/>
        </w:numPr>
        <w:adjustRightInd w:val="0"/>
        <w:snapToGrid w:val="0"/>
        <w:spacing w:line="360" w:lineRule="auto"/>
        <w:ind w:left="426" w:firstLineChars="0"/>
        <w:jc w:val="left"/>
        <w:rPr>
          <w:rFonts w:hint="eastAsia" w:ascii="宋体" w:hAnsi="宋体" w:eastAsia="宋体"/>
          <w:szCs w:val="21"/>
        </w:rPr>
      </w:pPr>
      <w:r>
        <w:rPr>
          <w:rFonts w:hint="eastAsia" w:ascii="宋体" w:hAnsi="宋体" w:eastAsia="宋体"/>
          <w:szCs w:val="21"/>
        </w:rPr>
        <w:t>硅PU场地面层整体</w:t>
      </w:r>
      <w:r>
        <w:rPr>
          <w:rFonts w:hint="eastAsia" w:ascii="宋体" w:hAnsi="宋体" w:eastAsia="宋体" w:cs="宋体"/>
          <w:sz w:val="22"/>
        </w:rPr>
        <w:t>外观无裂纹、分层、龟裂、鳄鱼皮裂和玻璃裂纹等现象，标志线应清晰、不反光，无明显虚边、与面层粘合牢固；</w:t>
      </w:r>
    </w:p>
    <w:p w14:paraId="6A5F9DF5">
      <w:pPr>
        <w:pStyle w:val="6"/>
        <w:widowControl/>
        <w:numPr>
          <w:ilvl w:val="0"/>
          <w:numId w:val="32"/>
        </w:numPr>
        <w:adjustRightInd w:val="0"/>
        <w:snapToGrid w:val="0"/>
        <w:spacing w:line="360" w:lineRule="auto"/>
        <w:ind w:left="426" w:firstLineChars="0"/>
        <w:jc w:val="left"/>
        <w:rPr>
          <w:rFonts w:hint="eastAsia" w:ascii="宋体" w:hAnsi="宋体" w:eastAsia="宋体"/>
          <w:szCs w:val="21"/>
        </w:rPr>
      </w:pPr>
      <w:r>
        <w:rPr>
          <w:rFonts w:hint="eastAsia" w:ascii="宋体" w:hAnsi="宋体" w:eastAsia="宋体"/>
          <w:szCs w:val="21"/>
        </w:rPr>
        <w:t>硅PU球场符合 GB36246-2018《中小学合成材料面层运动场地》成品中有害物质限量的要求；</w:t>
      </w:r>
    </w:p>
    <w:tbl>
      <w:tblPr>
        <w:tblStyle w:val="3"/>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5945"/>
        <w:gridCol w:w="1259"/>
      </w:tblGrid>
      <w:tr w14:paraId="6092B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6861" w:type="dxa"/>
            <w:gridSpan w:val="2"/>
            <w:noWrap w:val="0"/>
            <w:vAlign w:val="center"/>
          </w:tcPr>
          <w:p w14:paraId="4DC93F36">
            <w:pPr>
              <w:snapToGrid w:val="0"/>
              <w:jc w:val="center"/>
              <w:rPr>
                <w:rFonts w:hint="eastAsia" w:ascii="宋体" w:hAnsi="宋体" w:eastAsia="宋体"/>
              </w:rPr>
            </w:pPr>
            <w:r>
              <w:rPr>
                <w:rFonts w:ascii="宋体" w:hAnsi="宋体" w:eastAsia="宋体"/>
              </w:rPr>
              <w:t>检测项目</w:t>
            </w:r>
          </w:p>
        </w:tc>
        <w:tc>
          <w:tcPr>
            <w:tcW w:w="1259" w:type="dxa"/>
            <w:noWrap w:val="0"/>
            <w:vAlign w:val="center"/>
          </w:tcPr>
          <w:p w14:paraId="498C4544">
            <w:pPr>
              <w:pStyle w:val="9"/>
              <w:snapToGrid w:val="0"/>
              <w:spacing w:before="152"/>
              <w:ind w:left="212"/>
              <w:jc w:val="center"/>
              <w:rPr>
                <w:rFonts w:hint="eastAsia"/>
              </w:rPr>
            </w:pPr>
            <w:r>
              <w:t>技术要求</w:t>
            </w:r>
          </w:p>
        </w:tc>
      </w:tr>
      <w:tr w14:paraId="4005F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Merge w:val="restart"/>
            <w:noWrap w:val="0"/>
            <w:vAlign w:val="center"/>
          </w:tcPr>
          <w:p w14:paraId="230C8244">
            <w:pPr>
              <w:pStyle w:val="9"/>
              <w:snapToGrid w:val="0"/>
              <w:spacing w:before="163"/>
              <w:ind w:left="107" w:right="93"/>
              <w:jc w:val="center"/>
              <w:rPr>
                <w:rFonts w:hint="eastAsia"/>
              </w:rPr>
            </w:pPr>
            <w:r>
              <w:t>有害物质含量</w:t>
            </w:r>
          </w:p>
        </w:tc>
        <w:tc>
          <w:tcPr>
            <w:tcW w:w="5945" w:type="dxa"/>
            <w:noWrap w:val="0"/>
            <w:vAlign w:val="top"/>
          </w:tcPr>
          <w:p w14:paraId="332DE692">
            <w:pPr>
              <w:pStyle w:val="9"/>
              <w:snapToGrid w:val="0"/>
              <w:spacing w:before="142"/>
              <w:ind w:left="107"/>
              <w:rPr>
                <w:rFonts w:hint="eastAsia"/>
              </w:rPr>
            </w:pPr>
            <w:r>
              <w:t xml:space="preserve">3 种邻苯二甲酸酯类化合物（DBP、BBP、DEHP）总和 </w:t>
            </w:r>
            <w:r>
              <w:rPr>
                <w:position w:val="11"/>
                <w:sz w:val="11"/>
              </w:rPr>
              <w:t>a</w:t>
            </w:r>
            <w:r>
              <w:t>/（g/kg）</w:t>
            </w:r>
          </w:p>
        </w:tc>
        <w:tc>
          <w:tcPr>
            <w:tcW w:w="1259" w:type="dxa"/>
            <w:noWrap w:val="0"/>
            <w:vAlign w:val="center"/>
          </w:tcPr>
          <w:p w14:paraId="36F0775F">
            <w:pPr>
              <w:pStyle w:val="9"/>
              <w:snapToGrid w:val="0"/>
              <w:spacing w:before="152"/>
              <w:ind w:left="107"/>
              <w:jc w:val="center"/>
              <w:rPr>
                <w:rFonts w:hint="eastAsia"/>
              </w:rPr>
            </w:pPr>
            <w:r>
              <w:t>≤1.0</w:t>
            </w:r>
          </w:p>
        </w:tc>
      </w:tr>
      <w:tr w14:paraId="55F7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16" w:type="dxa"/>
            <w:vMerge w:val="continue"/>
            <w:tcBorders>
              <w:top w:val="nil"/>
            </w:tcBorders>
            <w:noWrap w:val="0"/>
            <w:vAlign w:val="top"/>
          </w:tcPr>
          <w:p w14:paraId="3A549A60">
            <w:pPr>
              <w:snapToGrid w:val="0"/>
              <w:rPr>
                <w:rFonts w:hint="eastAsia" w:ascii="宋体" w:hAnsi="宋体" w:eastAsia="宋体"/>
                <w:sz w:val="2"/>
                <w:szCs w:val="2"/>
              </w:rPr>
            </w:pPr>
          </w:p>
        </w:tc>
        <w:tc>
          <w:tcPr>
            <w:tcW w:w="5945" w:type="dxa"/>
            <w:noWrap w:val="0"/>
            <w:vAlign w:val="top"/>
          </w:tcPr>
          <w:p w14:paraId="055C49E0">
            <w:pPr>
              <w:pStyle w:val="9"/>
              <w:snapToGrid w:val="0"/>
              <w:spacing w:before="142"/>
              <w:ind w:left="107"/>
              <w:rPr>
                <w:rFonts w:hint="eastAsia"/>
              </w:rPr>
            </w:pPr>
            <w:r>
              <w:t xml:space="preserve">3 种邻苯二甲酸酯类化合物（DNOP、DINP、DIDP）总和 </w:t>
            </w:r>
            <w:r>
              <w:rPr>
                <w:position w:val="11"/>
                <w:sz w:val="11"/>
              </w:rPr>
              <w:t>a</w:t>
            </w:r>
            <w:r>
              <w:t>/（g/kg）</w:t>
            </w:r>
          </w:p>
        </w:tc>
        <w:tc>
          <w:tcPr>
            <w:tcW w:w="1259" w:type="dxa"/>
            <w:noWrap w:val="0"/>
            <w:vAlign w:val="center"/>
          </w:tcPr>
          <w:p w14:paraId="6962D1E8">
            <w:pPr>
              <w:pStyle w:val="9"/>
              <w:snapToGrid w:val="0"/>
              <w:spacing w:before="152"/>
              <w:ind w:left="107"/>
              <w:jc w:val="center"/>
              <w:rPr>
                <w:rFonts w:hint="eastAsia"/>
              </w:rPr>
            </w:pPr>
            <w:r>
              <w:t>≤1.0</w:t>
            </w:r>
          </w:p>
        </w:tc>
      </w:tr>
      <w:tr w14:paraId="1E7C4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16" w:type="dxa"/>
            <w:vMerge w:val="continue"/>
            <w:tcBorders>
              <w:top w:val="nil"/>
            </w:tcBorders>
            <w:noWrap w:val="0"/>
            <w:vAlign w:val="top"/>
          </w:tcPr>
          <w:p w14:paraId="5E4A38CD">
            <w:pPr>
              <w:snapToGrid w:val="0"/>
              <w:rPr>
                <w:rFonts w:hint="eastAsia" w:ascii="宋体" w:hAnsi="宋体" w:eastAsia="宋体"/>
                <w:sz w:val="2"/>
                <w:szCs w:val="2"/>
              </w:rPr>
            </w:pPr>
          </w:p>
        </w:tc>
        <w:tc>
          <w:tcPr>
            <w:tcW w:w="5945" w:type="dxa"/>
            <w:noWrap w:val="0"/>
            <w:vAlign w:val="top"/>
          </w:tcPr>
          <w:p w14:paraId="49F687BD">
            <w:pPr>
              <w:pStyle w:val="9"/>
              <w:snapToGrid w:val="0"/>
              <w:spacing w:before="148"/>
              <w:rPr>
                <w:rFonts w:hint="eastAsia"/>
              </w:rPr>
            </w:pPr>
            <w:r>
              <w:t>18 种多环芳烃总和 /（mg/kg）</w:t>
            </w:r>
          </w:p>
        </w:tc>
        <w:tc>
          <w:tcPr>
            <w:tcW w:w="1259" w:type="dxa"/>
            <w:noWrap w:val="0"/>
            <w:vAlign w:val="center"/>
          </w:tcPr>
          <w:p w14:paraId="1858DB13">
            <w:pPr>
              <w:pStyle w:val="9"/>
              <w:snapToGrid w:val="0"/>
              <w:spacing w:before="152"/>
              <w:ind w:left="107"/>
              <w:jc w:val="center"/>
              <w:rPr>
                <w:rFonts w:hint="eastAsia"/>
              </w:rPr>
            </w:pPr>
            <w:r>
              <w:t>≤50</w:t>
            </w:r>
          </w:p>
        </w:tc>
      </w:tr>
      <w:tr w14:paraId="327D4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16" w:type="dxa"/>
            <w:vMerge w:val="continue"/>
            <w:tcBorders>
              <w:top w:val="nil"/>
            </w:tcBorders>
            <w:noWrap w:val="0"/>
            <w:vAlign w:val="top"/>
          </w:tcPr>
          <w:p w14:paraId="31CEF418">
            <w:pPr>
              <w:snapToGrid w:val="0"/>
              <w:rPr>
                <w:rFonts w:hint="eastAsia" w:ascii="宋体" w:hAnsi="宋体" w:eastAsia="宋体"/>
                <w:sz w:val="2"/>
                <w:szCs w:val="2"/>
              </w:rPr>
            </w:pPr>
          </w:p>
        </w:tc>
        <w:tc>
          <w:tcPr>
            <w:tcW w:w="5945" w:type="dxa"/>
            <w:tcBorders>
              <w:bottom w:val="single" w:color="000000" w:sz="6" w:space="0"/>
            </w:tcBorders>
            <w:noWrap w:val="0"/>
            <w:vAlign w:val="top"/>
          </w:tcPr>
          <w:p w14:paraId="10D907E0">
            <w:pPr>
              <w:pStyle w:val="9"/>
              <w:snapToGrid w:val="0"/>
              <w:spacing w:before="152"/>
              <w:ind w:left="107"/>
              <w:rPr>
                <w:rFonts w:hint="eastAsia"/>
                <w:lang w:val="en-US"/>
              </w:rPr>
            </w:pPr>
            <w:r>
              <w:t>苯并</w:t>
            </w:r>
            <w:r>
              <w:rPr>
                <w:lang w:val="en-US"/>
              </w:rPr>
              <w:t>[a]</w:t>
            </w:r>
            <w:r>
              <w:t>芘</w:t>
            </w:r>
            <w:r>
              <w:rPr>
                <w:lang w:val="en-US"/>
              </w:rPr>
              <w:t>/（mg/kg）</w:t>
            </w:r>
          </w:p>
        </w:tc>
        <w:tc>
          <w:tcPr>
            <w:tcW w:w="1259" w:type="dxa"/>
            <w:tcBorders>
              <w:bottom w:val="single" w:color="000000" w:sz="6" w:space="0"/>
            </w:tcBorders>
            <w:noWrap w:val="0"/>
            <w:vAlign w:val="center"/>
          </w:tcPr>
          <w:p w14:paraId="7410D3CD">
            <w:pPr>
              <w:pStyle w:val="9"/>
              <w:snapToGrid w:val="0"/>
              <w:spacing w:before="152"/>
              <w:ind w:left="107"/>
              <w:jc w:val="center"/>
              <w:rPr>
                <w:rFonts w:hint="eastAsia"/>
              </w:rPr>
            </w:pPr>
            <w:r>
              <w:t>≤1.0</w:t>
            </w:r>
          </w:p>
        </w:tc>
      </w:tr>
      <w:tr w14:paraId="23ABE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16" w:type="dxa"/>
            <w:vMerge w:val="continue"/>
            <w:tcBorders>
              <w:top w:val="nil"/>
            </w:tcBorders>
            <w:noWrap w:val="0"/>
            <w:vAlign w:val="top"/>
          </w:tcPr>
          <w:p w14:paraId="56B2E1FB">
            <w:pPr>
              <w:snapToGrid w:val="0"/>
              <w:rPr>
                <w:rFonts w:hint="eastAsia" w:ascii="宋体" w:hAnsi="宋体" w:eastAsia="宋体"/>
                <w:sz w:val="2"/>
                <w:szCs w:val="2"/>
              </w:rPr>
            </w:pPr>
          </w:p>
        </w:tc>
        <w:tc>
          <w:tcPr>
            <w:tcW w:w="5945" w:type="dxa"/>
            <w:tcBorders>
              <w:top w:val="single" w:color="000000" w:sz="6" w:space="0"/>
            </w:tcBorders>
            <w:noWrap w:val="0"/>
            <w:vAlign w:val="top"/>
          </w:tcPr>
          <w:p w14:paraId="6FBE6429">
            <w:pPr>
              <w:pStyle w:val="9"/>
              <w:snapToGrid w:val="0"/>
              <w:spacing w:before="149"/>
              <w:ind w:left="107"/>
              <w:rPr>
                <w:rFonts w:hint="eastAsia"/>
              </w:rPr>
            </w:pPr>
            <w:r>
              <w:rPr>
                <w:position w:val="1"/>
              </w:rPr>
              <w:t>短链氯化石腊（C</w:t>
            </w:r>
            <w:r>
              <w:rPr>
                <w:sz w:val="11"/>
              </w:rPr>
              <w:t>10</w:t>
            </w:r>
            <w:r>
              <w:rPr>
                <w:position w:val="1"/>
              </w:rPr>
              <w:t>-C</w:t>
            </w:r>
            <w:r>
              <w:rPr>
                <w:sz w:val="11"/>
              </w:rPr>
              <w:t>13</w:t>
            </w:r>
            <w:r>
              <w:rPr>
                <w:position w:val="1"/>
              </w:rPr>
              <w:t>）/（g/kg）</w:t>
            </w:r>
          </w:p>
        </w:tc>
        <w:tc>
          <w:tcPr>
            <w:tcW w:w="1259" w:type="dxa"/>
            <w:tcBorders>
              <w:top w:val="single" w:color="000000" w:sz="6" w:space="0"/>
            </w:tcBorders>
            <w:noWrap w:val="0"/>
            <w:vAlign w:val="center"/>
          </w:tcPr>
          <w:p w14:paraId="7D548381">
            <w:pPr>
              <w:pStyle w:val="9"/>
              <w:snapToGrid w:val="0"/>
              <w:spacing w:before="150"/>
              <w:ind w:left="107"/>
              <w:jc w:val="center"/>
              <w:rPr>
                <w:rFonts w:hint="eastAsia"/>
              </w:rPr>
            </w:pPr>
            <w:r>
              <w:t>≤1.5</w:t>
            </w:r>
          </w:p>
        </w:tc>
      </w:tr>
      <w:tr w14:paraId="11EC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16" w:type="dxa"/>
            <w:vMerge w:val="continue"/>
            <w:tcBorders>
              <w:top w:val="nil"/>
            </w:tcBorders>
            <w:noWrap w:val="0"/>
            <w:vAlign w:val="top"/>
          </w:tcPr>
          <w:p w14:paraId="5825AA40">
            <w:pPr>
              <w:snapToGrid w:val="0"/>
              <w:rPr>
                <w:rFonts w:hint="eastAsia" w:ascii="宋体" w:hAnsi="宋体" w:eastAsia="宋体"/>
                <w:sz w:val="2"/>
                <w:szCs w:val="2"/>
              </w:rPr>
            </w:pPr>
          </w:p>
        </w:tc>
        <w:tc>
          <w:tcPr>
            <w:tcW w:w="5945" w:type="dxa"/>
            <w:noWrap w:val="0"/>
            <w:vAlign w:val="top"/>
          </w:tcPr>
          <w:p w14:paraId="32D3E167">
            <w:pPr>
              <w:pStyle w:val="9"/>
              <w:snapToGrid w:val="0"/>
              <w:spacing w:before="142"/>
              <w:ind w:left="107"/>
              <w:rPr>
                <w:rFonts w:hint="eastAsia"/>
                <w:lang w:val="en-US"/>
              </w:rPr>
            </w:pPr>
            <w:r>
              <w:rPr>
                <w:lang w:val="en-US"/>
              </w:rPr>
              <w:t>4,4</w:t>
            </w:r>
            <w:r>
              <w:rPr>
                <w:position w:val="11"/>
                <w:sz w:val="11"/>
                <w:lang w:val="en-US"/>
              </w:rPr>
              <w:t>,</w:t>
            </w:r>
            <w:r>
              <w:rPr>
                <w:lang w:val="en-US"/>
              </w:rPr>
              <w:t>-</w:t>
            </w:r>
            <w:r>
              <w:t>二氨基</w:t>
            </w:r>
            <w:r>
              <w:rPr>
                <w:lang w:val="en-US"/>
              </w:rPr>
              <w:t>-3,3</w:t>
            </w:r>
            <w:r>
              <w:rPr>
                <w:position w:val="11"/>
                <w:sz w:val="11"/>
                <w:lang w:val="en-US"/>
              </w:rPr>
              <w:t>,</w:t>
            </w:r>
            <w:r>
              <w:rPr>
                <w:lang w:val="en-US"/>
              </w:rPr>
              <w:t>-</w:t>
            </w:r>
            <w:r>
              <w:t>二氯二苯甲烷</w:t>
            </w:r>
            <w:r>
              <w:rPr>
                <w:lang w:val="en-US"/>
              </w:rPr>
              <w:t>（MOCA）/（g/kg）</w:t>
            </w:r>
          </w:p>
        </w:tc>
        <w:tc>
          <w:tcPr>
            <w:tcW w:w="1259" w:type="dxa"/>
            <w:noWrap w:val="0"/>
            <w:vAlign w:val="center"/>
          </w:tcPr>
          <w:p w14:paraId="4039D2E2">
            <w:pPr>
              <w:pStyle w:val="9"/>
              <w:snapToGrid w:val="0"/>
              <w:spacing w:before="152"/>
              <w:ind w:left="107"/>
              <w:jc w:val="center"/>
              <w:rPr>
                <w:rFonts w:hint="eastAsia"/>
              </w:rPr>
            </w:pPr>
            <w:r>
              <w:t>≤1.0</w:t>
            </w:r>
          </w:p>
        </w:tc>
      </w:tr>
      <w:tr w14:paraId="62C1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916" w:type="dxa"/>
            <w:vMerge w:val="continue"/>
            <w:tcBorders>
              <w:top w:val="nil"/>
            </w:tcBorders>
            <w:noWrap w:val="0"/>
            <w:vAlign w:val="top"/>
          </w:tcPr>
          <w:p w14:paraId="659FCF4A">
            <w:pPr>
              <w:snapToGrid w:val="0"/>
              <w:rPr>
                <w:rFonts w:hint="eastAsia" w:ascii="宋体" w:hAnsi="宋体" w:eastAsia="宋体"/>
                <w:sz w:val="2"/>
                <w:szCs w:val="2"/>
              </w:rPr>
            </w:pPr>
          </w:p>
        </w:tc>
        <w:tc>
          <w:tcPr>
            <w:tcW w:w="5945" w:type="dxa"/>
            <w:noWrap w:val="0"/>
            <w:vAlign w:val="top"/>
          </w:tcPr>
          <w:p w14:paraId="420D1980">
            <w:pPr>
              <w:pStyle w:val="9"/>
              <w:snapToGrid w:val="0"/>
              <w:spacing w:before="22"/>
              <w:ind w:left="107"/>
              <w:rPr>
                <w:rFonts w:hint="eastAsia"/>
                <w:lang w:val="en-US"/>
              </w:rPr>
            </w:pPr>
            <w:r>
              <w:t>游离甲苯二异氰酸酯</w:t>
            </w:r>
            <w:r>
              <w:rPr>
                <w:lang w:val="en-US"/>
              </w:rPr>
              <w:t>（TDI）</w:t>
            </w:r>
            <w:r>
              <w:t>和游离六亚甲基二异氰酸酯</w:t>
            </w:r>
            <w:r>
              <w:rPr>
                <w:lang w:val="en-US"/>
              </w:rPr>
              <w:t>（HDI）</w:t>
            </w:r>
            <w:r>
              <w:t>总和</w:t>
            </w:r>
            <w:r>
              <w:rPr>
                <w:lang w:val="en-US"/>
              </w:rPr>
              <w:t>/（g/kg）</w:t>
            </w:r>
          </w:p>
        </w:tc>
        <w:tc>
          <w:tcPr>
            <w:tcW w:w="1259" w:type="dxa"/>
            <w:noWrap w:val="0"/>
            <w:vAlign w:val="center"/>
          </w:tcPr>
          <w:p w14:paraId="38CFC110">
            <w:pPr>
              <w:pStyle w:val="9"/>
              <w:snapToGrid w:val="0"/>
              <w:spacing w:before="152"/>
              <w:ind w:left="107"/>
              <w:jc w:val="center"/>
              <w:rPr>
                <w:rFonts w:hint="eastAsia"/>
              </w:rPr>
            </w:pPr>
            <w:r>
              <w:t>≤0.2</w:t>
            </w:r>
          </w:p>
        </w:tc>
      </w:tr>
      <w:tr w14:paraId="3C9E4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Merge w:val="continue"/>
            <w:tcBorders>
              <w:top w:val="nil"/>
            </w:tcBorders>
            <w:noWrap w:val="0"/>
            <w:vAlign w:val="top"/>
          </w:tcPr>
          <w:p w14:paraId="51B0F465">
            <w:pPr>
              <w:snapToGrid w:val="0"/>
              <w:rPr>
                <w:rFonts w:hint="eastAsia" w:ascii="宋体" w:hAnsi="宋体" w:eastAsia="宋体"/>
                <w:sz w:val="2"/>
                <w:szCs w:val="2"/>
              </w:rPr>
            </w:pPr>
          </w:p>
        </w:tc>
        <w:tc>
          <w:tcPr>
            <w:tcW w:w="5945" w:type="dxa"/>
            <w:noWrap w:val="0"/>
            <w:vAlign w:val="top"/>
          </w:tcPr>
          <w:p w14:paraId="58610C77">
            <w:pPr>
              <w:pStyle w:val="9"/>
              <w:snapToGrid w:val="0"/>
              <w:spacing w:before="154"/>
              <w:ind w:left="107"/>
              <w:rPr>
                <w:rFonts w:hint="eastAsia"/>
                <w:lang w:val="en-US"/>
              </w:rPr>
            </w:pPr>
            <w:r>
              <w:t>游离二苯基甲烷二异氰酸酯</w:t>
            </w:r>
            <w:r>
              <w:rPr>
                <w:lang w:val="en-US"/>
              </w:rPr>
              <w:t>（MDI）/（g/kg）</w:t>
            </w:r>
          </w:p>
        </w:tc>
        <w:tc>
          <w:tcPr>
            <w:tcW w:w="1259" w:type="dxa"/>
            <w:noWrap w:val="0"/>
            <w:vAlign w:val="center"/>
          </w:tcPr>
          <w:p w14:paraId="1A6BC12C">
            <w:pPr>
              <w:pStyle w:val="9"/>
              <w:snapToGrid w:val="0"/>
              <w:spacing w:before="154"/>
              <w:ind w:left="107"/>
              <w:jc w:val="center"/>
              <w:rPr>
                <w:rFonts w:hint="eastAsia"/>
              </w:rPr>
            </w:pPr>
            <w:r>
              <w:t>≤1.0</w:t>
            </w:r>
          </w:p>
        </w:tc>
      </w:tr>
      <w:tr w14:paraId="4CA5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16" w:type="dxa"/>
            <w:vMerge w:val="continue"/>
            <w:tcBorders>
              <w:top w:val="nil"/>
            </w:tcBorders>
            <w:noWrap w:val="0"/>
            <w:vAlign w:val="top"/>
          </w:tcPr>
          <w:p w14:paraId="66A8FE35">
            <w:pPr>
              <w:snapToGrid w:val="0"/>
              <w:rPr>
                <w:rFonts w:hint="eastAsia" w:ascii="宋体" w:hAnsi="宋体" w:eastAsia="宋体"/>
                <w:sz w:val="2"/>
                <w:szCs w:val="2"/>
              </w:rPr>
            </w:pPr>
          </w:p>
        </w:tc>
        <w:tc>
          <w:tcPr>
            <w:tcW w:w="5945" w:type="dxa"/>
            <w:noWrap w:val="0"/>
            <w:vAlign w:val="top"/>
          </w:tcPr>
          <w:p w14:paraId="5D2F81B3">
            <w:pPr>
              <w:pStyle w:val="9"/>
              <w:snapToGrid w:val="0"/>
              <w:spacing w:before="152"/>
              <w:ind w:left="107"/>
              <w:rPr>
                <w:rFonts w:hint="eastAsia"/>
              </w:rPr>
            </w:pPr>
            <w:r>
              <w:t>可溶性铅/（mg/kg）</w:t>
            </w:r>
          </w:p>
        </w:tc>
        <w:tc>
          <w:tcPr>
            <w:tcW w:w="1259" w:type="dxa"/>
            <w:noWrap w:val="0"/>
            <w:vAlign w:val="center"/>
          </w:tcPr>
          <w:p w14:paraId="5474F32E">
            <w:pPr>
              <w:pStyle w:val="9"/>
              <w:snapToGrid w:val="0"/>
              <w:spacing w:before="152"/>
              <w:ind w:left="107"/>
              <w:jc w:val="center"/>
              <w:rPr>
                <w:rFonts w:hint="eastAsia"/>
              </w:rPr>
            </w:pPr>
            <w:r>
              <w:t>≤50</w:t>
            </w:r>
          </w:p>
        </w:tc>
      </w:tr>
      <w:tr w14:paraId="5A839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Merge w:val="continue"/>
            <w:tcBorders>
              <w:top w:val="nil"/>
            </w:tcBorders>
            <w:noWrap w:val="0"/>
            <w:vAlign w:val="top"/>
          </w:tcPr>
          <w:p w14:paraId="3D0BC476">
            <w:pPr>
              <w:snapToGrid w:val="0"/>
              <w:rPr>
                <w:rFonts w:hint="eastAsia" w:ascii="宋体" w:hAnsi="宋体" w:eastAsia="宋体"/>
                <w:sz w:val="2"/>
                <w:szCs w:val="2"/>
              </w:rPr>
            </w:pPr>
          </w:p>
        </w:tc>
        <w:tc>
          <w:tcPr>
            <w:tcW w:w="5945" w:type="dxa"/>
            <w:noWrap w:val="0"/>
            <w:vAlign w:val="top"/>
          </w:tcPr>
          <w:p w14:paraId="37BF7E78">
            <w:pPr>
              <w:pStyle w:val="9"/>
              <w:snapToGrid w:val="0"/>
              <w:spacing w:before="152"/>
              <w:ind w:left="107"/>
              <w:rPr>
                <w:rFonts w:hint="eastAsia"/>
              </w:rPr>
            </w:pPr>
            <w:r>
              <w:t>可溶性镉/（mg/kg）</w:t>
            </w:r>
          </w:p>
        </w:tc>
        <w:tc>
          <w:tcPr>
            <w:tcW w:w="1259" w:type="dxa"/>
            <w:noWrap w:val="0"/>
            <w:vAlign w:val="center"/>
          </w:tcPr>
          <w:p w14:paraId="30865D68">
            <w:pPr>
              <w:pStyle w:val="9"/>
              <w:snapToGrid w:val="0"/>
              <w:spacing w:before="152"/>
              <w:ind w:left="107"/>
              <w:jc w:val="center"/>
              <w:rPr>
                <w:rFonts w:hint="eastAsia"/>
              </w:rPr>
            </w:pPr>
            <w:r>
              <w:t>≤10</w:t>
            </w:r>
          </w:p>
        </w:tc>
      </w:tr>
      <w:tr w14:paraId="5F33A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16" w:type="dxa"/>
            <w:vMerge w:val="continue"/>
            <w:tcBorders>
              <w:top w:val="nil"/>
            </w:tcBorders>
            <w:noWrap w:val="0"/>
            <w:vAlign w:val="top"/>
          </w:tcPr>
          <w:p w14:paraId="79EEDA4C">
            <w:pPr>
              <w:snapToGrid w:val="0"/>
              <w:rPr>
                <w:rFonts w:hint="eastAsia" w:ascii="宋体" w:hAnsi="宋体" w:eastAsia="宋体"/>
                <w:sz w:val="2"/>
                <w:szCs w:val="2"/>
              </w:rPr>
            </w:pPr>
          </w:p>
        </w:tc>
        <w:tc>
          <w:tcPr>
            <w:tcW w:w="5945" w:type="dxa"/>
            <w:noWrap w:val="0"/>
            <w:vAlign w:val="top"/>
          </w:tcPr>
          <w:p w14:paraId="6012791F">
            <w:pPr>
              <w:pStyle w:val="9"/>
              <w:snapToGrid w:val="0"/>
              <w:spacing w:before="152"/>
              <w:ind w:left="107"/>
              <w:rPr>
                <w:rFonts w:hint="eastAsia"/>
              </w:rPr>
            </w:pPr>
            <w:r>
              <w:t>可溶性铬/（mg/kg）</w:t>
            </w:r>
          </w:p>
        </w:tc>
        <w:tc>
          <w:tcPr>
            <w:tcW w:w="1259" w:type="dxa"/>
            <w:noWrap w:val="0"/>
            <w:vAlign w:val="center"/>
          </w:tcPr>
          <w:p w14:paraId="1BB8075C">
            <w:pPr>
              <w:pStyle w:val="9"/>
              <w:snapToGrid w:val="0"/>
              <w:spacing w:before="152"/>
              <w:ind w:left="107"/>
              <w:jc w:val="center"/>
              <w:rPr>
                <w:rFonts w:hint="eastAsia"/>
              </w:rPr>
            </w:pPr>
            <w:r>
              <w:t>≤10</w:t>
            </w:r>
          </w:p>
        </w:tc>
      </w:tr>
      <w:tr w14:paraId="066E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Merge w:val="continue"/>
            <w:tcBorders>
              <w:top w:val="nil"/>
            </w:tcBorders>
            <w:noWrap w:val="0"/>
            <w:vAlign w:val="top"/>
          </w:tcPr>
          <w:p w14:paraId="77826AE3">
            <w:pPr>
              <w:snapToGrid w:val="0"/>
              <w:rPr>
                <w:rFonts w:hint="eastAsia" w:ascii="宋体" w:hAnsi="宋体" w:eastAsia="宋体"/>
                <w:sz w:val="2"/>
                <w:szCs w:val="2"/>
              </w:rPr>
            </w:pPr>
          </w:p>
        </w:tc>
        <w:tc>
          <w:tcPr>
            <w:tcW w:w="5945" w:type="dxa"/>
            <w:noWrap w:val="0"/>
            <w:vAlign w:val="top"/>
          </w:tcPr>
          <w:p w14:paraId="59FF248C">
            <w:pPr>
              <w:pStyle w:val="9"/>
              <w:snapToGrid w:val="0"/>
              <w:spacing w:before="152"/>
              <w:ind w:left="107"/>
              <w:rPr>
                <w:rFonts w:hint="eastAsia"/>
                <w:lang w:val="en-US"/>
              </w:rPr>
            </w:pPr>
            <w:r>
              <w:t>可溶性汞</w:t>
            </w:r>
            <w:r>
              <w:rPr>
                <w:lang w:val="en-US"/>
              </w:rPr>
              <w:t>/（mg/kg）</w:t>
            </w:r>
          </w:p>
        </w:tc>
        <w:tc>
          <w:tcPr>
            <w:tcW w:w="1259" w:type="dxa"/>
            <w:noWrap w:val="0"/>
            <w:vAlign w:val="center"/>
          </w:tcPr>
          <w:p w14:paraId="5F45C205">
            <w:pPr>
              <w:pStyle w:val="9"/>
              <w:snapToGrid w:val="0"/>
              <w:spacing w:before="152"/>
              <w:ind w:left="107"/>
              <w:jc w:val="center"/>
              <w:rPr>
                <w:rFonts w:hint="eastAsia"/>
              </w:rPr>
            </w:pPr>
            <w:r>
              <w:t>≤2</w:t>
            </w:r>
          </w:p>
        </w:tc>
      </w:tr>
    </w:tbl>
    <w:p w14:paraId="5335E336">
      <w:pPr>
        <w:pStyle w:val="6"/>
        <w:widowControl/>
        <w:numPr>
          <w:ilvl w:val="0"/>
          <w:numId w:val="32"/>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eastAsia="宋体" w:cs="宋体"/>
          <w:szCs w:val="21"/>
        </w:rPr>
        <w:t>硅PU球场物理性能符合 GB36246-2018《中小学合成材料面层运动场地》的要求：</w:t>
      </w:r>
    </w:p>
    <w:tbl>
      <w:tblPr>
        <w:tblStyle w:val="3"/>
        <w:tblW w:w="8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4985"/>
        <w:gridCol w:w="2431"/>
      </w:tblGrid>
      <w:tr w14:paraId="3DD8E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5833" w:type="dxa"/>
            <w:gridSpan w:val="2"/>
            <w:noWrap w:val="0"/>
            <w:vAlign w:val="center"/>
          </w:tcPr>
          <w:p w14:paraId="7AFF2C03">
            <w:pPr>
              <w:snapToGrid w:val="0"/>
              <w:ind w:firstLine="420" w:firstLineChars="200"/>
              <w:jc w:val="center"/>
              <w:rPr>
                <w:rFonts w:hint="eastAsia" w:ascii="宋体" w:hAnsi="宋体" w:eastAsia="宋体" w:cs="宋体"/>
                <w:szCs w:val="21"/>
              </w:rPr>
            </w:pPr>
            <w:r>
              <w:rPr>
                <w:rFonts w:hint="eastAsia" w:ascii="宋体" w:hAnsi="宋体" w:eastAsia="宋体" w:cs="宋体"/>
                <w:szCs w:val="21"/>
              </w:rPr>
              <w:t>检测项目</w:t>
            </w:r>
          </w:p>
        </w:tc>
        <w:tc>
          <w:tcPr>
            <w:tcW w:w="2431" w:type="dxa"/>
            <w:noWrap w:val="0"/>
            <w:vAlign w:val="center"/>
          </w:tcPr>
          <w:p w14:paraId="0B0F0D15">
            <w:pPr>
              <w:snapToGrid w:val="0"/>
              <w:ind w:firstLine="420" w:firstLineChars="200"/>
              <w:jc w:val="center"/>
              <w:rPr>
                <w:rFonts w:hint="eastAsia" w:ascii="宋体" w:hAnsi="宋体" w:eastAsia="宋体" w:cs="宋体"/>
                <w:szCs w:val="21"/>
              </w:rPr>
            </w:pPr>
            <w:r>
              <w:rPr>
                <w:rFonts w:hint="eastAsia" w:ascii="宋体" w:hAnsi="宋体" w:eastAsia="宋体" w:cs="宋体"/>
                <w:szCs w:val="21"/>
              </w:rPr>
              <w:t>技术要求</w:t>
            </w:r>
          </w:p>
        </w:tc>
      </w:tr>
      <w:tr w14:paraId="63941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jc w:val="center"/>
        </w:trPr>
        <w:tc>
          <w:tcPr>
            <w:tcW w:w="848" w:type="dxa"/>
            <w:vMerge w:val="restart"/>
            <w:noWrap w:val="0"/>
            <w:vAlign w:val="center"/>
          </w:tcPr>
          <w:p w14:paraId="10800ECB">
            <w:pPr>
              <w:snapToGrid w:val="0"/>
              <w:jc w:val="center"/>
              <w:rPr>
                <w:rFonts w:hint="eastAsia" w:ascii="宋体" w:hAnsi="宋体" w:eastAsia="宋体" w:cs="宋体"/>
                <w:szCs w:val="21"/>
                <w:lang w:val="zh-CN" w:bidi="zh-CN"/>
              </w:rPr>
            </w:pPr>
            <w:r>
              <w:rPr>
                <w:rFonts w:hint="eastAsia" w:ascii="宋体" w:hAnsi="宋体" w:eastAsia="宋体" w:cs="宋体"/>
                <w:szCs w:val="21"/>
                <w:lang w:val="zh-CN" w:bidi="zh-CN"/>
              </w:rPr>
              <w:t>现浇型物理机械性能</w:t>
            </w:r>
          </w:p>
        </w:tc>
        <w:tc>
          <w:tcPr>
            <w:tcW w:w="4985" w:type="dxa"/>
            <w:noWrap w:val="0"/>
            <w:vAlign w:val="center"/>
          </w:tcPr>
          <w:p w14:paraId="02CCC0CD">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冲击吸收/（%）</w:t>
            </w:r>
          </w:p>
        </w:tc>
        <w:tc>
          <w:tcPr>
            <w:tcW w:w="2431" w:type="dxa"/>
            <w:noWrap w:val="0"/>
            <w:vAlign w:val="center"/>
          </w:tcPr>
          <w:p w14:paraId="6EC654D7">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bidi="zh-CN"/>
              </w:rPr>
              <w:t>20</w:t>
            </w:r>
            <w:r>
              <w:rPr>
                <w:rFonts w:hint="eastAsia" w:ascii="宋体" w:hAnsi="宋体" w:eastAsia="宋体" w:cs="宋体"/>
                <w:szCs w:val="21"/>
                <w:lang w:val="zh-CN" w:bidi="zh-CN"/>
              </w:rPr>
              <w:t>～50</w:t>
            </w:r>
          </w:p>
        </w:tc>
      </w:tr>
      <w:tr w14:paraId="508F7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jc w:val="center"/>
        </w:trPr>
        <w:tc>
          <w:tcPr>
            <w:tcW w:w="848" w:type="dxa"/>
            <w:vMerge w:val="continue"/>
            <w:tcBorders>
              <w:top w:val="nil"/>
            </w:tcBorders>
            <w:noWrap w:val="0"/>
            <w:vAlign w:val="center"/>
          </w:tcPr>
          <w:p w14:paraId="12ABFB4F">
            <w:pPr>
              <w:snapToGrid w:val="0"/>
              <w:ind w:firstLine="420" w:firstLineChars="200"/>
              <w:jc w:val="center"/>
              <w:rPr>
                <w:rFonts w:hint="eastAsia" w:ascii="宋体" w:hAnsi="宋体" w:eastAsia="宋体" w:cs="宋体"/>
                <w:szCs w:val="21"/>
              </w:rPr>
            </w:pPr>
          </w:p>
        </w:tc>
        <w:tc>
          <w:tcPr>
            <w:tcW w:w="4985" w:type="dxa"/>
            <w:noWrap w:val="0"/>
            <w:vAlign w:val="center"/>
          </w:tcPr>
          <w:p w14:paraId="2BD57D32">
            <w:pPr>
              <w:snapToGrid w:val="0"/>
              <w:ind w:firstLine="420" w:firstLineChars="200"/>
              <w:jc w:val="center"/>
              <w:rPr>
                <w:rFonts w:hint="eastAsia" w:ascii="宋体" w:hAnsi="宋体" w:eastAsia="宋体" w:cs="宋体"/>
                <w:szCs w:val="21"/>
                <w:lang w:bidi="zh-CN"/>
              </w:rPr>
            </w:pPr>
            <w:r>
              <w:rPr>
                <w:rFonts w:hint="eastAsia" w:ascii="宋体" w:hAnsi="宋体" w:eastAsia="宋体" w:cs="宋体"/>
                <w:szCs w:val="21"/>
                <w:lang w:val="zh-CN" w:bidi="zh-CN"/>
              </w:rPr>
              <w:t>抗滑值</w:t>
            </w:r>
            <w:r>
              <w:rPr>
                <w:rFonts w:hint="eastAsia" w:ascii="宋体" w:hAnsi="宋体" w:eastAsia="宋体" w:cs="宋体"/>
                <w:szCs w:val="21"/>
                <w:lang w:bidi="zh-CN"/>
              </w:rPr>
              <w:t>/（BPN，20℃）</w:t>
            </w:r>
          </w:p>
        </w:tc>
        <w:tc>
          <w:tcPr>
            <w:tcW w:w="2431" w:type="dxa"/>
            <w:noWrap w:val="0"/>
            <w:vAlign w:val="center"/>
          </w:tcPr>
          <w:p w14:paraId="73C9BC7C">
            <w:pPr>
              <w:snapToGrid w:val="0"/>
              <w:ind w:firstLine="420" w:firstLineChars="200"/>
              <w:jc w:val="center"/>
              <w:rPr>
                <w:rFonts w:hint="eastAsia" w:ascii="宋体" w:hAnsi="宋体" w:eastAsia="宋体" w:cs="宋体"/>
                <w:szCs w:val="21"/>
                <w:lang w:bidi="zh-CN"/>
              </w:rPr>
            </w:pPr>
            <w:r>
              <w:rPr>
                <w:rFonts w:hint="eastAsia" w:ascii="宋体" w:hAnsi="宋体" w:eastAsia="宋体" w:cs="宋体"/>
                <w:szCs w:val="21"/>
                <w:lang w:bidi="zh-CN"/>
              </w:rPr>
              <w:t>80</w:t>
            </w:r>
            <w:r>
              <w:rPr>
                <w:rFonts w:hint="eastAsia" w:ascii="宋体" w:hAnsi="宋体" w:eastAsia="宋体" w:cs="宋体"/>
                <w:szCs w:val="21"/>
                <w:lang w:val="zh-CN" w:bidi="zh-CN"/>
              </w:rPr>
              <w:t>～</w:t>
            </w:r>
            <w:r>
              <w:rPr>
                <w:rFonts w:hint="eastAsia" w:ascii="宋体" w:hAnsi="宋体" w:eastAsia="宋体" w:cs="宋体"/>
                <w:szCs w:val="21"/>
                <w:lang w:bidi="zh-CN"/>
              </w:rPr>
              <w:t>110（干测）</w:t>
            </w:r>
          </w:p>
        </w:tc>
      </w:tr>
      <w:tr w14:paraId="55F7B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jc w:val="center"/>
        </w:trPr>
        <w:tc>
          <w:tcPr>
            <w:tcW w:w="848" w:type="dxa"/>
            <w:vMerge w:val="continue"/>
            <w:tcBorders>
              <w:top w:val="nil"/>
            </w:tcBorders>
            <w:noWrap w:val="0"/>
            <w:vAlign w:val="center"/>
          </w:tcPr>
          <w:p w14:paraId="550DF30D">
            <w:pPr>
              <w:snapToGrid w:val="0"/>
              <w:ind w:firstLine="420" w:firstLineChars="200"/>
              <w:jc w:val="center"/>
              <w:rPr>
                <w:rFonts w:hint="eastAsia" w:ascii="宋体" w:hAnsi="宋体" w:eastAsia="宋体" w:cs="宋体"/>
                <w:szCs w:val="21"/>
              </w:rPr>
            </w:pPr>
          </w:p>
        </w:tc>
        <w:tc>
          <w:tcPr>
            <w:tcW w:w="4985" w:type="dxa"/>
            <w:noWrap w:val="0"/>
            <w:vAlign w:val="center"/>
          </w:tcPr>
          <w:p w14:paraId="5461FDE9">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拉伸强度/（MPa）</w:t>
            </w:r>
          </w:p>
        </w:tc>
        <w:tc>
          <w:tcPr>
            <w:tcW w:w="2431" w:type="dxa"/>
            <w:noWrap w:val="0"/>
            <w:vAlign w:val="center"/>
          </w:tcPr>
          <w:p w14:paraId="469183F6">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≥0.</w:t>
            </w:r>
            <w:r>
              <w:rPr>
                <w:rFonts w:hint="eastAsia" w:ascii="宋体" w:hAnsi="宋体" w:eastAsia="宋体" w:cs="宋体"/>
                <w:szCs w:val="21"/>
                <w:lang w:bidi="zh-CN"/>
              </w:rPr>
              <w:t>5</w:t>
            </w:r>
          </w:p>
        </w:tc>
      </w:tr>
      <w:tr w14:paraId="485C8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jc w:val="center"/>
        </w:trPr>
        <w:tc>
          <w:tcPr>
            <w:tcW w:w="848" w:type="dxa"/>
            <w:vMerge w:val="continue"/>
            <w:tcBorders>
              <w:top w:val="nil"/>
            </w:tcBorders>
            <w:noWrap w:val="0"/>
            <w:vAlign w:val="center"/>
          </w:tcPr>
          <w:p w14:paraId="735CF9EA">
            <w:pPr>
              <w:snapToGrid w:val="0"/>
              <w:ind w:firstLine="420" w:firstLineChars="200"/>
              <w:jc w:val="center"/>
              <w:rPr>
                <w:rFonts w:hint="eastAsia" w:ascii="宋体" w:hAnsi="宋体" w:eastAsia="宋体" w:cs="宋体"/>
                <w:szCs w:val="21"/>
              </w:rPr>
            </w:pPr>
          </w:p>
        </w:tc>
        <w:tc>
          <w:tcPr>
            <w:tcW w:w="4985" w:type="dxa"/>
            <w:noWrap w:val="0"/>
            <w:vAlign w:val="center"/>
          </w:tcPr>
          <w:p w14:paraId="1359A97A">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垂直变形/(mm)</w:t>
            </w:r>
          </w:p>
        </w:tc>
        <w:tc>
          <w:tcPr>
            <w:tcW w:w="2431" w:type="dxa"/>
            <w:noWrap w:val="0"/>
            <w:vAlign w:val="center"/>
          </w:tcPr>
          <w:p w14:paraId="709BE4C4">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0.6～3.0</w:t>
            </w:r>
          </w:p>
        </w:tc>
      </w:tr>
      <w:tr w14:paraId="4721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jc w:val="center"/>
        </w:trPr>
        <w:tc>
          <w:tcPr>
            <w:tcW w:w="848" w:type="dxa"/>
            <w:vMerge w:val="continue"/>
            <w:tcBorders>
              <w:top w:val="nil"/>
            </w:tcBorders>
            <w:noWrap w:val="0"/>
            <w:vAlign w:val="center"/>
          </w:tcPr>
          <w:p w14:paraId="0DF643A4">
            <w:pPr>
              <w:snapToGrid w:val="0"/>
              <w:ind w:firstLine="420" w:firstLineChars="200"/>
              <w:jc w:val="center"/>
              <w:rPr>
                <w:rFonts w:hint="eastAsia" w:ascii="宋体" w:hAnsi="宋体" w:eastAsia="宋体" w:cs="宋体"/>
                <w:szCs w:val="21"/>
              </w:rPr>
            </w:pPr>
          </w:p>
        </w:tc>
        <w:tc>
          <w:tcPr>
            <w:tcW w:w="4985" w:type="dxa"/>
            <w:noWrap w:val="0"/>
            <w:vAlign w:val="center"/>
          </w:tcPr>
          <w:p w14:paraId="5E8422A2">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拉断伸长率/（%）</w:t>
            </w:r>
          </w:p>
        </w:tc>
        <w:tc>
          <w:tcPr>
            <w:tcW w:w="2431" w:type="dxa"/>
            <w:noWrap w:val="0"/>
            <w:vAlign w:val="center"/>
          </w:tcPr>
          <w:p w14:paraId="1AE4BFFB">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≥40</w:t>
            </w:r>
          </w:p>
        </w:tc>
      </w:tr>
      <w:tr w14:paraId="44C34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 w:hRule="atLeast"/>
          <w:jc w:val="center"/>
        </w:trPr>
        <w:tc>
          <w:tcPr>
            <w:tcW w:w="848" w:type="dxa"/>
            <w:vMerge w:val="continue"/>
            <w:tcBorders>
              <w:top w:val="nil"/>
            </w:tcBorders>
            <w:noWrap w:val="0"/>
            <w:vAlign w:val="center"/>
          </w:tcPr>
          <w:p w14:paraId="4915C18A">
            <w:pPr>
              <w:snapToGrid w:val="0"/>
              <w:ind w:firstLine="420" w:firstLineChars="200"/>
              <w:jc w:val="center"/>
              <w:rPr>
                <w:rFonts w:hint="eastAsia" w:ascii="宋体" w:hAnsi="宋体" w:eastAsia="宋体" w:cs="宋体"/>
                <w:szCs w:val="21"/>
              </w:rPr>
            </w:pPr>
          </w:p>
        </w:tc>
        <w:tc>
          <w:tcPr>
            <w:tcW w:w="4985" w:type="dxa"/>
            <w:noWrap w:val="0"/>
            <w:vAlign w:val="center"/>
          </w:tcPr>
          <w:p w14:paraId="655235F2">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阻燃性能/（级）</w:t>
            </w:r>
          </w:p>
        </w:tc>
        <w:tc>
          <w:tcPr>
            <w:tcW w:w="2431" w:type="dxa"/>
            <w:noWrap w:val="0"/>
            <w:vAlign w:val="center"/>
          </w:tcPr>
          <w:p w14:paraId="03975AF8">
            <w:pPr>
              <w:snapToGrid w:val="0"/>
              <w:ind w:firstLine="420" w:firstLineChars="200"/>
              <w:jc w:val="center"/>
              <w:rPr>
                <w:rFonts w:hint="eastAsia" w:ascii="宋体" w:hAnsi="宋体" w:eastAsia="宋体" w:cs="宋体"/>
                <w:szCs w:val="21"/>
                <w:lang w:val="zh-CN" w:bidi="zh-CN"/>
              </w:rPr>
            </w:pPr>
            <w:r>
              <w:rPr>
                <w:rFonts w:hint="eastAsia" w:ascii="宋体" w:hAnsi="宋体" w:eastAsia="宋体" w:cs="宋体"/>
                <w:szCs w:val="21"/>
                <w:lang w:val="zh-CN" w:bidi="zh-CN"/>
              </w:rPr>
              <w:t>Ⅰ</w:t>
            </w:r>
          </w:p>
        </w:tc>
      </w:tr>
    </w:tbl>
    <w:p w14:paraId="4F3A0E48">
      <w:pPr>
        <w:pStyle w:val="6"/>
        <w:widowControl/>
        <w:numPr>
          <w:ilvl w:val="0"/>
          <w:numId w:val="32"/>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cs="宋体"/>
          <w:szCs w:val="21"/>
        </w:rPr>
        <w:t>提供硅PU球场材料依据GB/T 36793-2018检测要求，不含18种邻苯二甲酸增塑剂的合格检验报告（检验报告需带有“CMA”或“CNAS”标识）</w:t>
      </w:r>
    </w:p>
    <w:p w14:paraId="00A256FC">
      <w:pPr>
        <w:pStyle w:val="6"/>
        <w:widowControl/>
        <w:numPr>
          <w:ilvl w:val="0"/>
          <w:numId w:val="32"/>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cs="宋体"/>
          <w:szCs w:val="21"/>
        </w:rPr>
        <w:t>提供硅PU球场依据GB 36246-2018检测要求，在人工气候老化性能（5000h后）拉伸强度≥0.5MPa，拉断伸长率≥40%的合格检验报告（检验报告需带有“CMA”或“CNAS”标识）。</w:t>
      </w:r>
    </w:p>
    <w:p w14:paraId="05791A70">
      <w:pPr>
        <w:pStyle w:val="6"/>
        <w:widowControl/>
        <w:numPr>
          <w:ilvl w:val="0"/>
          <w:numId w:val="32"/>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szCs w:val="21"/>
        </w:rPr>
        <w:t>为保障产品性能，售后服务的稳定性和及时性，提供符合上述要求的硅PU场地面层制造商针对本项目的售后服务承诺函。</w:t>
      </w:r>
    </w:p>
    <w:p w14:paraId="028EE736">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足球场人造草坪</w:t>
      </w:r>
    </w:p>
    <w:p w14:paraId="2E07CBB9">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eastAsia="宋体" w:cs="宋体"/>
          <w:szCs w:val="21"/>
        </w:rPr>
        <w:t>草丝为挤出型超耐磨PE材质单丝，双色铺装，采用底布簇绒法一形走针；</w:t>
      </w:r>
    </w:p>
    <w:p w14:paraId="024A3E3E">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eastAsia="宋体" w:cs="宋体"/>
          <w:szCs w:val="21"/>
        </w:rPr>
        <w:t>草高（不含底布高度）：50mm（±1mm），场地面积不少于560㎡；</w:t>
      </w:r>
    </w:p>
    <w:p w14:paraId="4DDE1D75">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eastAsia="宋体" w:cs="宋体"/>
          <w:szCs w:val="21"/>
        </w:rPr>
        <w:t>磅重≥Dtex9500，密度不少于10500针/㎡，卷宽不少于4米；</w:t>
      </w:r>
    </w:p>
    <w:p w14:paraId="176928A6">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cs="微软雅黑"/>
          <w:szCs w:val="21"/>
        </w:rPr>
        <w:t>为保障投标产品底布性能，需提供依据GB/T20394-2019标准出具高温95℃，低温-55℃交替800小时老化前底布拉断力纵向≥1400N、横向≥2100N，老化后纵向≥1570N、横向≥2000N，底布拉断力变化率纵向±7.5%以内，横向±7.5%以内专项检测报告；</w:t>
      </w:r>
    </w:p>
    <w:p w14:paraId="6749E354">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cs="微软雅黑"/>
          <w:szCs w:val="21"/>
        </w:rPr>
        <w:t>为保障投标产品草丝色牢度，需提供依据GB/T20394-2019标准出具高温95℃，低温-55℃交替800小时老化后色牢度6级专项检测报告；</w:t>
      </w:r>
    </w:p>
    <w:p w14:paraId="1368FC79">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cs="微软雅黑"/>
          <w:szCs w:val="21"/>
        </w:rPr>
        <w:t>为保障投标产品的阻燃性能，需</w:t>
      </w:r>
      <w:r>
        <w:rPr>
          <w:rFonts w:hint="eastAsia" w:ascii="宋体" w:hAnsi="宋体" w:eastAsia="宋体" w:cs="宋体"/>
          <w:szCs w:val="21"/>
        </w:rPr>
        <w:t>提供人造草坪产品依据GB/T 20394-2019标准测试阻燃率（中心到损毁边沿最大距离≤45mm），经过氙灯老化168小时+雨水（3%乙酸，40℃）老化168小时+高低温老化7次循环（每个循环60℃ 12小时、常温1小时、－40℃ 12小时）老化测试后草丝耐磨保留率≥98%、阻燃率（中心到损毁边沿最大距离≤46mm）专项检测报告；</w:t>
      </w:r>
    </w:p>
    <w:p w14:paraId="2EEF4E67">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cs="微软雅黑"/>
          <w:szCs w:val="21"/>
        </w:rPr>
        <w:t>为保障投标产品绿色环保，需提供依据GB/T 20394-2019标准进行氙灯老化168小时+雨水（3%乙酸，40℃）老化168小时+高低温老化7次循环（每个循环60℃ 12小时、常温1小时、－40℃ 12小时）后测试TVOC、甲醛、苯乙烯、4-苯基环己烯及可迁移元素锑Sb、砷As、钡Ba、镉Cd、铬Cr、铅Pb、汞Hg、硒Se结果均为未检出专项报告；</w:t>
      </w:r>
    </w:p>
    <w:p w14:paraId="73F85D5A">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eastAsia="宋体" w:cs="微软雅黑"/>
          <w:szCs w:val="21"/>
        </w:rPr>
        <w:t>为保障投标产品的性能，需提供依据GB 36246-2018出具的全项合格检测报告；</w:t>
      </w:r>
    </w:p>
    <w:p w14:paraId="792C359B">
      <w:pPr>
        <w:pStyle w:val="6"/>
        <w:widowControl/>
        <w:numPr>
          <w:ilvl w:val="0"/>
          <w:numId w:val="33"/>
        </w:numPr>
        <w:adjustRightInd w:val="0"/>
        <w:snapToGrid w:val="0"/>
        <w:spacing w:line="360" w:lineRule="auto"/>
        <w:ind w:left="426" w:firstLineChars="0"/>
        <w:jc w:val="left"/>
        <w:rPr>
          <w:rFonts w:hint="eastAsia" w:ascii="宋体" w:hAnsi="宋体" w:eastAsia="宋体" w:cs="宋体"/>
          <w:szCs w:val="21"/>
        </w:rPr>
      </w:pPr>
      <w:r>
        <w:rPr>
          <w:rFonts w:hint="eastAsia" w:ascii="宋体" w:hAnsi="宋体" w:cs="仿宋_GB2312"/>
          <w:sz w:val="24"/>
          <w:szCs w:val="24"/>
        </w:rPr>
        <w:t>●</w:t>
      </w:r>
      <w:r>
        <w:rPr>
          <w:rFonts w:hint="eastAsia" w:ascii="宋体" w:hAnsi="宋体" w:eastAsia="宋体" w:cs="微软雅黑"/>
          <w:szCs w:val="21"/>
        </w:rPr>
        <w:t>为保障产品性能，售后服务的稳定性和及时性，需提供符合上述要求的足球场人造草坪制造商针对本项目的售后服务承诺函。</w:t>
      </w:r>
    </w:p>
    <w:p w14:paraId="00BB9703">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悬浮式拼装地板</w:t>
      </w:r>
    </w:p>
    <w:p w14:paraId="6BF60941">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eastAsia="宋体" w:cs="微软雅黑"/>
          <w:szCs w:val="21"/>
        </w:rPr>
        <w:t xml:space="preserve">乒乓球场地面积不小于152㎡，益智休闲区面积不小于40㎡。 </w:t>
      </w:r>
    </w:p>
    <w:p w14:paraId="51624F7B">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eastAsia="宋体" w:cs="微软雅黑"/>
          <w:szCs w:val="21"/>
        </w:rPr>
        <w:t xml:space="preserve">地板规格不小于30×30cm，厚度不小于1.27cm。 </w:t>
      </w:r>
    </w:p>
    <w:p w14:paraId="1D971D87">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eastAsia="宋体" w:cs="微软雅黑"/>
          <w:szCs w:val="21"/>
        </w:rPr>
        <w:t xml:space="preserve">抗滑值（干测）80-110，耐低温：（-50℃，24h），试验后无龟裂、无明显色差；耐高温：（100℃，24h），试验后无融化、无明显色差。 </w:t>
      </w:r>
    </w:p>
    <w:p w14:paraId="6B15C98D">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eastAsia="宋体" w:cs="微软雅黑"/>
          <w:szCs w:val="21"/>
        </w:rPr>
        <w:t xml:space="preserve">滚动负荷：施加载荷≥1500N时，地板不应有裂纹，断裂、劈裂等损坏。 </w:t>
      </w:r>
    </w:p>
    <w:p w14:paraId="72FB27B4">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eastAsia="宋体" w:cs="微软雅黑"/>
          <w:szCs w:val="21"/>
        </w:rPr>
        <w:t xml:space="preserve">甲醛：≤0.4mg/(m².h)。 </w:t>
      </w:r>
    </w:p>
    <w:p w14:paraId="75195F77">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eastAsia="宋体" w:cs="微软雅黑"/>
          <w:szCs w:val="21"/>
        </w:rPr>
        <w:t xml:space="preserve">撕裂强度：≥50kN/m。 </w:t>
      </w:r>
    </w:p>
    <w:p w14:paraId="72957998">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cs="仿宋_GB2312"/>
          <w:sz w:val="24"/>
          <w:szCs w:val="24"/>
        </w:rPr>
        <w:t>●</w:t>
      </w:r>
      <w:r>
        <w:rPr>
          <w:rFonts w:hint="eastAsia" w:ascii="宋体" w:hAnsi="宋体" w:eastAsia="宋体" w:cs="微软雅黑"/>
          <w:szCs w:val="21"/>
        </w:rPr>
        <w:t>臭氧老化不低于10000h后，邵氏硬度依据GB/T531.1-2008检测标准70-90 Shore A（投标文件中附招标公告发布之日前取得的带CMA和CNAS标识的检验报告，并提供</w:t>
      </w:r>
      <w:r>
        <w:rPr>
          <w:rFonts w:hint="eastAsia" w:ascii="宋体" w:hAnsi="宋体" w:cs="仿宋_GB2312"/>
          <w:sz w:val="24"/>
          <w:szCs w:val="24"/>
        </w:rPr>
        <w:t>●</w:t>
      </w:r>
      <w:r>
        <w:rPr>
          <w:rFonts w:hint="eastAsia" w:ascii="宋体" w:hAnsi="宋体" w:eastAsia="宋体" w:cs="微软雅黑"/>
          <w:szCs w:val="21"/>
        </w:rPr>
        <w:t xml:space="preserve">全国认证认可信息公共服务平台查询截图）。 </w:t>
      </w:r>
    </w:p>
    <w:p w14:paraId="5C6F0B98">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cs="仿宋_GB2312"/>
          <w:sz w:val="24"/>
          <w:szCs w:val="24"/>
        </w:rPr>
        <w:t>●</w:t>
      </w:r>
      <w:r>
        <w:rPr>
          <w:rFonts w:hint="eastAsia" w:ascii="宋体" w:hAnsi="宋体" w:eastAsia="宋体" w:cs="微软雅黑"/>
          <w:szCs w:val="21"/>
        </w:rPr>
        <w:t>自然光老化不低于36个月后，冲击吸收符合GB36246-2018标准（0℃、23℃、50℃）：20-50%（投标文件中附招标公告发布之日前取得的带CMA和CNAS标识的检验报告，并提供全国认证认可信息公共服务平台查询截图）。</w:t>
      </w:r>
    </w:p>
    <w:p w14:paraId="62E2A6D8">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cs="仿宋_GB2312"/>
          <w:sz w:val="24"/>
          <w:szCs w:val="24"/>
        </w:rPr>
        <w:t>●</w:t>
      </w:r>
      <w:r>
        <w:rPr>
          <w:rFonts w:hint="eastAsia" w:ascii="宋体" w:hAnsi="宋体" w:eastAsia="宋体" w:cs="微软雅黑"/>
          <w:szCs w:val="21"/>
        </w:rPr>
        <w:t xml:space="preserve">耐酸雨老化不低于5000h(检测周期不低于老化时长)后，球反弹率符合GB/T14833-2020检测标准：≥90%（投标文件中附招标公告发布之日前取得的带CMA和CNAS标识的检验报告，并提供全国认证认可信息公共服务平台查询截图）。 </w:t>
      </w:r>
    </w:p>
    <w:p w14:paraId="1903F409">
      <w:pPr>
        <w:pStyle w:val="6"/>
        <w:widowControl/>
        <w:numPr>
          <w:ilvl w:val="0"/>
          <w:numId w:val="34"/>
        </w:numPr>
        <w:adjustRightInd w:val="0"/>
        <w:snapToGrid w:val="0"/>
        <w:spacing w:line="360" w:lineRule="auto"/>
        <w:ind w:left="426" w:firstLineChars="0"/>
        <w:jc w:val="left"/>
        <w:rPr>
          <w:rFonts w:hint="eastAsia" w:ascii="宋体" w:hAnsi="宋体" w:eastAsia="宋体" w:cs="微软雅黑"/>
          <w:szCs w:val="21"/>
        </w:rPr>
      </w:pPr>
      <w:r>
        <w:rPr>
          <w:rFonts w:hint="eastAsia" w:ascii="宋体" w:hAnsi="宋体" w:cs="仿宋_GB2312"/>
          <w:sz w:val="24"/>
          <w:szCs w:val="24"/>
        </w:rPr>
        <w:t>●</w:t>
      </w:r>
      <w:r>
        <w:rPr>
          <w:rFonts w:hint="eastAsia" w:ascii="宋体" w:hAnsi="宋体" w:eastAsia="宋体" w:cs="微软雅黑"/>
          <w:szCs w:val="21"/>
        </w:rPr>
        <w:t xml:space="preserve">为保证售后服务的稳定性和及时性，需提供符合上述要求的悬浮式拼装地板制造商针对本项目的售后服务承诺函。 </w:t>
      </w:r>
    </w:p>
    <w:p w14:paraId="2FAAA26A">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小轮车场地围网</w:t>
      </w:r>
    </w:p>
    <w:p w14:paraId="0466A6B9">
      <w:pPr>
        <w:pStyle w:val="6"/>
        <w:widowControl/>
        <w:numPr>
          <w:ilvl w:val="0"/>
          <w:numId w:val="35"/>
        </w:numPr>
        <w:adjustRightInd w:val="0"/>
        <w:snapToGrid w:val="0"/>
        <w:spacing w:line="360" w:lineRule="auto"/>
        <w:ind w:left="426" w:firstLineChars="0"/>
        <w:jc w:val="left"/>
        <w:rPr>
          <w:rFonts w:hint="eastAsia" w:ascii="宋体" w:hAnsi="宋体" w:eastAsia="宋体"/>
          <w:szCs w:val="21"/>
        </w:rPr>
      </w:pPr>
      <w:r>
        <w:rPr>
          <w:rFonts w:hint="eastAsia" w:ascii="宋体" w:hAnsi="宋体" w:eastAsia="宋体"/>
          <w:szCs w:val="21"/>
        </w:rPr>
        <w:t>框架：围网立柱采用不小于φ76mm，管壁厚度为不小于3mm的优质钢管，“口”字型结构，围网总高度不小于2米，立柱间隔不大于3米，所有管材表面须经过静电粉末喷塑,颜色为墨绿色．立柱埋入地下深度应不小于4</w:t>
      </w:r>
      <w:r>
        <w:rPr>
          <w:rFonts w:ascii="宋体" w:hAnsi="宋体" w:eastAsia="宋体"/>
          <w:szCs w:val="21"/>
        </w:rPr>
        <w:t>00</w:t>
      </w:r>
      <w:r>
        <w:rPr>
          <w:rFonts w:hint="eastAsia" w:ascii="宋体" w:hAnsi="宋体" w:eastAsia="宋体"/>
          <w:szCs w:val="21"/>
        </w:rPr>
        <w:t>mm，总面积不少于400㎡。</w:t>
      </w:r>
    </w:p>
    <w:p w14:paraId="53DEFB23">
      <w:pPr>
        <w:pStyle w:val="6"/>
        <w:widowControl/>
        <w:numPr>
          <w:ilvl w:val="0"/>
          <w:numId w:val="35"/>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配置不小于1.4米宽、1.9米高的单开式框架进出口2个。围网全部采用防盗镀锌或不锈钢螺栓，并采用防松螺母防松方式，保证连接长期可靠。立柱与连接横管采用固态粉静电喷涂工艺，颜色为墨绿色，色泽保持八年不变，围网风载荷标准值应不小于0</w:t>
      </w:r>
      <w:r>
        <w:rPr>
          <w:rFonts w:ascii="宋体" w:hAnsi="宋体" w:eastAsia="宋体"/>
          <w:szCs w:val="21"/>
        </w:rPr>
        <w:t>.35kn/</w:t>
      </w:r>
      <w:r>
        <w:rPr>
          <w:rFonts w:hint="eastAsia" w:ascii="宋体" w:hAnsi="宋体" w:eastAsia="宋体"/>
          <w:szCs w:val="21"/>
        </w:rPr>
        <w:t>㎡。</w:t>
      </w:r>
    </w:p>
    <w:p w14:paraId="4B16E5B3">
      <w:pPr>
        <w:pStyle w:val="6"/>
        <w:widowControl/>
        <w:numPr>
          <w:ilvl w:val="0"/>
          <w:numId w:val="35"/>
        </w:numPr>
        <w:adjustRightInd w:val="0"/>
        <w:snapToGrid w:val="0"/>
        <w:spacing w:line="360" w:lineRule="auto"/>
        <w:ind w:left="426" w:hanging="426" w:firstLineChars="0"/>
        <w:jc w:val="left"/>
        <w:rPr>
          <w:rFonts w:hint="eastAsia" w:ascii="宋体" w:hAnsi="宋体" w:eastAsia="宋体"/>
          <w:szCs w:val="21"/>
        </w:rPr>
      </w:pPr>
      <w:r>
        <w:rPr>
          <w:rFonts w:hint="eastAsia" w:ascii="宋体" w:hAnsi="宋体" w:eastAsia="宋体"/>
          <w:szCs w:val="21"/>
        </w:rPr>
        <w:t>网丝:包塑网片丝浸塑处理后网片径不小于Ф4mm, 采用优质低碳镀锌铁丝，处理前丝径不小于Ф3mm，网孔50×50 mm，勾花网，颜色为墨绿色，表面光滑细腻，各项性能指标达到GB15065-94和IE60502标准，吸水率为0%。围网孔径应与运动功能相适应，具有防止球脱出的功能。</w:t>
      </w:r>
    </w:p>
    <w:p w14:paraId="280899D3">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篮球架</w:t>
      </w:r>
    </w:p>
    <w:p w14:paraId="2CF7C1E0">
      <w:pPr>
        <w:numPr>
          <w:ilvl w:val="0"/>
          <w:numId w:val="36"/>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产品符合GB19272-2011《室外健身器材的安全  通用要求》执行标准</w:t>
      </w:r>
      <w:r>
        <w:rPr>
          <w:rFonts w:hint="eastAsia" w:ascii="宋体" w:hAnsi="宋体" w:eastAsia="宋体"/>
          <w:szCs w:val="21"/>
        </w:rPr>
        <w:t>；</w:t>
      </w:r>
    </w:p>
    <w:p w14:paraId="160F69F2">
      <w:pPr>
        <w:numPr>
          <w:ilvl w:val="0"/>
          <w:numId w:val="36"/>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立柱采用</w:t>
      </w:r>
      <w:r>
        <w:rPr>
          <w:rFonts w:hint="eastAsia" w:ascii="宋体" w:hAnsi="宋体" w:eastAsia="宋体"/>
          <w:szCs w:val="21"/>
        </w:rPr>
        <w:t>不小于</w:t>
      </w:r>
      <w:r>
        <w:rPr>
          <w:rFonts w:hint="eastAsia" w:ascii="宋体" w:hAnsi="宋体" w:eastAsia="宋体" w:cs="Times New Roman"/>
          <w:szCs w:val="21"/>
        </w:rPr>
        <w:t xml:space="preserve"> 175 mm×175mm×4mm，伸臂不小于150×150×4mm, 篮板前部到立柱尺寸长不小于1800mm，篮板材质为SMC或钢化玻璃，篮板长1800-1830（mm），篮板宽1050-1570（mm），篮板面板选用SMC材质的厚度不小于5mm，选用钢化玻璃的，厚度不小于10mm；</w:t>
      </w:r>
    </w:p>
    <w:p w14:paraId="21006EA6">
      <w:pPr>
        <w:numPr>
          <w:ilvl w:val="0"/>
          <w:numId w:val="36"/>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具有调节篮板垂直度的结构：篮架上、下拉杆采用不小于Φ48×2mm优质钢管在弯管机上一次成型。通过调节上下拉杆可调节篮板的平面度和垂直度</w:t>
      </w:r>
      <w:r>
        <w:rPr>
          <w:rFonts w:hint="eastAsia" w:ascii="宋体" w:hAnsi="宋体" w:eastAsia="宋体"/>
          <w:szCs w:val="21"/>
        </w:rPr>
        <w:t>；</w:t>
      </w:r>
    </w:p>
    <w:p w14:paraId="5C425B8A">
      <w:pPr>
        <w:numPr>
          <w:ilvl w:val="0"/>
          <w:numId w:val="36"/>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篮板投篮区背面应有不小于570mm×150mm×5mm的加强钢板</w:t>
      </w:r>
      <w:r>
        <w:rPr>
          <w:rFonts w:hint="eastAsia" w:ascii="宋体" w:hAnsi="宋体" w:eastAsia="宋体"/>
          <w:szCs w:val="21"/>
        </w:rPr>
        <w:t>；</w:t>
      </w:r>
    </w:p>
    <w:p w14:paraId="7CB7D67A">
      <w:pPr>
        <w:numPr>
          <w:ilvl w:val="0"/>
          <w:numId w:val="36"/>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篮圈：优质圆钢，呈橙色，弹簧篮圈（内置钢弹簧）</w:t>
      </w:r>
      <w:r>
        <w:rPr>
          <w:rFonts w:hint="eastAsia" w:ascii="宋体" w:hAnsi="宋体" w:eastAsia="宋体"/>
          <w:szCs w:val="21"/>
        </w:rPr>
        <w:t>；</w:t>
      </w:r>
    </w:p>
    <w:p w14:paraId="37A4F3FB">
      <w:pPr>
        <w:numPr>
          <w:ilvl w:val="0"/>
          <w:numId w:val="36"/>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固定方式：予埋件</w:t>
      </w:r>
      <w:r>
        <w:rPr>
          <w:rFonts w:hint="eastAsia" w:ascii="宋体" w:hAnsi="宋体" w:eastAsia="宋体"/>
          <w:szCs w:val="21"/>
        </w:rPr>
        <w:t>；</w:t>
      </w:r>
    </w:p>
    <w:p w14:paraId="34A8B586">
      <w:pPr>
        <w:numPr>
          <w:ilvl w:val="0"/>
          <w:numId w:val="36"/>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安装技术参数：篮圈上沿距地面高度3050mm，悬臂长度不小于1800mm；主要承载立柱应采用予埋埋入地下的结构，予埋埋入深度800mm，地埋尺寸800mm×800mm×900mm。各连接部位采用螺栓、螺钉紧固，防松、防盗、防锈</w:t>
      </w:r>
      <w:r>
        <w:rPr>
          <w:rFonts w:hint="eastAsia" w:ascii="宋体" w:hAnsi="宋体" w:eastAsia="宋体"/>
          <w:szCs w:val="21"/>
        </w:rPr>
        <w:t>；</w:t>
      </w:r>
      <w:r>
        <w:rPr>
          <w:rFonts w:hint="eastAsia" w:ascii="宋体" w:hAnsi="宋体" w:eastAsia="宋体" w:cs="Times New Roman"/>
          <w:szCs w:val="21"/>
        </w:rPr>
        <w:t>予埋件与主体连结部应有整体防护罩，厚度不小于1 mm的钢罩。</w:t>
      </w:r>
    </w:p>
    <w:p w14:paraId="0B93EFC9">
      <w:pPr>
        <w:pStyle w:val="6"/>
        <w:widowControl/>
        <w:numPr>
          <w:ilvl w:val="0"/>
          <w:numId w:val="36"/>
        </w:numPr>
        <w:adjustRightInd w:val="0"/>
        <w:snapToGrid w:val="0"/>
        <w:spacing w:line="360" w:lineRule="auto"/>
        <w:ind w:firstLineChars="0"/>
        <w:jc w:val="left"/>
        <w:rPr>
          <w:rFonts w:hint="eastAsia" w:ascii="宋体" w:hAnsi="宋体" w:eastAsia="宋体"/>
          <w:szCs w:val="21"/>
        </w:rPr>
      </w:pPr>
      <w:r>
        <w:rPr>
          <w:rFonts w:hint="eastAsia" w:ascii="宋体" w:hAnsi="宋体" w:cs="仿宋_GB2312"/>
          <w:sz w:val="24"/>
          <w:szCs w:val="24"/>
        </w:rPr>
        <w:t>●</w:t>
      </w:r>
      <w:r>
        <w:rPr>
          <w:rFonts w:hint="eastAsia" w:ascii="宋体" w:hAnsi="宋体" w:eastAsia="宋体"/>
          <w:szCs w:val="21"/>
        </w:rPr>
        <w:t>投标文件中附篮球架经国家认证认可监督管理委员会批准的第三方认证机构颁发的认证证书和确认函。</w:t>
      </w:r>
    </w:p>
    <w:p w14:paraId="7A0F78D2">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五人制足球门</w:t>
      </w:r>
    </w:p>
    <w:p w14:paraId="38B70AC2">
      <w:pPr>
        <w:widowControl/>
        <w:numPr>
          <w:ilvl w:val="0"/>
          <w:numId w:val="37"/>
        </w:numPr>
        <w:snapToGrid w:val="0"/>
        <w:spacing w:line="360" w:lineRule="auto"/>
        <w:ind w:left="426" w:hanging="426"/>
        <w:jc w:val="left"/>
        <w:rPr>
          <w:rFonts w:hint="eastAsia" w:ascii="宋体" w:hAnsi="宋体" w:eastAsia="宋体" w:cs="Times New Roman"/>
          <w:szCs w:val="21"/>
        </w:rPr>
      </w:pPr>
      <w:r>
        <w:rPr>
          <w:rFonts w:hint="eastAsia" w:ascii="宋体" w:hAnsi="宋体" w:eastAsia="宋体" w:cs="Times New Roman"/>
          <w:szCs w:val="21"/>
        </w:rPr>
        <w:t>执行标准:</w:t>
      </w:r>
      <w:r>
        <w:rPr>
          <w:rFonts w:ascii="宋体" w:hAnsi="宋体" w:eastAsia="宋体" w:cs="Times New Roman"/>
          <w:szCs w:val="21"/>
        </w:rPr>
        <w:t xml:space="preserve"> GB</w:t>
      </w:r>
      <w:r>
        <w:rPr>
          <w:rFonts w:hint="eastAsia" w:ascii="宋体" w:hAnsi="宋体" w:eastAsia="宋体" w:cs="Times New Roman"/>
          <w:szCs w:val="21"/>
        </w:rPr>
        <w:t>/T</w:t>
      </w:r>
      <w:r>
        <w:rPr>
          <w:rFonts w:ascii="宋体" w:hAnsi="宋体" w:eastAsia="宋体" w:cs="Times New Roman"/>
          <w:szCs w:val="21"/>
        </w:rPr>
        <w:t>19</w:t>
      </w:r>
      <w:r>
        <w:rPr>
          <w:rFonts w:hint="eastAsia" w:ascii="宋体" w:hAnsi="宋体" w:eastAsia="宋体" w:cs="Times New Roman"/>
          <w:szCs w:val="21"/>
        </w:rPr>
        <w:t>851.15-2007；</w:t>
      </w:r>
    </w:p>
    <w:p w14:paraId="39FB606E">
      <w:pPr>
        <w:widowControl/>
        <w:numPr>
          <w:ilvl w:val="0"/>
          <w:numId w:val="37"/>
        </w:numPr>
        <w:snapToGrid w:val="0"/>
        <w:spacing w:line="360" w:lineRule="auto"/>
        <w:ind w:left="426" w:hanging="426"/>
        <w:jc w:val="left"/>
        <w:rPr>
          <w:rFonts w:hint="eastAsia" w:ascii="宋体" w:hAnsi="宋体" w:eastAsia="宋体" w:cs="Times New Roman"/>
          <w:szCs w:val="21"/>
        </w:rPr>
      </w:pPr>
      <w:r>
        <w:rPr>
          <w:rFonts w:hint="eastAsia" w:ascii="宋体" w:hAnsi="宋体" w:eastAsia="宋体" w:cs="Times New Roman"/>
          <w:szCs w:val="21"/>
        </w:rPr>
        <w:t>标准五人制足球门，球门内口宽度3000±10mm，球门内口高度2000±10mm，球门下方深度1500mm，球门侧面为梯形结构；</w:t>
      </w:r>
    </w:p>
    <w:p w14:paraId="5CC9A555">
      <w:pPr>
        <w:widowControl/>
        <w:numPr>
          <w:ilvl w:val="0"/>
          <w:numId w:val="37"/>
        </w:numPr>
        <w:snapToGrid w:val="0"/>
        <w:spacing w:line="360" w:lineRule="auto"/>
        <w:ind w:left="426" w:hanging="426"/>
        <w:jc w:val="left"/>
        <w:rPr>
          <w:rFonts w:hint="eastAsia" w:ascii="宋体" w:hAnsi="宋体" w:eastAsia="宋体" w:cs="Times New Roman"/>
          <w:szCs w:val="21"/>
        </w:rPr>
      </w:pPr>
      <w:r>
        <w:rPr>
          <w:rFonts w:hint="eastAsia" w:ascii="宋体" w:hAnsi="宋体" w:eastAsia="宋体" w:cs="Times New Roman"/>
          <w:szCs w:val="21"/>
        </w:rPr>
        <w:t>主立柱采用</w:t>
      </w:r>
      <w:r>
        <w:rPr>
          <w:rFonts w:hint="eastAsia" w:ascii="宋体" w:hAnsi="宋体" w:eastAsia="宋体"/>
          <w:szCs w:val="21"/>
        </w:rPr>
        <w:t>不小于</w:t>
      </w:r>
      <w:r>
        <w:rPr>
          <w:rFonts w:hint="eastAsia" w:ascii="宋体" w:hAnsi="宋体" w:eastAsia="宋体" w:cs="Times New Roman"/>
          <w:szCs w:val="21"/>
        </w:rPr>
        <w:t>φ76×3.0mm圆管；</w:t>
      </w:r>
    </w:p>
    <w:p w14:paraId="47F02A00">
      <w:pPr>
        <w:widowControl/>
        <w:numPr>
          <w:ilvl w:val="0"/>
          <w:numId w:val="37"/>
        </w:numPr>
        <w:snapToGrid w:val="0"/>
        <w:spacing w:line="360" w:lineRule="auto"/>
        <w:ind w:left="426" w:hanging="426"/>
        <w:jc w:val="left"/>
        <w:rPr>
          <w:rFonts w:hint="eastAsia" w:ascii="宋体" w:hAnsi="宋体" w:eastAsia="宋体" w:cs="Times New Roman"/>
          <w:szCs w:val="21"/>
        </w:rPr>
      </w:pPr>
      <w:r>
        <w:rPr>
          <w:rFonts w:hint="eastAsia" w:ascii="宋体" w:hAnsi="宋体" w:cs="仿宋_GB2312"/>
          <w:sz w:val="24"/>
          <w:szCs w:val="24"/>
        </w:rPr>
        <w:t>●</w:t>
      </w:r>
      <w:r>
        <w:rPr>
          <w:rFonts w:hint="eastAsia" w:ascii="宋体" w:hAnsi="宋体" w:eastAsia="宋体"/>
          <w:szCs w:val="21"/>
        </w:rPr>
        <w:t>所投产品取得国家认证认可监督管理委员会批准的第三方认证机构颁发的认证证书和确认函。</w:t>
      </w:r>
    </w:p>
    <w:p w14:paraId="7B769578">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移动式网球柱</w:t>
      </w:r>
    </w:p>
    <w:p w14:paraId="02153E0A">
      <w:pPr>
        <w:numPr>
          <w:ilvl w:val="0"/>
          <w:numId w:val="38"/>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主要承载</w:t>
      </w:r>
      <w:r>
        <w:rPr>
          <w:rFonts w:ascii="宋体" w:hAnsi="宋体" w:eastAsia="宋体" w:cs="Times New Roman"/>
          <w:szCs w:val="21"/>
        </w:rPr>
        <w:t>立柱尺寸</w:t>
      </w:r>
      <w:r>
        <w:rPr>
          <w:rFonts w:hint="eastAsia" w:ascii="宋体" w:hAnsi="宋体" w:eastAsia="宋体" w:cs="Times New Roman"/>
          <w:szCs w:val="21"/>
        </w:rPr>
        <w:t>采用不小于Φ89mm×3mm钢管；</w:t>
      </w:r>
    </w:p>
    <w:p w14:paraId="5617C638">
      <w:pPr>
        <w:numPr>
          <w:ilvl w:val="0"/>
          <w:numId w:val="38"/>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网柱高度1070±5mm，拉网中央高度914±5mm；</w:t>
      </w:r>
    </w:p>
    <w:p w14:paraId="65FC6BC0">
      <w:pPr>
        <w:numPr>
          <w:ilvl w:val="0"/>
          <w:numId w:val="38"/>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紧线装置安全灵活；</w:t>
      </w:r>
    </w:p>
    <w:p w14:paraId="7C376F38">
      <w:pPr>
        <w:numPr>
          <w:ilvl w:val="0"/>
          <w:numId w:val="38"/>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采用配重箱体式结构，可随时移动搬运；</w:t>
      </w:r>
    </w:p>
    <w:p w14:paraId="12A0B9E0">
      <w:pPr>
        <w:numPr>
          <w:ilvl w:val="0"/>
          <w:numId w:val="38"/>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球网采用天然纤维材料，符合GB/T 19851.1</w:t>
      </w:r>
      <w:r>
        <w:rPr>
          <w:rFonts w:ascii="宋体" w:hAnsi="宋体" w:eastAsia="宋体" w:cs="Times New Roman"/>
          <w:szCs w:val="21"/>
        </w:rPr>
        <w:t>3</w:t>
      </w:r>
      <w:r>
        <w:rPr>
          <w:rFonts w:hint="eastAsia" w:ascii="宋体" w:hAnsi="宋体" w:eastAsia="宋体" w:cs="Times New Roman"/>
          <w:szCs w:val="21"/>
        </w:rPr>
        <w:t>标准要求；</w:t>
      </w:r>
    </w:p>
    <w:p w14:paraId="707C1C99">
      <w:pPr>
        <w:numPr>
          <w:ilvl w:val="0"/>
          <w:numId w:val="38"/>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紧固标准件防松、防锈、防盗；</w:t>
      </w:r>
    </w:p>
    <w:p w14:paraId="275683DB">
      <w:pPr>
        <w:pStyle w:val="7"/>
        <w:widowControl/>
        <w:numPr>
          <w:ilvl w:val="0"/>
          <w:numId w:val="38"/>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3969A90A">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移动式匹克球网架</w:t>
      </w:r>
    </w:p>
    <w:p w14:paraId="7F844D67">
      <w:pPr>
        <w:numPr>
          <w:ilvl w:val="0"/>
          <w:numId w:val="39"/>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网柱最大直径不大于φ76.2mm，且两个网柱间距为6.71m；</w:t>
      </w:r>
    </w:p>
    <w:p w14:paraId="40C6E4B0">
      <w:pPr>
        <w:numPr>
          <w:ilvl w:val="0"/>
          <w:numId w:val="39"/>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球网应由不允许球穿过的网状织物材料制成；</w:t>
      </w:r>
    </w:p>
    <w:p w14:paraId="3297BA1C">
      <w:pPr>
        <w:numPr>
          <w:ilvl w:val="0"/>
          <w:numId w:val="39"/>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网柱之间的球网净长度不小于6.63m，球网本身高度不小于76.2cm；</w:t>
      </w:r>
    </w:p>
    <w:p w14:paraId="03B25D0D">
      <w:pPr>
        <w:numPr>
          <w:ilvl w:val="0"/>
          <w:numId w:val="39"/>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球网顶部采用宽5.08cm的白色胶带固定，胶带内需穿过绳索或电线，且固定边缘紧贴在绳索上；</w:t>
      </w:r>
    </w:p>
    <w:p w14:paraId="4F3C134C">
      <w:pPr>
        <w:numPr>
          <w:ilvl w:val="0"/>
          <w:numId w:val="38"/>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球网中心高度86.36cm，边线高度91.44cm，紧线装置安全灵活。</w:t>
      </w:r>
    </w:p>
    <w:p w14:paraId="3DE204B8">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移动式排球柱</w:t>
      </w:r>
    </w:p>
    <w:p w14:paraId="7214B590">
      <w:pPr>
        <w:numPr>
          <w:ilvl w:val="0"/>
          <w:numId w:val="40"/>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主要承载</w:t>
      </w:r>
      <w:r>
        <w:rPr>
          <w:rFonts w:ascii="宋体" w:hAnsi="宋体" w:eastAsia="宋体" w:cs="Times New Roman"/>
          <w:szCs w:val="21"/>
        </w:rPr>
        <w:t>立柱尺寸</w:t>
      </w:r>
      <w:r>
        <w:rPr>
          <w:rFonts w:hint="eastAsia" w:ascii="宋体" w:hAnsi="宋体" w:eastAsia="宋体" w:cs="Times New Roman"/>
          <w:szCs w:val="21"/>
        </w:rPr>
        <w:t>采用不小于Φ89mm×3.5mm钢管；</w:t>
      </w:r>
    </w:p>
    <w:p w14:paraId="00364E15">
      <w:pPr>
        <w:numPr>
          <w:ilvl w:val="0"/>
          <w:numId w:val="40"/>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紧线装置安全灵活；</w:t>
      </w:r>
    </w:p>
    <w:p w14:paraId="76258DA2">
      <w:pPr>
        <w:numPr>
          <w:ilvl w:val="0"/>
          <w:numId w:val="40"/>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采用配重箱体式结构，可随时移动搬运；</w:t>
      </w:r>
    </w:p>
    <w:p w14:paraId="56E52106">
      <w:pPr>
        <w:numPr>
          <w:ilvl w:val="0"/>
          <w:numId w:val="40"/>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球网采用天然纤维材料，符合GB/T 19851.1</w:t>
      </w:r>
      <w:r>
        <w:rPr>
          <w:rFonts w:ascii="宋体" w:hAnsi="宋体" w:eastAsia="宋体" w:cs="Times New Roman"/>
          <w:szCs w:val="21"/>
        </w:rPr>
        <w:t>3</w:t>
      </w:r>
      <w:r>
        <w:rPr>
          <w:rFonts w:hint="eastAsia" w:ascii="宋体" w:hAnsi="宋体" w:eastAsia="宋体" w:cs="Times New Roman"/>
          <w:szCs w:val="21"/>
        </w:rPr>
        <w:t>标准要求；</w:t>
      </w:r>
    </w:p>
    <w:p w14:paraId="5C3AD5A7">
      <w:pPr>
        <w:pStyle w:val="7"/>
        <w:widowControl/>
        <w:numPr>
          <w:ilvl w:val="0"/>
          <w:numId w:val="40"/>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25C9F820">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移动式羽毛球网架</w:t>
      </w:r>
    </w:p>
    <w:p w14:paraId="3EBD703A">
      <w:pPr>
        <w:pStyle w:val="6"/>
        <w:numPr>
          <w:ilvl w:val="0"/>
          <w:numId w:val="41"/>
        </w:numPr>
        <w:snapToGrid w:val="0"/>
        <w:spacing w:line="360" w:lineRule="auto"/>
        <w:ind w:firstLineChars="0"/>
        <w:rPr>
          <w:rFonts w:hint="eastAsia" w:ascii="宋体" w:hAnsi="宋体" w:eastAsia="宋体" w:cs="宋体"/>
          <w:szCs w:val="21"/>
        </w:rPr>
      </w:pPr>
      <w:r>
        <w:rPr>
          <w:rFonts w:hint="eastAsia" w:ascii="宋体" w:hAnsi="宋体" w:eastAsia="宋体" w:cs="宋体"/>
          <w:szCs w:val="21"/>
        </w:rPr>
        <w:t>立柱采用直径不小于Φ60mm，壁厚不小于3.0mm钢管；</w:t>
      </w:r>
    </w:p>
    <w:p w14:paraId="2632B594">
      <w:pPr>
        <w:pStyle w:val="6"/>
        <w:numPr>
          <w:ilvl w:val="0"/>
          <w:numId w:val="41"/>
        </w:numPr>
        <w:snapToGrid w:val="0"/>
        <w:spacing w:line="360" w:lineRule="auto"/>
        <w:ind w:firstLineChars="0"/>
        <w:rPr>
          <w:rFonts w:hint="eastAsia" w:ascii="宋体" w:hAnsi="宋体" w:eastAsia="宋体" w:cs="宋体"/>
          <w:szCs w:val="21"/>
        </w:rPr>
      </w:pPr>
      <w:r>
        <w:rPr>
          <w:rFonts w:hint="eastAsia" w:ascii="宋体" w:hAnsi="宋体" w:eastAsia="宋体" w:cs="宋体"/>
          <w:szCs w:val="21"/>
        </w:rPr>
        <w:t>网柱高度（1340～1550）</w:t>
      </w:r>
      <w:r>
        <w:rPr>
          <w:rFonts w:hint="eastAsia" w:ascii="宋体" w:hAnsi="宋体" w:eastAsia="宋体" w:cs="Times New Roman"/>
          <w:szCs w:val="21"/>
        </w:rPr>
        <w:t>±5mm，</w:t>
      </w:r>
      <w:r>
        <w:rPr>
          <w:rFonts w:hint="eastAsia" w:ascii="宋体" w:hAnsi="宋体" w:eastAsia="宋体" w:cs="宋体"/>
          <w:szCs w:val="21"/>
        </w:rPr>
        <w:t>高度可调节，适用于成人及中小学生使用；</w:t>
      </w:r>
    </w:p>
    <w:p w14:paraId="4671F23D">
      <w:pPr>
        <w:pStyle w:val="6"/>
        <w:numPr>
          <w:ilvl w:val="0"/>
          <w:numId w:val="41"/>
        </w:numPr>
        <w:snapToGrid w:val="0"/>
        <w:spacing w:line="360" w:lineRule="auto"/>
        <w:ind w:firstLineChars="0"/>
        <w:rPr>
          <w:rFonts w:hint="eastAsia" w:ascii="宋体" w:hAnsi="宋体" w:eastAsia="宋体" w:cs="宋体"/>
          <w:szCs w:val="21"/>
        </w:rPr>
      </w:pPr>
      <w:r>
        <w:rPr>
          <w:rFonts w:hint="eastAsia" w:ascii="宋体" w:hAnsi="宋体" w:eastAsia="宋体" w:cs="宋体"/>
          <w:szCs w:val="21"/>
        </w:rPr>
        <w:t>采用配重箱体式结构，</w:t>
      </w:r>
      <w:r>
        <w:rPr>
          <w:rFonts w:hint="eastAsia" w:ascii="宋体" w:hAnsi="宋体" w:eastAsia="宋体"/>
          <w:szCs w:val="21"/>
        </w:rPr>
        <w:t>底座尺寸不小于600×450×110mm，内置移动轮，</w:t>
      </w:r>
      <w:r>
        <w:rPr>
          <w:rFonts w:hint="eastAsia" w:ascii="宋体" w:hAnsi="宋体" w:eastAsia="宋体" w:cs="宋体"/>
          <w:szCs w:val="21"/>
        </w:rPr>
        <w:t>可随时移动搬运；</w:t>
      </w:r>
    </w:p>
    <w:p w14:paraId="32A855DB">
      <w:pPr>
        <w:pStyle w:val="6"/>
        <w:numPr>
          <w:ilvl w:val="0"/>
          <w:numId w:val="41"/>
        </w:numPr>
        <w:snapToGrid w:val="0"/>
        <w:spacing w:line="360" w:lineRule="auto"/>
        <w:ind w:firstLineChars="0"/>
        <w:rPr>
          <w:rFonts w:hint="eastAsia" w:ascii="宋体" w:hAnsi="宋体" w:eastAsia="宋体" w:cs="宋体"/>
          <w:szCs w:val="21"/>
        </w:rPr>
      </w:pPr>
      <w:r>
        <w:rPr>
          <w:rFonts w:hint="eastAsia" w:ascii="宋体" w:hAnsi="宋体" w:eastAsia="宋体" w:cs="宋体"/>
          <w:szCs w:val="21"/>
        </w:rPr>
        <w:t>球网采用纤维材料，符合GB/T 19851.13标准要求；</w:t>
      </w:r>
    </w:p>
    <w:p w14:paraId="185B5261">
      <w:pPr>
        <w:pStyle w:val="6"/>
        <w:numPr>
          <w:ilvl w:val="0"/>
          <w:numId w:val="41"/>
        </w:numPr>
        <w:snapToGrid w:val="0"/>
        <w:spacing w:line="360" w:lineRule="auto"/>
        <w:ind w:firstLineChars="0"/>
        <w:rPr>
          <w:rFonts w:hint="eastAsia" w:ascii="宋体" w:hAnsi="宋体" w:eastAsia="宋体" w:cs="宋体"/>
          <w:szCs w:val="21"/>
        </w:rPr>
      </w:pPr>
      <w:r>
        <w:rPr>
          <w:rFonts w:hint="eastAsia" w:ascii="宋体" w:hAnsi="宋体" w:eastAsia="宋体"/>
          <w:szCs w:val="21"/>
        </w:rPr>
        <w:t>外表采用静电喷塑工艺；可有效防晒、雨水、风沙、等自然因素造成的侵蚀。色泽均匀亮丽持久，器材配有不锈钢标识牌，提示相关注意事项和出厂日期；</w:t>
      </w:r>
    </w:p>
    <w:p w14:paraId="231D2B1D">
      <w:pPr>
        <w:pStyle w:val="7"/>
        <w:widowControl/>
        <w:numPr>
          <w:ilvl w:val="0"/>
          <w:numId w:val="41"/>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1A4CF466">
      <w:pPr>
        <w:pStyle w:val="6"/>
        <w:numPr>
          <w:ilvl w:val="0"/>
          <w:numId w:val="1"/>
        </w:numPr>
        <w:snapToGrid w:val="0"/>
        <w:spacing w:line="360" w:lineRule="auto"/>
        <w:ind w:firstLineChars="0"/>
        <w:rPr>
          <w:rFonts w:hint="eastAsia" w:ascii="宋体" w:hAnsi="宋体" w:eastAsia="宋体"/>
          <w:b/>
          <w:bCs/>
          <w:sz w:val="24"/>
          <w:szCs w:val="24"/>
        </w:rPr>
      </w:pPr>
      <w:r>
        <w:rPr>
          <w:rFonts w:hint="eastAsia" w:ascii="宋体" w:hAnsi="宋体" w:eastAsia="宋体"/>
          <w:b/>
          <w:bCs/>
          <w:sz w:val="24"/>
          <w:szCs w:val="24"/>
        </w:rPr>
        <w:t>室外乒乓球台</w:t>
      </w:r>
    </w:p>
    <w:p w14:paraId="09E817B4">
      <w:pPr>
        <w:numPr>
          <w:ilvl w:val="0"/>
          <w:numId w:val="42"/>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管材规格不小于φ60mm×3mm；</w:t>
      </w:r>
    </w:p>
    <w:p w14:paraId="023E7670">
      <w:pPr>
        <w:numPr>
          <w:ilvl w:val="0"/>
          <w:numId w:val="42"/>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乒乓球台面符合GB 19272-2011中5.12.1.4的要求，</w:t>
      </w:r>
      <w:r>
        <w:rPr>
          <w:rFonts w:hint="eastAsia" w:ascii="宋体" w:hAnsi="宋体" w:eastAsia="宋体"/>
          <w:szCs w:val="21"/>
        </w:rPr>
        <w:t>台长2740-2745mm，台宽1525±3mm，台高760±3mm；</w:t>
      </w:r>
    </w:p>
    <w:p w14:paraId="0BF97737">
      <w:pPr>
        <w:numPr>
          <w:ilvl w:val="0"/>
          <w:numId w:val="42"/>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台面支撑框规格不小于φ4</w:t>
      </w:r>
      <w:r>
        <w:rPr>
          <w:rFonts w:ascii="宋体" w:hAnsi="宋体" w:eastAsia="宋体" w:cs="Times New Roman"/>
          <w:szCs w:val="21"/>
        </w:rPr>
        <w:t>2</w:t>
      </w:r>
      <w:r>
        <w:rPr>
          <w:rFonts w:hint="eastAsia" w:ascii="宋体" w:hAnsi="宋体" w:eastAsia="宋体" w:cs="Times New Roman"/>
          <w:szCs w:val="21"/>
        </w:rPr>
        <w:t>×2mm或</w:t>
      </w:r>
      <w:r>
        <w:rPr>
          <w:rFonts w:ascii="宋体" w:hAnsi="宋体" w:eastAsia="宋体" w:cs="Times New Roman"/>
          <w:szCs w:val="21"/>
        </w:rPr>
        <w:t>等强度钢管</w:t>
      </w:r>
      <w:r>
        <w:rPr>
          <w:rFonts w:hint="eastAsia" w:ascii="宋体" w:hAnsi="宋体" w:eastAsia="宋体"/>
          <w:szCs w:val="21"/>
        </w:rPr>
        <w:t>；</w:t>
      </w:r>
    </w:p>
    <w:p w14:paraId="070916E0">
      <w:pPr>
        <w:numPr>
          <w:ilvl w:val="0"/>
          <w:numId w:val="42"/>
        </w:numPr>
        <w:snapToGrid w:val="0"/>
        <w:spacing w:line="360" w:lineRule="auto"/>
        <w:rPr>
          <w:rFonts w:hint="eastAsia" w:ascii="宋体" w:hAnsi="宋体" w:eastAsia="宋体" w:cs="Times New Roman"/>
          <w:szCs w:val="21"/>
        </w:rPr>
      </w:pPr>
      <w:r>
        <w:rPr>
          <w:rFonts w:hint="eastAsia" w:ascii="宋体" w:hAnsi="宋体" w:eastAsia="宋体" w:cs="Times New Roman"/>
          <w:szCs w:val="21"/>
        </w:rPr>
        <w:t>台面采用SMC片状模塑料，整体高温模压一次成型。台面面板厚度不小于4.5 mm，翻边宽度不小于50mm，翻边厚度不小于7mm。面板背面必须带加强筋并在内部预埋螺丝，加强筋厚度不低于4mm，采用“井”字形加强筋的，加强筋呈小长方形均匀排列，每个小长方形尺寸不大于160×140mm。球台与支撑框架安装位置应符合GB</w:t>
      </w:r>
      <w:r>
        <w:rPr>
          <w:rFonts w:ascii="宋体" w:hAnsi="宋体" w:eastAsia="宋体" w:cs="Times New Roman"/>
          <w:szCs w:val="21"/>
        </w:rPr>
        <w:t>1</w:t>
      </w:r>
      <w:r>
        <w:rPr>
          <w:rFonts w:hint="eastAsia" w:ascii="宋体" w:hAnsi="宋体" w:eastAsia="宋体" w:cs="Times New Roman"/>
          <w:szCs w:val="21"/>
        </w:rPr>
        <w:t>9272-2011中图22的尺寸要求，两块台板与主架的连接均采用四角连接</w:t>
      </w:r>
      <w:r>
        <w:rPr>
          <w:rFonts w:hint="eastAsia" w:ascii="宋体" w:hAnsi="宋体" w:eastAsia="宋体"/>
          <w:szCs w:val="21"/>
        </w:rPr>
        <w:t>；</w:t>
      </w:r>
    </w:p>
    <w:p w14:paraId="11AAE570">
      <w:pPr>
        <w:pStyle w:val="7"/>
        <w:widowControl/>
        <w:numPr>
          <w:ilvl w:val="0"/>
          <w:numId w:val="42"/>
        </w:numPr>
        <w:adjustRightInd w:val="0"/>
        <w:snapToGrid w:val="0"/>
        <w:spacing w:line="360" w:lineRule="auto"/>
        <w:ind w:firstLineChars="0"/>
        <w:jc w:val="left"/>
        <w:rPr>
          <w:rFonts w:hint="eastAsia" w:ascii="宋体" w:hAnsi="宋体"/>
          <w:szCs w:val="21"/>
        </w:rPr>
      </w:pPr>
      <w:r>
        <w:rPr>
          <w:rFonts w:hint="eastAsia" w:ascii="宋体" w:hAnsi="宋体" w:cs="仿宋_GB2312"/>
          <w:sz w:val="24"/>
          <w:szCs w:val="24"/>
        </w:rPr>
        <w:t>●</w:t>
      </w:r>
      <w:r>
        <w:rPr>
          <w:rFonts w:hint="eastAsia" w:ascii="宋体" w:hAnsi="宋体"/>
          <w:szCs w:val="21"/>
        </w:rPr>
        <w:t>所投产品取得国家认证认可监督管理委员会批准的第三方认证机构颁发的认证证书和确认函。</w:t>
      </w:r>
    </w:p>
    <w:p w14:paraId="338AB578">
      <w:r>
        <w:rPr>
          <w:rFonts w:hint="eastAsia" w:ascii="宋体" w:hAnsi="宋体"/>
          <w:szCs w:val="21"/>
          <w:lang w:val="en-US" w:eastAsia="zh-CN"/>
        </w:rPr>
        <w:t xml:space="preserve">  </w:t>
      </w:r>
      <w:r>
        <w:rPr>
          <w:rFonts w:hint="eastAsia" w:ascii="宋体" w:hAnsi="宋体" w:cs="宋体"/>
          <w:color w:val="auto"/>
          <w:highlight w:val="none"/>
          <w:lang w:val="en-US" w:eastAsia="zh-CN"/>
        </w:rPr>
        <w:t>样品要求：</w:t>
      </w:r>
      <w:r>
        <w:rPr>
          <w:rFonts w:hint="eastAsia" w:ascii="宋体" w:hAnsi="宋体" w:cs="宋体"/>
          <w:b/>
          <w:bCs/>
          <w:color w:val="auto"/>
          <w:highlight w:val="none"/>
          <w:lang w:val="en-US" w:eastAsia="zh-CN"/>
        </w:rPr>
        <w:t>不小于50cm*50cm围网网片样品一块。应注明投标人信息</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5737D"/>
    <w:multiLevelType w:val="multilevel"/>
    <w:tmpl w:val="098573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8F600F"/>
    <w:multiLevelType w:val="multilevel"/>
    <w:tmpl w:val="098F600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F86FE3"/>
    <w:multiLevelType w:val="multilevel"/>
    <w:tmpl w:val="0AF86F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46721C"/>
    <w:multiLevelType w:val="multilevel"/>
    <w:tmpl w:val="1046721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97128D"/>
    <w:multiLevelType w:val="multilevel"/>
    <w:tmpl w:val="1197128D"/>
    <w:lvl w:ilvl="0" w:tentative="0">
      <w:start w:val="1"/>
      <w:numFmt w:val="decimal"/>
      <w:lvlText w:val="%1)"/>
      <w:lvlJc w:val="left"/>
      <w:pPr>
        <w:ind w:left="3256" w:hanging="420"/>
      </w:p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5">
    <w:nsid w:val="128A6BE6"/>
    <w:multiLevelType w:val="multilevel"/>
    <w:tmpl w:val="128A6BE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AF43308"/>
    <w:multiLevelType w:val="multilevel"/>
    <w:tmpl w:val="1AF4330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75542C"/>
    <w:multiLevelType w:val="multilevel"/>
    <w:tmpl w:val="1D7554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D722A5"/>
    <w:multiLevelType w:val="multilevel"/>
    <w:tmpl w:val="2AD722A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140F24"/>
    <w:multiLevelType w:val="multilevel"/>
    <w:tmpl w:val="2D140F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EA82298"/>
    <w:multiLevelType w:val="multilevel"/>
    <w:tmpl w:val="2EA82298"/>
    <w:lvl w:ilvl="0" w:tentative="0">
      <w:start w:val="1"/>
      <w:numFmt w:val="decimal"/>
      <w:lvlText w:val="%1)"/>
      <w:lvlJc w:val="left"/>
      <w:pPr>
        <w:ind w:left="729" w:hanging="420"/>
      </w:p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11">
    <w:nsid w:val="31205E87"/>
    <w:multiLevelType w:val="multilevel"/>
    <w:tmpl w:val="31205E8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885BC7"/>
    <w:multiLevelType w:val="multilevel"/>
    <w:tmpl w:val="32885BC7"/>
    <w:lvl w:ilvl="0" w:tentative="0">
      <w:start w:val="1"/>
      <w:numFmt w:val="decimal"/>
      <w:lvlText w:val="%1)"/>
      <w:lvlJc w:val="left"/>
      <w:pPr>
        <w:ind w:left="420" w:hanging="420"/>
      </w:p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5C20C16"/>
    <w:multiLevelType w:val="multilevel"/>
    <w:tmpl w:val="35C20C1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
    <w:nsid w:val="367E37C8"/>
    <w:multiLevelType w:val="multilevel"/>
    <w:tmpl w:val="367E37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DB434B"/>
    <w:multiLevelType w:val="multilevel"/>
    <w:tmpl w:val="39DB43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EC97629"/>
    <w:multiLevelType w:val="multilevel"/>
    <w:tmpl w:val="3EC976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07A4704"/>
    <w:multiLevelType w:val="multilevel"/>
    <w:tmpl w:val="407A470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4B21441"/>
    <w:multiLevelType w:val="multilevel"/>
    <w:tmpl w:val="44B2144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D70E78"/>
    <w:multiLevelType w:val="multilevel"/>
    <w:tmpl w:val="45D70E7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8A2185"/>
    <w:multiLevelType w:val="multilevel"/>
    <w:tmpl w:val="4B8A218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1">
    <w:nsid w:val="4C645043"/>
    <w:multiLevelType w:val="multilevel"/>
    <w:tmpl w:val="4C645043"/>
    <w:lvl w:ilvl="0" w:tentative="0">
      <w:start w:val="1"/>
      <w:numFmt w:val="decimal"/>
      <w:lvlText w:val="%1)"/>
      <w:lvlJc w:val="left"/>
      <w:pPr>
        <w:ind w:left="729" w:hanging="420"/>
      </w:p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22">
    <w:nsid w:val="4EF97950"/>
    <w:multiLevelType w:val="multilevel"/>
    <w:tmpl w:val="4EF979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0162834"/>
    <w:multiLevelType w:val="multilevel"/>
    <w:tmpl w:val="501628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0A17439"/>
    <w:multiLevelType w:val="multilevel"/>
    <w:tmpl w:val="50A174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19C1250"/>
    <w:multiLevelType w:val="multilevel"/>
    <w:tmpl w:val="519C12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3593362"/>
    <w:multiLevelType w:val="multilevel"/>
    <w:tmpl w:val="535933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528296C"/>
    <w:multiLevelType w:val="multilevel"/>
    <w:tmpl w:val="5528296C"/>
    <w:lvl w:ilvl="0" w:tentative="0">
      <w:start w:val="1"/>
      <w:numFmt w:val="decimal"/>
      <w:lvlText w:val="%1)"/>
      <w:lvlJc w:val="left"/>
      <w:pPr>
        <w:ind w:left="729" w:hanging="420"/>
      </w:p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28">
    <w:nsid w:val="58D951EF"/>
    <w:multiLevelType w:val="multilevel"/>
    <w:tmpl w:val="58D95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04F04B0"/>
    <w:multiLevelType w:val="multilevel"/>
    <w:tmpl w:val="604F04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39925B3"/>
    <w:multiLevelType w:val="multilevel"/>
    <w:tmpl w:val="639925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56773F0"/>
    <w:multiLevelType w:val="multilevel"/>
    <w:tmpl w:val="656773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62D243B"/>
    <w:multiLevelType w:val="multilevel"/>
    <w:tmpl w:val="662D243B"/>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A091B97"/>
    <w:multiLevelType w:val="multilevel"/>
    <w:tmpl w:val="6A091B97"/>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BBA1189"/>
    <w:multiLevelType w:val="multilevel"/>
    <w:tmpl w:val="6BBA11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0E96D23"/>
    <w:multiLevelType w:val="multilevel"/>
    <w:tmpl w:val="70E96D2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2310ED0"/>
    <w:multiLevelType w:val="multilevel"/>
    <w:tmpl w:val="72310E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2D702C6"/>
    <w:multiLevelType w:val="multilevel"/>
    <w:tmpl w:val="72D702C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6381FC9"/>
    <w:multiLevelType w:val="multilevel"/>
    <w:tmpl w:val="76381FC9"/>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A961C42"/>
    <w:multiLevelType w:val="multilevel"/>
    <w:tmpl w:val="7A961C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B1765B0"/>
    <w:multiLevelType w:val="multilevel"/>
    <w:tmpl w:val="7B1765B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F94271A"/>
    <w:multiLevelType w:val="multilevel"/>
    <w:tmpl w:val="7F9427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22"/>
  </w:num>
  <w:num w:numId="4">
    <w:abstractNumId w:val="1"/>
  </w:num>
  <w:num w:numId="5">
    <w:abstractNumId w:val="35"/>
  </w:num>
  <w:num w:numId="6">
    <w:abstractNumId w:val="8"/>
  </w:num>
  <w:num w:numId="7">
    <w:abstractNumId w:val="18"/>
  </w:num>
  <w:num w:numId="8">
    <w:abstractNumId w:val="25"/>
  </w:num>
  <w:num w:numId="9">
    <w:abstractNumId w:val="17"/>
  </w:num>
  <w:num w:numId="10">
    <w:abstractNumId w:val="40"/>
  </w:num>
  <w:num w:numId="11">
    <w:abstractNumId w:val="6"/>
  </w:num>
  <w:num w:numId="12">
    <w:abstractNumId w:val="19"/>
  </w:num>
  <w:num w:numId="13">
    <w:abstractNumId w:val="11"/>
  </w:num>
  <w:num w:numId="14">
    <w:abstractNumId w:val="39"/>
  </w:num>
  <w:num w:numId="15">
    <w:abstractNumId w:val="31"/>
  </w:num>
  <w:num w:numId="16">
    <w:abstractNumId w:val="23"/>
  </w:num>
  <w:num w:numId="17">
    <w:abstractNumId w:val="37"/>
  </w:num>
  <w:num w:numId="18">
    <w:abstractNumId w:val="7"/>
  </w:num>
  <w:num w:numId="19">
    <w:abstractNumId w:val="26"/>
  </w:num>
  <w:num w:numId="20">
    <w:abstractNumId w:val="9"/>
  </w:num>
  <w:num w:numId="21">
    <w:abstractNumId w:val="15"/>
  </w:num>
  <w:num w:numId="22">
    <w:abstractNumId w:val="2"/>
  </w:num>
  <w:num w:numId="23">
    <w:abstractNumId w:val="29"/>
  </w:num>
  <w:num w:numId="24">
    <w:abstractNumId w:val="14"/>
  </w:num>
  <w:num w:numId="25">
    <w:abstractNumId w:val="34"/>
  </w:num>
  <w:num w:numId="26">
    <w:abstractNumId w:val="36"/>
  </w:num>
  <w:num w:numId="27">
    <w:abstractNumId w:val="24"/>
  </w:num>
  <w:num w:numId="28">
    <w:abstractNumId w:val="12"/>
  </w:num>
  <w:num w:numId="29">
    <w:abstractNumId w:val="16"/>
  </w:num>
  <w:num w:numId="30">
    <w:abstractNumId w:val="41"/>
  </w:num>
  <w:num w:numId="31">
    <w:abstractNumId w:val="4"/>
  </w:num>
  <w:num w:numId="32">
    <w:abstractNumId w:val="27"/>
  </w:num>
  <w:num w:numId="33">
    <w:abstractNumId w:val="20"/>
  </w:num>
  <w:num w:numId="34">
    <w:abstractNumId w:val="13"/>
  </w:num>
  <w:num w:numId="35">
    <w:abstractNumId w:val="10"/>
  </w:num>
  <w:num w:numId="36">
    <w:abstractNumId w:val="30"/>
  </w:num>
  <w:num w:numId="37">
    <w:abstractNumId w:val="21"/>
  </w:num>
  <w:num w:numId="38">
    <w:abstractNumId w:val="38"/>
  </w:num>
  <w:num w:numId="39">
    <w:abstractNumId w:val="33"/>
  </w:num>
  <w:num w:numId="40">
    <w:abstractNumId w:val="32"/>
  </w:num>
  <w:num w:numId="41">
    <w:abstractNumId w:val="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E7A35"/>
    <w:rsid w:val="06314D1E"/>
    <w:rsid w:val="6B4E7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rPr>
      <w:rFonts w:ascii="Calibri" w:hAnsi="Calibri"/>
      <w:szCs w:val="22"/>
    </w:rPr>
  </w:style>
  <w:style w:type="paragraph" w:customStyle="1" w:styleId="7">
    <w:name w:val="列表段落1"/>
    <w:basedOn w:val="1"/>
    <w:qFormat/>
    <w:uiPriority w:val="0"/>
    <w:pPr>
      <w:ind w:firstLine="420" w:firstLineChars="200"/>
    </w:pPr>
    <w:rPr>
      <w:rFonts w:ascii="Calibri" w:hAnsi="Calibri" w:eastAsia="宋体" w:cs="Times New Roman"/>
    </w:rPr>
  </w:style>
  <w:style w:type="paragraph" w:customStyle="1" w:styleId="8">
    <w:name w:val="列出段落1"/>
    <w:basedOn w:val="1"/>
    <w:qFormat/>
    <w:uiPriority w:val="34"/>
    <w:pPr>
      <w:ind w:firstLine="420" w:firstLineChars="200"/>
    </w:pPr>
    <w:rPr>
      <w:rFonts w:ascii="Times New Roman" w:hAnsi="Times New Roman" w:eastAsia="宋体" w:cs="Times New Roman"/>
      <w:color w:val="000000"/>
      <w:kern w:val="0"/>
      <w:szCs w:val="24"/>
    </w:rPr>
  </w:style>
  <w:style w:type="paragraph" w:customStyle="1" w:styleId="9">
    <w:name w:val="Table Paragraph"/>
    <w:basedOn w:val="1"/>
    <w:qFormat/>
    <w:uiPriority w:val="1"/>
    <w:rPr>
      <w:rFonts w:ascii="宋体" w:hAnsi="宋体" w:eastAsia="宋体" w:cs="宋体"/>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2024-12-04T06:35:00Z</dcterms:created>
  <dc:creator>╰LY F╯</dc:creator>
  <cp:lastModifiedBy>╰LY F╯</cp:lastModifiedBy>
  <dcterms:modified xsi:type="dcterms:W3CDTF">2024-12-04T06:36:21Z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7CE290805C0D4137A1DF7A2EFC1E6932_11</vt:lpwstr>
  </property>
</Properties>
</file>