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3CEC6C">
      <w:pPr>
        <w:spacing w:line="312" w:lineRule="auto"/>
        <w:ind w:right="105"/>
        <w:jc w:val="center"/>
        <w:rPr>
          <w:rFonts w:hint="eastAsia"/>
          <w:sz w:val="30"/>
          <w:szCs w:val="30"/>
        </w:rPr>
      </w:pPr>
      <w:r>
        <w:rPr>
          <w:rFonts w:hint="eastAsia"/>
          <w:sz w:val="30"/>
          <w:szCs w:val="30"/>
        </w:rPr>
        <w:t>河南省福利彩票发行中心（河南省养老事业发展中心）生产二机房设备托管服务项目成交结果公告</w:t>
      </w:r>
    </w:p>
    <w:p w14:paraId="19C0CFC9">
      <w:pPr>
        <w:spacing w:line="276" w:lineRule="auto"/>
        <w:rPr>
          <w:rFonts w:ascii="宋体" w:hAnsi="宋体" w:eastAsia="宋体"/>
          <w:sz w:val="24"/>
          <w:szCs w:val="24"/>
        </w:rPr>
      </w:pPr>
      <w:r>
        <w:rPr>
          <w:rFonts w:hint="eastAsia" w:ascii="宋体" w:hAnsi="宋体" w:eastAsia="宋体"/>
          <w:color w:val="444444"/>
          <w:sz w:val="24"/>
          <w:szCs w:val="24"/>
        </w:rPr>
        <w:t>一、项目基本情况</w:t>
      </w:r>
      <w:bookmarkStart w:id="0" w:name="_GoBack"/>
      <w:bookmarkEnd w:id="0"/>
    </w:p>
    <w:p w14:paraId="5A18BB4E">
      <w:pPr>
        <w:spacing w:line="276" w:lineRule="auto"/>
        <w:ind w:firstLine="424" w:firstLineChars="177"/>
        <w:rPr>
          <w:rFonts w:hint="default" w:ascii="宋体" w:hAnsi="宋体" w:eastAsiaTheme="minorEastAsia"/>
          <w:sz w:val="24"/>
          <w:szCs w:val="24"/>
          <w:lang w:val="en-US" w:eastAsia="zh-CN"/>
        </w:rPr>
      </w:pPr>
      <w:r>
        <w:rPr>
          <w:rFonts w:hint="eastAsia" w:ascii="宋体" w:hAnsi="宋体" w:eastAsia="宋体"/>
          <w:sz w:val="24"/>
          <w:szCs w:val="24"/>
        </w:rPr>
        <w:t>1、项目编号：</w:t>
      </w:r>
      <w:r>
        <w:rPr>
          <w:rFonts w:hint="eastAsia"/>
          <w:sz w:val="24"/>
          <w:szCs w:val="24"/>
        </w:rPr>
        <w:t>豫财单一采购-202</w:t>
      </w:r>
      <w:r>
        <w:rPr>
          <w:rFonts w:hint="eastAsia"/>
          <w:sz w:val="24"/>
          <w:szCs w:val="24"/>
          <w:lang w:val="en-US" w:eastAsia="zh-CN"/>
        </w:rPr>
        <w:t>5-64</w:t>
      </w:r>
    </w:p>
    <w:p w14:paraId="08BB9FAD">
      <w:pPr>
        <w:spacing w:line="276" w:lineRule="auto"/>
        <w:ind w:firstLine="424" w:firstLineChars="177"/>
        <w:rPr>
          <w:rFonts w:ascii="宋体" w:hAnsi="宋体" w:eastAsia="宋体"/>
          <w:sz w:val="24"/>
          <w:szCs w:val="24"/>
        </w:rPr>
      </w:pPr>
      <w:r>
        <w:rPr>
          <w:rFonts w:hint="eastAsia" w:ascii="宋体" w:hAnsi="宋体" w:eastAsia="宋体"/>
          <w:sz w:val="24"/>
          <w:szCs w:val="24"/>
        </w:rPr>
        <w:t>2、项目名称：河南省福利彩票发行中心（河南省养老事业发展中心）</w:t>
      </w:r>
      <w:r>
        <w:rPr>
          <w:rFonts w:hint="eastAsia"/>
          <w:sz w:val="24"/>
          <w:szCs w:val="24"/>
        </w:rPr>
        <w:t>生产二机房设备托管服务</w:t>
      </w:r>
      <w:r>
        <w:rPr>
          <w:rFonts w:hint="eastAsia" w:ascii="宋体" w:hAnsi="宋体" w:eastAsia="宋体"/>
          <w:sz w:val="24"/>
          <w:szCs w:val="24"/>
        </w:rPr>
        <w:t>项目</w:t>
      </w:r>
    </w:p>
    <w:p w14:paraId="67AB54D7">
      <w:pPr>
        <w:spacing w:line="276" w:lineRule="auto"/>
        <w:ind w:firstLine="424" w:firstLineChars="177"/>
        <w:rPr>
          <w:rFonts w:hint="default" w:ascii="宋体" w:hAnsi="宋体" w:eastAsia="宋体"/>
          <w:sz w:val="24"/>
          <w:szCs w:val="24"/>
          <w:lang w:val="en-US" w:eastAsia="zh-CN"/>
        </w:rPr>
      </w:pPr>
      <w:r>
        <w:rPr>
          <w:rFonts w:hint="eastAsia" w:ascii="宋体" w:hAnsi="宋体" w:eastAsia="宋体"/>
          <w:sz w:val="24"/>
          <w:szCs w:val="24"/>
        </w:rPr>
        <w:t>3、采购方式</w:t>
      </w:r>
      <w:r>
        <w:rPr>
          <w:rFonts w:ascii="宋体" w:hAnsi="宋体" w:eastAsia="宋体"/>
          <w:sz w:val="24"/>
          <w:szCs w:val="24"/>
        </w:rPr>
        <w:t>：</w:t>
      </w:r>
      <w:r>
        <w:rPr>
          <w:rFonts w:hint="eastAsia" w:ascii="宋体" w:hAnsi="宋体" w:eastAsia="宋体"/>
          <w:sz w:val="24"/>
          <w:szCs w:val="24"/>
          <w:lang w:val="en-US" w:eastAsia="zh-CN"/>
        </w:rPr>
        <w:t>单一来源采购</w:t>
      </w:r>
    </w:p>
    <w:p w14:paraId="12A0B86D">
      <w:pPr>
        <w:spacing w:line="276" w:lineRule="auto"/>
        <w:ind w:firstLine="424" w:firstLineChars="177"/>
        <w:rPr>
          <w:rFonts w:ascii="宋体" w:hAnsi="宋体" w:eastAsia="宋体"/>
          <w:sz w:val="24"/>
          <w:szCs w:val="24"/>
        </w:rPr>
      </w:pPr>
      <w:r>
        <w:rPr>
          <w:rFonts w:hint="eastAsia" w:ascii="宋体" w:hAnsi="宋体" w:eastAsia="宋体"/>
          <w:sz w:val="24"/>
          <w:szCs w:val="24"/>
        </w:rPr>
        <w:t>4、</w:t>
      </w:r>
      <w:r>
        <w:rPr>
          <w:rFonts w:hint="eastAsia" w:ascii="宋体" w:hAnsi="宋体" w:eastAsia="宋体" w:cs="宋体"/>
          <w:bCs/>
          <w:color w:val="000000"/>
          <w:kern w:val="0"/>
          <w:sz w:val="24"/>
          <w:szCs w:val="24"/>
        </w:rPr>
        <w:t>评审</w:t>
      </w:r>
      <w:r>
        <w:rPr>
          <w:rFonts w:hint="eastAsia" w:ascii="宋体" w:hAnsi="宋体" w:eastAsia="宋体" w:cs="宋体"/>
          <w:bCs/>
          <w:color w:val="000000"/>
          <w:kern w:val="0"/>
          <w:sz w:val="24"/>
          <w:szCs w:val="24"/>
          <w:lang w:val="en-US" w:eastAsia="zh-CN"/>
        </w:rPr>
        <w:t>日期</w:t>
      </w:r>
      <w:r>
        <w:rPr>
          <w:rFonts w:hint="eastAsia" w:ascii="宋体" w:hAnsi="宋体" w:eastAsia="宋体" w:cs="宋体"/>
          <w:bCs/>
          <w:color w:val="000000"/>
          <w:kern w:val="0"/>
          <w:sz w:val="24"/>
          <w:szCs w:val="24"/>
        </w:rPr>
        <w:t>：</w:t>
      </w:r>
      <w:r>
        <w:rPr>
          <w:rFonts w:hint="eastAsia" w:ascii="宋体" w:hAnsi="宋体" w:eastAsia="宋体" w:cs="宋体"/>
          <w:bCs/>
          <w:color w:val="000000"/>
          <w:kern w:val="0"/>
          <w:sz w:val="24"/>
          <w:szCs w:val="24"/>
          <w:lang w:eastAsia="zh-CN"/>
        </w:rPr>
        <w:t>2025</w:t>
      </w:r>
      <w:r>
        <w:rPr>
          <w:rFonts w:hint="eastAsia" w:ascii="宋体" w:hAnsi="宋体" w:eastAsia="宋体" w:cs="宋体"/>
          <w:bCs/>
          <w:color w:val="000000"/>
          <w:kern w:val="0"/>
          <w:sz w:val="24"/>
          <w:szCs w:val="24"/>
        </w:rPr>
        <w:t>年</w:t>
      </w:r>
      <w:r>
        <w:rPr>
          <w:rFonts w:hint="eastAsia" w:ascii="宋体" w:hAnsi="宋体" w:eastAsia="宋体" w:cs="宋体"/>
          <w:bCs/>
          <w:color w:val="000000"/>
          <w:kern w:val="0"/>
          <w:sz w:val="24"/>
          <w:szCs w:val="24"/>
          <w:lang w:val="en-US" w:eastAsia="zh-CN"/>
        </w:rPr>
        <w:t>6</w:t>
      </w:r>
      <w:r>
        <w:rPr>
          <w:rFonts w:hint="eastAsia" w:ascii="宋体" w:hAnsi="宋体" w:eastAsia="宋体" w:cs="宋体"/>
          <w:bCs/>
          <w:color w:val="000000"/>
          <w:kern w:val="0"/>
          <w:sz w:val="24"/>
          <w:szCs w:val="24"/>
        </w:rPr>
        <w:t>月</w:t>
      </w:r>
      <w:r>
        <w:rPr>
          <w:rFonts w:hint="eastAsia" w:ascii="宋体" w:hAnsi="宋体" w:eastAsia="宋体" w:cs="宋体"/>
          <w:bCs/>
          <w:color w:val="000000"/>
          <w:kern w:val="0"/>
          <w:sz w:val="24"/>
          <w:szCs w:val="24"/>
          <w:lang w:val="en-US" w:eastAsia="zh-CN"/>
        </w:rPr>
        <w:t>11</w:t>
      </w:r>
      <w:r>
        <w:rPr>
          <w:rFonts w:hint="eastAsia" w:ascii="宋体" w:hAnsi="宋体" w:eastAsia="宋体" w:cs="宋体"/>
          <w:bCs/>
          <w:color w:val="000000"/>
          <w:kern w:val="0"/>
          <w:sz w:val="24"/>
          <w:szCs w:val="24"/>
        </w:rPr>
        <w:t>日</w:t>
      </w:r>
    </w:p>
    <w:p w14:paraId="58C6F7BD">
      <w:pPr>
        <w:spacing w:line="276" w:lineRule="auto"/>
        <w:rPr>
          <w:rFonts w:ascii="宋体" w:hAnsi="宋体" w:eastAsia="宋体" w:cs="宋体"/>
          <w:color w:val="000000" w:themeColor="text1"/>
          <w:sz w:val="24"/>
          <w:szCs w:val="24"/>
        </w:rPr>
      </w:pPr>
      <w:r>
        <w:rPr>
          <w:rFonts w:hint="eastAsia" w:ascii="宋体" w:hAnsi="宋体" w:eastAsia="宋体"/>
          <w:sz w:val="24"/>
          <w:szCs w:val="24"/>
        </w:rPr>
        <w:t>二</w:t>
      </w:r>
      <w:r>
        <w:rPr>
          <w:rFonts w:ascii="宋体" w:hAnsi="宋体" w:eastAsia="宋体"/>
          <w:sz w:val="24"/>
          <w:szCs w:val="24"/>
        </w:rPr>
        <w:t>、</w:t>
      </w:r>
      <w:r>
        <w:rPr>
          <w:rFonts w:hint="eastAsia" w:ascii="宋体" w:hAnsi="宋体" w:eastAsia="宋体"/>
          <w:color w:val="444444"/>
          <w:sz w:val="24"/>
          <w:szCs w:val="24"/>
        </w:rPr>
        <w:t>成交情况</w:t>
      </w:r>
    </w:p>
    <w:tbl>
      <w:tblPr>
        <w:tblStyle w:val="11"/>
        <w:tblW w:w="4960" w:type="pct"/>
        <w:tblCellSpacing w:w="0" w:type="dxa"/>
        <w:tblInd w:w="0" w:type="dxa"/>
        <w:tblBorders>
          <w:top w:val="none" w:color="auto" w:sz="0" w:space="0"/>
          <w:left w:val="single" w:color="333333" w:sz="6" w:space="0"/>
          <w:bottom w:val="single" w:color="333333" w:sz="6"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590"/>
        <w:gridCol w:w="1740"/>
        <w:gridCol w:w="1620"/>
        <w:gridCol w:w="1946"/>
        <w:gridCol w:w="975"/>
        <w:gridCol w:w="638"/>
      </w:tblGrid>
      <w:tr w14:paraId="39A8F7F3">
        <w:tblPrEx>
          <w:tblBorders>
            <w:top w:val="none" w:color="auto" w:sz="0" w:space="0"/>
            <w:left w:val="single" w:color="333333" w:sz="6" w:space="0"/>
            <w:bottom w:val="single" w:color="333333" w:sz="6" w:space="0"/>
            <w:right w:val="none" w:color="auto" w:sz="0" w:space="0"/>
            <w:insideH w:val="none" w:color="auto" w:sz="0" w:space="0"/>
            <w:insideV w:val="none" w:color="auto" w:sz="0" w:space="0"/>
          </w:tblBorders>
          <w:tblCellMar>
            <w:top w:w="0" w:type="dxa"/>
            <w:left w:w="0" w:type="dxa"/>
            <w:bottom w:w="0" w:type="dxa"/>
            <w:right w:w="0" w:type="dxa"/>
          </w:tblCellMar>
        </w:tblPrEx>
        <w:trPr>
          <w:trHeight w:val="415" w:hRule="atLeast"/>
          <w:tblCellSpacing w:w="0" w:type="dxa"/>
        </w:trPr>
        <w:tc>
          <w:tcPr>
            <w:tcW w:w="934" w:type="pct"/>
            <w:tcBorders>
              <w:top w:val="single" w:color="333333" w:sz="6" w:space="0"/>
              <w:right w:val="single" w:color="333333" w:sz="6" w:space="0"/>
            </w:tcBorders>
            <w:vAlign w:val="center"/>
          </w:tcPr>
          <w:p w14:paraId="782397EE">
            <w:pPr>
              <w:widowControl/>
              <w:spacing w:line="276" w:lineRule="auto"/>
              <w:jc w:val="center"/>
              <w:rPr>
                <w:rFonts w:ascii="宋体" w:hAnsi="宋体" w:eastAsia="宋体" w:cs="宋体"/>
                <w:color w:val="444444"/>
                <w:kern w:val="0"/>
                <w:sz w:val="24"/>
                <w:szCs w:val="24"/>
              </w:rPr>
            </w:pPr>
            <w:r>
              <w:rPr>
                <w:rFonts w:hint="eastAsia" w:ascii="宋体" w:hAnsi="宋体" w:eastAsia="宋体" w:cs="宋体"/>
                <w:color w:val="444444"/>
                <w:kern w:val="0"/>
                <w:sz w:val="24"/>
                <w:szCs w:val="24"/>
              </w:rPr>
              <w:t>包号</w:t>
            </w:r>
          </w:p>
        </w:tc>
        <w:tc>
          <w:tcPr>
            <w:tcW w:w="1022" w:type="pct"/>
            <w:tcBorders>
              <w:top w:val="single" w:color="333333" w:sz="6" w:space="0"/>
              <w:right w:val="single" w:color="333333" w:sz="6" w:space="0"/>
            </w:tcBorders>
            <w:vAlign w:val="center"/>
          </w:tcPr>
          <w:p w14:paraId="1CD5001B">
            <w:pPr>
              <w:widowControl/>
              <w:spacing w:line="276" w:lineRule="auto"/>
              <w:jc w:val="center"/>
              <w:rPr>
                <w:rFonts w:ascii="宋体" w:hAnsi="宋体" w:eastAsia="宋体" w:cs="宋体"/>
                <w:color w:val="444444"/>
                <w:kern w:val="0"/>
                <w:sz w:val="24"/>
                <w:szCs w:val="24"/>
              </w:rPr>
            </w:pPr>
            <w:r>
              <w:rPr>
                <w:rFonts w:hint="eastAsia" w:ascii="宋体" w:hAnsi="宋体" w:eastAsia="宋体" w:cs="宋体"/>
                <w:color w:val="444444"/>
                <w:kern w:val="0"/>
                <w:sz w:val="24"/>
                <w:szCs w:val="24"/>
              </w:rPr>
              <w:t>采购内容</w:t>
            </w:r>
          </w:p>
        </w:tc>
        <w:tc>
          <w:tcPr>
            <w:tcW w:w="952" w:type="pct"/>
            <w:tcBorders>
              <w:top w:val="single" w:color="333333" w:sz="6" w:space="0"/>
              <w:right w:val="single" w:color="333333" w:sz="6" w:space="0"/>
            </w:tcBorders>
            <w:vAlign w:val="center"/>
          </w:tcPr>
          <w:p w14:paraId="6DC8C3B9">
            <w:pPr>
              <w:widowControl/>
              <w:spacing w:line="276" w:lineRule="auto"/>
              <w:jc w:val="center"/>
              <w:rPr>
                <w:rFonts w:ascii="宋体" w:hAnsi="宋体" w:eastAsia="宋体" w:cs="宋体"/>
                <w:color w:val="444444"/>
                <w:kern w:val="0"/>
                <w:sz w:val="24"/>
                <w:szCs w:val="24"/>
              </w:rPr>
            </w:pPr>
            <w:r>
              <w:rPr>
                <w:rFonts w:hint="eastAsia" w:ascii="宋体" w:hAnsi="宋体" w:eastAsia="宋体" w:cs="宋体"/>
                <w:color w:val="444444"/>
                <w:kern w:val="0"/>
                <w:sz w:val="24"/>
                <w:szCs w:val="24"/>
              </w:rPr>
              <w:t>成交人名称</w:t>
            </w:r>
          </w:p>
        </w:tc>
        <w:tc>
          <w:tcPr>
            <w:tcW w:w="1143" w:type="pct"/>
            <w:tcBorders>
              <w:top w:val="single" w:color="333333" w:sz="6" w:space="0"/>
              <w:right w:val="single" w:color="333333" w:sz="6" w:space="0"/>
            </w:tcBorders>
            <w:vAlign w:val="center"/>
          </w:tcPr>
          <w:p w14:paraId="6EB7C94D">
            <w:pPr>
              <w:widowControl/>
              <w:spacing w:line="276" w:lineRule="auto"/>
              <w:jc w:val="center"/>
              <w:rPr>
                <w:rFonts w:ascii="宋体" w:hAnsi="宋体" w:eastAsia="宋体" w:cs="宋体"/>
                <w:color w:val="444444"/>
                <w:kern w:val="0"/>
                <w:sz w:val="24"/>
                <w:szCs w:val="24"/>
              </w:rPr>
            </w:pPr>
            <w:r>
              <w:rPr>
                <w:rFonts w:hint="eastAsia" w:ascii="宋体" w:hAnsi="宋体" w:eastAsia="宋体" w:cs="宋体"/>
                <w:color w:val="444444"/>
                <w:kern w:val="0"/>
                <w:sz w:val="24"/>
                <w:szCs w:val="24"/>
              </w:rPr>
              <w:t>地址</w:t>
            </w:r>
          </w:p>
        </w:tc>
        <w:tc>
          <w:tcPr>
            <w:tcW w:w="573" w:type="pct"/>
            <w:tcBorders>
              <w:top w:val="single" w:color="333333" w:sz="6" w:space="0"/>
              <w:right w:val="single" w:color="333333" w:sz="6" w:space="0"/>
            </w:tcBorders>
            <w:vAlign w:val="center"/>
          </w:tcPr>
          <w:p w14:paraId="03FB8217">
            <w:pPr>
              <w:widowControl/>
              <w:spacing w:line="276" w:lineRule="auto"/>
              <w:jc w:val="center"/>
              <w:rPr>
                <w:rFonts w:ascii="宋体" w:hAnsi="宋体" w:eastAsia="宋体" w:cs="宋体"/>
                <w:color w:val="444444"/>
                <w:kern w:val="0"/>
                <w:sz w:val="24"/>
                <w:szCs w:val="24"/>
              </w:rPr>
            </w:pPr>
            <w:r>
              <w:rPr>
                <w:rFonts w:hint="eastAsia" w:ascii="宋体" w:hAnsi="宋体" w:eastAsia="宋体" w:cs="宋体"/>
                <w:color w:val="444444"/>
                <w:kern w:val="0"/>
                <w:sz w:val="24"/>
                <w:szCs w:val="24"/>
              </w:rPr>
              <w:t>成交金额</w:t>
            </w:r>
          </w:p>
        </w:tc>
        <w:tc>
          <w:tcPr>
            <w:tcW w:w="375" w:type="pct"/>
            <w:tcBorders>
              <w:top w:val="single" w:color="333333" w:sz="6" w:space="0"/>
              <w:right w:val="single" w:color="333333" w:sz="6" w:space="0"/>
            </w:tcBorders>
            <w:vAlign w:val="center"/>
          </w:tcPr>
          <w:p w14:paraId="037613C4">
            <w:pPr>
              <w:widowControl/>
              <w:spacing w:line="276" w:lineRule="auto"/>
              <w:jc w:val="center"/>
              <w:rPr>
                <w:rFonts w:ascii="宋体" w:hAnsi="宋体" w:eastAsia="宋体" w:cs="宋体"/>
                <w:color w:val="444444"/>
                <w:kern w:val="0"/>
                <w:sz w:val="24"/>
                <w:szCs w:val="24"/>
              </w:rPr>
            </w:pPr>
            <w:r>
              <w:rPr>
                <w:rFonts w:hint="eastAsia" w:ascii="宋体" w:hAnsi="宋体" w:eastAsia="宋体" w:cs="宋体"/>
                <w:color w:val="444444"/>
                <w:kern w:val="0"/>
                <w:sz w:val="24"/>
                <w:szCs w:val="24"/>
              </w:rPr>
              <w:t>单位</w:t>
            </w:r>
          </w:p>
        </w:tc>
      </w:tr>
      <w:tr w14:paraId="02F7589B">
        <w:tblPrEx>
          <w:tblBorders>
            <w:top w:val="none" w:color="auto" w:sz="0" w:space="0"/>
            <w:left w:val="single" w:color="333333" w:sz="6" w:space="0"/>
            <w:bottom w:val="single" w:color="333333" w:sz="6"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Merge w:val="restart"/>
            <w:tcBorders>
              <w:top w:val="single" w:color="333333" w:sz="6" w:space="0"/>
              <w:right w:val="single" w:color="333333" w:sz="6" w:space="0"/>
            </w:tcBorders>
            <w:vAlign w:val="center"/>
          </w:tcPr>
          <w:p w14:paraId="3D73CA77">
            <w:pPr>
              <w:widowControl/>
              <w:spacing w:line="276" w:lineRule="auto"/>
              <w:jc w:val="center"/>
              <w:rPr>
                <w:rFonts w:ascii="宋体" w:hAnsi="宋体" w:eastAsia="宋体" w:cs="宋体"/>
                <w:color w:val="444444"/>
                <w:kern w:val="0"/>
                <w:sz w:val="24"/>
                <w:szCs w:val="24"/>
              </w:rPr>
            </w:pPr>
            <w:r>
              <w:rPr>
                <w:rFonts w:hint="eastAsia"/>
                <w:sz w:val="24"/>
                <w:szCs w:val="24"/>
              </w:rPr>
              <w:t>豫财单一采购-202</w:t>
            </w:r>
            <w:r>
              <w:rPr>
                <w:rFonts w:hint="eastAsia"/>
                <w:sz w:val="24"/>
                <w:szCs w:val="24"/>
                <w:lang w:val="en-US" w:eastAsia="zh-CN"/>
              </w:rPr>
              <w:t>5-64</w:t>
            </w:r>
          </w:p>
        </w:tc>
        <w:tc>
          <w:tcPr>
            <w:tcW w:w="0" w:type="auto"/>
            <w:tcBorders>
              <w:top w:val="single" w:color="333333" w:sz="6" w:space="0"/>
              <w:right w:val="single" w:color="333333" w:sz="6" w:space="0"/>
            </w:tcBorders>
            <w:vAlign w:val="center"/>
          </w:tcPr>
          <w:p w14:paraId="289B6584">
            <w:pPr>
              <w:widowControl/>
              <w:spacing w:line="276" w:lineRule="auto"/>
              <w:jc w:val="center"/>
              <w:rPr>
                <w:rFonts w:ascii="宋体" w:hAnsi="宋体" w:eastAsia="宋体" w:cs="Times New Roman"/>
                <w:color w:val="000000"/>
                <w:kern w:val="0"/>
                <w:sz w:val="24"/>
                <w:szCs w:val="24"/>
              </w:rPr>
            </w:pPr>
            <w:r>
              <w:rPr>
                <w:rFonts w:hint="eastAsia" w:ascii="宋体" w:hAnsi="宋体" w:eastAsia="宋体"/>
                <w:sz w:val="24"/>
                <w:szCs w:val="24"/>
              </w:rPr>
              <w:t>河南省福利彩票发行中心（河南省养老事业发展中心）</w:t>
            </w:r>
            <w:r>
              <w:rPr>
                <w:rFonts w:hint="eastAsia"/>
                <w:sz w:val="24"/>
                <w:szCs w:val="24"/>
              </w:rPr>
              <w:t>生产二机房设备托管服务</w:t>
            </w:r>
          </w:p>
        </w:tc>
        <w:tc>
          <w:tcPr>
            <w:tcW w:w="952" w:type="pct"/>
            <w:tcBorders>
              <w:top w:val="single" w:color="333333" w:sz="6" w:space="0"/>
              <w:right w:val="single" w:color="333333" w:sz="6" w:space="0"/>
            </w:tcBorders>
            <w:vAlign w:val="center"/>
          </w:tcPr>
          <w:p w14:paraId="6BCF8A6A">
            <w:pPr>
              <w:widowControl/>
              <w:spacing w:line="276" w:lineRule="auto"/>
              <w:jc w:val="center"/>
              <w:rPr>
                <w:rFonts w:ascii="宋体" w:hAnsi="宋体" w:eastAsia="宋体" w:cs="Times New Roman"/>
                <w:color w:val="000000"/>
                <w:kern w:val="0"/>
                <w:sz w:val="24"/>
                <w:szCs w:val="24"/>
                <w:highlight w:val="none"/>
              </w:rPr>
            </w:pPr>
            <w:r>
              <w:rPr>
                <w:rFonts w:hint="eastAsia"/>
                <w:sz w:val="24"/>
                <w:szCs w:val="24"/>
              </w:rPr>
              <w:t>中国电信集团有限公司河南分公司</w:t>
            </w:r>
          </w:p>
        </w:tc>
        <w:tc>
          <w:tcPr>
            <w:tcW w:w="1143" w:type="pct"/>
            <w:tcBorders>
              <w:top w:val="single" w:color="333333" w:sz="6" w:space="0"/>
              <w:right w:val="single" w:color="333333" w:sz="6" w:space="0"/>
            </w:tcBorders>
            <w:vAlign w:val="center"/>
          </w:tcPr>
          <w:p w14:paraId="78278E89">
            <w:pPr>
              <w:widowControl/>
              <w:spacing w:line="276" w:lineRule="auto"/>
              <w:jc w:val="center"/>
              <w:rPr>
                <w:rFonts w:ascii="宋体" w:hAnsi="宋体" w:eastAsia="宋体" w:cs="Times New Roman"/>
                <w:color w:val="000000"/>
                <w:kern w:val="0"/>
                <w:sz w:val="24"/>
                <w:szCs w:val="24"/>
                <w:highlight w:val="none"/>
              </w:rPr>
            </w:pPr>
            <w:r>
              <w:rPr>
                <w:rFonts w:hint="eastAsia"/>
                <w:sz w:val="24"/>
                <w:szCs w:val="24"/>
              </w:rPr>
              <w:t>郑州市金水东路29号</w:t>
            </w:r>
          </w:p>
        </w:tc>
        <w:tc>
          <w:tcPr>
            <w:tcW w:w="573" w:type="pct"/>
            <w:tcBorders>
              <w:top w:val="single" w:color="333333" w:sz="6" w:space="0"/>
              <w:right w:val="single" w:color="333333" w:sz="6" w:space="0"/>
            </w:tcBorders>
            <w:vAlign w:val="center"/>
          </w:tcPr>
          <w:p w14:paraId="62403DC1">
            <w:pPr>
              <w:widowControl/>
              <w:spacing w:line="276" w:lineRule="auto"/>
              <w:jc w:val="center"/>
              <w:rPr>
                <w:rFonts w:ascii="宋体" w:hAnsi="宋体" w:eastAsia="宋体" w:cs="Times New Roman"/>
                <w:color w:val="000000"/>
                <w:kern w:val="0"/>
                <w:sz w:val="24"/>
                <w:szCs w:val="24"/>
                <w:highlight w:val="yellow"/>
              </w:rPr>
            </w:pPr>
            <w:r>
              <w:rPr>
                <w:rFonts w:hint="eastAsia"/>
                <w:sz w:val="24"/>
                <w:szCs w:val="24"/>
              </w:rPr>
              <w:t>112000元/单月</w:t>
            </w:r>
          </w:p>
        </w:tc>
        <w:tc>
          <w:tcPr>
            <w:tcW w:w="375" w:type="pct"/>
            <w:tcBorders>
              <w:top w:val="single" w:color="333333" w:sz="6" w:space="0"/>
              <w:right w:val="single" w:color="333333" w:sz="6" w:space="0"/>
            </w:tcBorders>
            <w:vAlign w:val="center"/>
          </w:tcPr>
          <w:p w14:paraId="483F32BA">
            <w:pPr>
              <w:widowControl/>
              <w:spacing w:line="276" w:lineRule="auto"/>
              <w:jc w:val="center"/>
              <w:rPr>
                <w:rFonts w:ascii="宋体" w:hAnsi="宋体" w:eastAsia="宋体" w:cs="宋体"/>
                <w:color w:val="444444"/>
                <w:kern w:val="0"/>
                <w:sz w:val="24"/>
                <w:szCs w:val="24"/>
              </w:rPr>
            </w:pPr>
            <w:r>
              <w:rPr>
                <w:rFonts w:hint="eastAsia"/>
                <w:sz w:val="24"/>
                <w:szCs w:val="24"/>
              </w:rPr>
              <w:t>元/单月</w:t>
            </w:r>
          </w:p>
        </w:tc>
      </w:tr>
      <w:tr w14:paraId="1380702D">
        <w:tblPrEx>
          <w:tblBorders>
            <w:top w:val="none" w:color="auto" w:sz="0" w:space="0"/>
            <w:left w:val="single" w:color="333333" w:sz="6" w:space="0"/>
            <w:bottom w:val="single" w:color="333333" w:sz="6"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Merge w:val="continue"/>
            <w:tcBorders>
              <w:top w:val="single" w:color="333333" w:sz="6" w:space="0"/>
              <w:right w:val="single" w:color="333333" w:sz="6" w:space="0"/>
            </w:tcBorders>
            <w:vAlign w:val="center"/>
          </w:tcPr>
          <w:p w14:paraId="70F19F64">
            <w:pPr>
              <w:widowControl/>
              <w:spacing w:line="276" w:lineRule="auto"/>
              <w:jc w:val="left"/>
              <w:rPr>
                <w:rFonts w:ascii="宋体" w:hAnsi="宋体" w:eastAsia="宋体" w:cs="宋体"/>
                <w:color w:val="444444"/>
                <w:kern w:val="0"/>
                <w:sz w:val="24"/>
                <w:szCs w:val="24"/>
              </w:rPr>
            </w:pPr>
          </w:p>
        </w:tc>
        <w:tc>
          <w:tcPr>
            <w:tcW w:w="0" w:type="auto"/>
            <w:gridSpan w:val="5"/>
            <w:tcBorders>
              <w:top w:val="single" w:color="333333" w:sz="6" w:space="0"/>
              <w:right w:val="single" w:color="333333" w:sz="6" w:space="0"/>
            </w:tcBorders>
            <w:vAlign w:val="center"/>
          </w:tcPr>
          <w:tbl>
            <w:tblPr>
              <w:tblStyle w:val="11"/>
              <w:tblW w:w="4900" w:type="pct"/>
              <w:jc w:val="center"/>
              <w:tblCellSpacing w:w="0" w:type="dxa"/>
              <w:tblBorders>
                <w:top w:val="dotted" w:color="DDDDDD" w:sz="6" w:space="0"/>
                <w:left w:val="dotted" w:color="DDDDDD" w:sz="6" w:space="0"/>
                <w:bottom w:val="dotted" w:color="DDDDDD" w:sz="6" w:space="0"/>
                <w:right w:val="dotted" w:color="DDDDDD" w:sz="6" w:space="0"/>
                <w:insideH w:val="none" w:color="auto" w:sz="0" w:space="0"/>
                <w:insideV w:val="none" w:color="auto" w:sz="0" w:space="0"/>
              </w:tblBorders>
              <w:tblLayout w:type="autofit"/>
              <w:tblCellMar>
                <w:top w:w="0" w:type="dxa"/>
                <w:left w:w="0" w:type="dxa"/>
                <w:bottom w:w="0" w:type="dxa"/>
                <w:right w:w="0" w:type="dxa"/>
              </w:tblCellMar>
            </w:tblPr>
            <w:tblGrid>
              <w:gridCol w:w="510"/>
              <w:gridCol w:w="1315"/>
              <w:gridCol w:w="1315"/>
              <w:gridCol w:w="1316"/>
              <w:gridCol w:w="990"/>
              <w:gridCol w:w="1305"/>
            </w:tblGrid>
            <w:tr w14:paraId="734126D4">
              <w:tblPrEx>
                <w:tblBorders>
                  <w:top w:val="dotted" w:color="DDDDDD" w:sz="6" w:space="0"/>
                  <w:left w:val="dotted" w:color="DDDDDD" w:sz="6" w:space="0"/>
                  <w:bottom w:val="dotted" w:color="DDDDDD" w:sz="6" w:space="0"/>
                  <w:right w:val="dotted" w:color="DDDDDD" w:sz="6" w:space="0"/>
                  <w:insideH w:val="none" w:color="auto" w:sz="0" w:space="0"/>
                  <w:insideV w:val="none" w:color="auto" w:sz="0" w:space="0"/>
                </w:tblBorders>
                <w:tblCellMar>
                  <w:top w:w="0" w:type="dxa"/>
                  <w:left w:w="0" w:type="dxa"/>
                  <w:bottom w:w="0" w:type="dxa"/>
                  <w:right w:w="0" w:type="dxa"/>
                </w:tblCellMar>
              </w:tblPrEx>
              <w:trPr>
                <w:trHeight w:val="415" w:hRule="atLeast"/>
                <w:tblCellSpacing w:w="0" w:type="dxa"/>
                <w:jc w:val="center"/>
              </w:trPr>
              <w:tc>
                <w:tcPr>
                  <w:tcW w:w="250" w:type="pct"/>
                  <w:tcBorders>
                    <w:top w:val="dotted" w:color="DDDDDD" w:sz="6" w:space="0"/>
                    <w:left w:val="dotted" w:color="DDDDDD" w:sz="6" w:space="0"/>
                    <w:bottom w:val="dotted" w:color="DDDDDD" w:sz="6" w:space="0"/>
                    <w:right w:val="dotted" w:color="DDDDDD" w:sz="6" w:space="0"/>
                  </w:tcBorders>
                  <w:noWrap/>
                  <w:vAlign w:val="center"/>
                </w:tcPr>
                <w:p w14:paraId="2673DE9D">
                  <w:pPr>
                    <w:widowControl/>
                    <w:spacing w:before="138" w:after="138" w:line="276" w:lineRule="auto"/>
                    <w:jc w:val="center"/>
                    <w:rPr>
                      <w:rFonts w:ascii="宋体" w:hAnsi="宋体" w:eastAsia="宋体" w:cs="宋体"/>
                      <w:color w:val="444444"/>
                      <w:kern w:val="0"/>
                      <w:sz w:val="24"/>
                      <w:szCs w:val="24"/>
                    </w:rPr>
                  </w:pPr>
                  <w:r>
                    <w:rPr>
                      <w:rFonts w:hint="eastAsia" w:ascii="宋体" w:hAnsi="宋体" w:eastAsia="宋体" w:cs="宋体"/>
                      <w:color w:val="444444"/>
                      <w:kern w:val="0"/>
                      <w:sz w:val="24"/>
                      <w:szCs w:val="24"/>
                    </w:rPr>
                    <w:t>序号</w:t>
                  </w:r>
                </w:p>
              </w:tc>
              <w:tc>
                <w:tcPr>
                  <w:tcW w:w="1000" w:type="pct"/>
                  <w:tcBorders>
                    <w:top w:val="dotted" w:color="DDDDDD" w:sz="6" w:space="0"/>
                    <w:left w:val="dotted" w:color="DDDDDD" w:sz="6" w:space="0"/>
                    <w:bottom w:val="dotted" w:color="DDDDDD" w:sz="6" w:space="0"/>
                    <w:right w:val="dotted" w:color="DDDDDD" w:sz="6" w:space="0"/>
                  </w:tcBorders>
                  <w:noWrap/>
                  <w:vAlign w:val="center"/>
                </w:tcPr>
                <w:p w14:paraId="44CC2234">
                  <w:pPr>
                    <w:widowControl/>
                    <w:spacing w:before="138" w:after="138" w:line="276" w:lineRule="auto"/>
                    <w:jc w:val="center"/>
                    <w:rPr>
                      <w:rFonts w:ascii="宋体" w:hAnsi="宋体" w:eastAsia="宋体" w:cs="宋体"/>
                      <w:color w:val="444444"/>
                      <w:kern w:val="0"/>
                      <w:sz w:val="24"/>
                      <w:szCs w:val="24"/>
                    </w:rPr>
                  </w:pPr>
                  <w:r>
                    <w:rPr>
                      <w:rFonts w:hint="eastAsia" w:ascii="宋体" w:hAnsi="宋体" w:eastAsia="宋体" w:cs="宋体"/>
                      <w:color w:val="444444"/>
                      <w:kern w:val="0"/>
                      <w:sz w:val="24"/>
                      <w:szCs w:val="24"/>
                    </w:rPr>
                    <w:t>名称</w:t>
                  </w:r>
                </w:p>
              </w:tc>
              <w:tc>
                <w:tcPr>
                  <w:tcW w:w="1000" w:type="pct"/>
                  <w:tcBorders>
                    <w:top w:val="dotted" w:color="DDDDDD" w:sz="6" w:space="0"/>
                    <w:left w:val="dotted" w:color="DDDDDD" w:sz="6" w:space="0"/>
                    <w:bottom w:val="dotted" w:color="DDDDDD" w:sz="6" w:space="0"/>
                    <w:right w:val="dotted" w:color="DDDDDD" w:sz="6" w:space="0"/>
                  </w:tcBorders>
                  <w:noWrap/>
                  <w:vAlign w:val="center"/>
                </w:tcPr>
                <w:p w14:paraId="16903740">
                  <w:pPr>
                    <w:widowControl/>
                    <w:spacing w:before="138" w:after="138" w:line="276" w:lineRule="auto"/>
                    <w:jc w:val="center"/>
                    <w:rPr>
                      <w:rFonts w:ascii="宋体" w:hAnsi="宋体" w:eastAsia="宋体" w:cs="宋体"/>
                      <w:color w:val="444444"/>
                      <w:kern w:val="0"/>
                      <w:sz w:val="24"/>
                      <w:szCs w:val="24"/>
                    </w:rPr>
                  </w:pPr>
                  <w:r>
                    <w:rPr>
                      <w:rFonts w:hint="eastAsia" w:ascii="宋体" w:hAnsi="宋体" w:eastAsia="宋体" w:cs="宋体"/>
                      <w:color w:val="444444"/>
                      <w:kern w:val="0"/>
                      <w:sz w:val="24"/>
                      <w:szCs w:val="24"/>
                    </w:rPr>
                    <w:t>服务范围</w:t>
                  </w:r>
                </w:p>
              </w:tc>
              <w:tc>
                <w:tcPr>
                  <w:tcW w:w="1000" w:type="pct"/>
                  <w:tcBorders>
                    <w:top w:val="dotted" w:color="DDDDDD" w:sz="6" w:space="0"/>
                    <w:left w:val="dotted" w:color="DDDDDD" w:sz="6" w:space="0"/>
                    <w:bottom w:val="dotted" w:color="DDDDDD" w:sz="6" w:space="0"/>
                    <w:right w:val="dotted" w:color="DDDDDD" w:sz="6" w:space="0"/>
                  </w:tcBorders>
                  <w:noWrap/>
                  <w:vAlign w:val="center"/>
                </w:tcPr>
                <w:p w14:paraId="7561223D">
                  <w:pPr>
                    <w:widowControl/>
                    <w:spacing w:before="138" w:after="138" w:line="276" w:lineRule="auto"/>
                    <w:jc w:val="center"/>
                    <w:rPr>
                      <w:rFonts w:ascii="宋体" w:hAnsi="宋体" w:eastAsia="宋体" w:cs="宋体"/>
                      <w:color w:val="444444"/>
                      <w:kern w:val="0"/>
                      <w:sz w:val="24"/>
                      <w:szCs w:val="24"/>
                    </w:rPr>
                  </w:pPr>
                  <w:r>
                    <w:rPr>
                      <w:rFonts w:hint="eastAsia" w:ascii="宋体" w:hAnsi="宋体" w:eastAsia="宋体" w:cs="宋体"/>
                      <w:color w:val="444444"/>
                      <w:kern w:val="0"/>
                      <w:sz w:val="24"/>
                      <w:szCs w:val="24"/>
                    </w:rPr>
                    <w:t>服务要求</w:t>
                  </w:r>
                </w:p>
              </w:tc>
              <w:tc>
                <w:tcPr>
                  <w:tcW w:w="750" w:type="pct"/>
                  <w:tcBorders>
                    <w:top w:val="dotted" w:color="DDDDDD" w:sz="6" w:space="0"/>
                    <w:left w:val="dotted" w:color="DDDDDD" w:sz="6" w:space="0"/>
                    <w:bottom w:val="dotted" w:color="DDDDDD" w:sz="6" w:space="0"/>
                    <w:right w:val="dotted" w:color="DDDDDD" w:sz="6" w:space="0"/>
                  </w:tcBorders>
                  <w:noWrap/>
                  <w:vAlign w:val="center"/>
                </w:tcPr>
                <w:p w14:paraId="00F298FB">
                  <w:pPr>
                    <w:widowControl/>
                    <w:spacing w:before="138" w:after="138" w:line="276" w:lineRule="auto"/>
                    <w:jc w:val="center"/>
                    <w:rPr>
                      <w:rFonts w:ascii="宋体" w:hAnsi="宋体" w:eastAsia="宋体" w:cs="宋体"/>
                      <w:color w:val="444444"/>
                      <w:kern w:val="0"/>
                      <w:sz w:val="24"/>
                      <w:szCs w:val="24"/>
                    </w:rPr>
                  </w:pPr>
                  <w:r>
                    <w:rPr>
                      <w:rFonts w:hint="eastAsia" w:ascii="宋体" w:hAnsi="宋体" w:eastAsia="宋体" w:cs="宋体"/>
                      <w:color w:val="444444"/>
                      <w:kern w:val="0"/>
                      <w:sz w:val="24"/>
                      <w:szCs w:val="24"/>
                    </w:rPr>
                    <w:t>服务时间</w:t>
                  </w:r>
                </w:p>
              </w:tc>
              <w:tc>
                <w:tcPr>
                  <w:tcW w:w="1000" w:type="pct"/>
                  <w:tcBorders>
                    <w:top w:val="dotted" w:color="DDDDDD" w:sz="6" w:space="0"/>
                    <w:left w:val="dotted" w:color="DDDDDD" w:sz="6" w:space="0"/>
                    <w:bottom w:val="dotted" w:color="DDDDDD" w:sz="6" w:space="0"/>
                    <w:right w:val="dotted" w:color="DDDDDD" w:sz="6" w:space="0"/>
                  </w:tcBorders>
                  <w:noWrap/>
                  <w:vAlign w:val="center"/>
                </w:tcPr>
                <w:p w14:paraId="2CF41991">
                  <w:pPr>
                    <w:widowControl/>
                    <w:spacing w:before="138" w:after="138" w:line="276" w:lineRule="auto"/>
                    <w:jc w:val="center"/>
                    <w:rPr>
                      <w:rFonts w:ascii="宋体" w:hAnsi="宋体" w:eastAsia="宋体" w:cs="宋体"/>
                      <w:color w:val="444444"/>
                      <w:kern w:val="0"/>
                      <w:sz w:val="24"/>
                      <w:szCs w:val="24"/>
                    </w:rPr>
                  </w:pPr>
                  <w:r>
                    <w:rPr>
                      <w:rFonts w:hint="eastAsia" w:ascii="宋体" w:hAnsi="宋体" w:eastAsia="宋体" w:cs="宋体"/>
                      <w:color w:val="444444"/>
                      <w:kern w:val="0"/>
                      <w:sz w:val="24"/>
                      <w:szCs w:val="24"/>
                    </w:rPr>
                    <w:t>服务标准</w:t>
                  </w:r>
                </w:p>
              </w:tc>
            </w:tr>
            <w:tr w14:paraId="06411FD0">
              <w:tblPrEx>
                <w:tblBorders>
                  <w:top w:val="dotted" w:color="DDDDDD" w:sz="6" w:space="0"/>
                  <w:left w:val="dotted" w:color="DDDDDD" w:sz="6" w:space="0"/>
                  <w:bottom w:val="dotted" w:color="DDDDDD" w:sz="6" w:space="0"/>
                  <w:right w:val="dotted" w:color="DDDDDD"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tcBorders>
                    <w:top w:val="dotted" w:color="DDDDDD" w:sz="6" w:space="0"/>
                    <w:left w:val="dotted" w:color="DDDDDD" w:sz="6" w:space="0"/>
                    <w:bottom w:val="dotted" w:color="DDDDDD" w:sz="6" w:space="0"/>
                    <w:right w:val="dotted" w:color="DDDDDD" w:sz="6" w:space="0"/>
                  </w:tcBorders>
                  <w:vAlign w:val="center"/>
                </w:tcPr>
                <w:p w14:paraId="7815AA30">
                  <w:pPr>
                    <w:widowControl/>
                    <w:spacing w:before="138" w:after="138" w:line="276" w:lineRule="auto"/>
                    <w:jc w:val="center"/>
                    <w:rPr>
                      <w:rFonts w:ascii="宋体" w:hAnsi="宋体" w:eastAsia="宋体" w:cs="宋体"/>
                      <w:color w:val="444444"/>
                      <w:kern w:val="0"/>
                      <w:sz w:val="24"/>
                      <w:szCs w:val="24"/>
                    </w:rPr>
                  </w:pPr>
                  <w:r>
                    <w:rPr>
                      <w:rFonts w:hint="eastAsia" w:ascii="宋体" w:hAnsi="宋体" w:eastAsia="宋体" w:cs="宋体"/>
                      <w:color w:val="444444"/>
                      <w:kern w:val="0"/>
                      <w:sz w:val="24"/>
                      <w:szCs w:val="24"/>
                    </w:rPr>
                    <w:t>1</w:t>
                  </w:r>
                </w:p>
              </w:tc>
              <w:tc>
                <w:tcPr>
                  <w:tcW w:w="0" w:type="auto"/>
                  <w:tcBorders>
                    <w:top w:val="dotted" w:color="DDDDDD" w:sz="6" w:space="0"/>
                    <w:left w:val="dotted" w:color="DDDDDD" w:sz="6" w:space="0"/>
                    <w:bottom w:val="dotted" w:color="DDDDDD" w:sz="6" w:space="0"/>
                    <w:right w:val="dotted" w:color="DDDDDD" w:sz="6" w:space="0"/>
                  </w:tcBorders>
                  <w:vAlign w:val="center"/>
                </w:tcPr>
                <w:p w14:paraId="7E37F51D">
                  <w:pPr>
                    <w:widowControl/>
                    <w:spacing w:before="138" w:after="138" w:line="276" w:lineRule="auto"/>
                    <w:jc w:val="center"/>
                    <w:rPr>
                      <w:rFonts w:ascii="宋体" w:hAnsi="宋体" w:eastAsia="宋体" w:cs="宋体"/>
                      <w:color w:val="444444"/>
                      <w:kern w:val="0"/>
                      <w:sz w:val="24"/>
                      <w:szCs w:val="24"/>
                    </w:rPr>
                  </w:pPr>
                  <w:r>
                    <w:rPr>
                      <w:rFonts w:hint="eastAsia" w:ascii="宋体" w:hAnsi="宋体" w:eastAsia="宋体" w:cs="宋体"/>
                      <w:color w:val="444444"/>
                      <w:kern w:val="0"/>
                      <w:sz w:val="24"/>
                      <w:szCs w:val="24"/>
                    </w:rPr>
                    <w:t>详见附件</w:t>
                  </w:r>
                </w:p>
              </w:tc>
              <w:tc>
                <w:tcPr>
                  <w:tcW w:w="0" w:type="auto"/>
                  <w:tcBorders>
                    <w:top w:val="dotted" w:color="DDDDDD" w:sz="6" w:space="0"/>
                    <w:left w:val="dotted" w:color="DDDDDD" w:sz="6" w:space="0"/>
                    <w:bottom w:val="dotted" w:color="DDDDDD" w:sz="6" w:space="0"/>
                    <w:right w:val="dotted" w:color="DDDDDD" w:sz="6" w:space="0"/>
                  </w:tcBorders>
                  <w:vAlign w:val="center"/>
                </w:tcPr>
                <w:p w14:paraId="16508C1D">
                  <w:pPr>
                    <w:widowControl/>
                    <w:spacing w:before="138" w:after="138" w:line="276" w:lineRule="auto"/>
                    <w:jc w:val="center"/>
                    <w:rPr>
                      <w:rFonts w:ascii="宋体" w:hAnsi="宋体" w:eastAsia="宋体" w:cs="宋体"/>
                      <w:color w:val="444444"/>
                      <w:kern w:val="0"/>
                      <w:sz w:val="24"/>
                      <w:szCs w:val="24"/>
                    </w:rPr>
                  </w:pPr>
                  <w:r>
                    <w:rPr>
                      <w:rFonts w:hint="eastAsia" w:ascii="宋体" w:hAnsi="宋体" w:eastAsia="宋体" w:cs="宋体"/>
                      <w:color w:val="444444"/>
                      <w:kern w:val="0"/>
                      <w:sz w:val="24"/>
                      <w:szCs w:val="24"/>
                    </w:rPr>
                    <w:t>详见附件</w:t>
                  </w:r>
                </w:p>
              </w:tc>
              <w:tc>
                <w:tcPr>
                  <w:tcW w:w="0" w:type="auto"/>
                  <w:tcBorders>
                    <w:top w:val="dotted" w:color="DDDDDD" w:sz="6" w:space="0"/>
                    <w:left w:val="dotted" w:color="DDDDDD" w:sz="6" w:space="0"/>
                    <w:bottom w:val="dotted" w:color="DDDDDD" w:sz="6" w:space="0"/>
                    <w:right w:val="dotted" w:color="DDDDDD" w:sz="6" w:space="0"/>
                  </w:tcBorders>
                  <w:vAlign w:val="center"/>
                </w:tcPr>
                <w:p w14:paraId="71A1F528">
                  <w:pPr>
                    <w:widowControl/>
                    <w:spacing w:before="138" w:after="138" w:line="276" w:lineRule="auto"/>
                    <w:jc w:val="center"/>
                    <w:rPr>
                      <w:rFonts w:ascii="宋体" w:hAnsi="宋体" w:eastAsia="宋体" w:cs="宋体"/>
                      <w:color w:val="444444"/>
                      <w:kern w:val="0"/>
                      <w:sz w:val="24"/>
                      <w:szCs w:val="24"/>
                    </w:rPr>
                  </w:pPr>
                  <w:r>
                    <w:rPr>
                      <w:rFonts w:hint="eastAsia" w:ascii="宋体" w:hAnsi="宋体" w:eastAsia="宋体" w:cs="宋体"/>
                      <w:color w:val="444444"/>
                      <w:kern w:val="0"/>
                      <w:sz w:val="24"/>
                      <w:szCs w:val="24"/>
                    </w:rPr>
                    <w:t>详见附件</w:t>
                  </w:r>
                </w:p>
              </w:tc>
              <w:tc>
                <w:tcPr>
                  <w:tcW w:w="0" w:type="auto"/>
                  <w:tcBorders>
                    <w:top w:val="dotted" w:color="DDDDDD" w:sz="6" w:space="0"/>
                    <w:left w:val="dotted" w:color="DDDDDD" w:sz="6" w:space="0"/>
                    <w:bottom w:val="dotted" w:color="DDDDDD" w:sz="6" w:space="0"/>
                    <w:right w:val="dotted" w:color="DDDDDD" w:sz="6" w:space="0"/>
                  </w:tcBorders>
                  <w:vAlign w:val="center"/>
                </w:tcPr>
                <w:p w14:paraId="6A79DD29">
                  <w:pPr>
                    <w:widowControl/>
                    <w:spacing w:before="138" w:after="138" w:line="276" w:lineRule="auto"/>
                    <w:jc w:val="center"/>
                    <w:rPr>
                      <w:rFonts w:ascii="宋体" w:hAnsi="宋体" w:eastAsia="宋体" w:cs="宋体"/>
                      <w:color w:val="444444"/>
                      <w:kern w:val="0"/>
                      <w:sz w:val="24"/>
                      <w:szCs w:val="24"/>
                    </w:rPr>
                  </w:pPr>
                  <w:r>
                    <w:rPr>
                      <w:rFonts w:hint="eastAsia" w:ascii="宋体" w:hAnsi="宋体" w:eastAsia="宋体" w:cs="宋体"/>
                      <w:color w:val="444444"/>
                      <w:kern w:val="0"/>
                      <w:sz w:val="24"/>
                      <w:szCs w:val="24"/>
                    </w:rPr>
                    <w:t>详见附件</w:t>
                  </w:r>
                </w:p>
              </w:tc>
              <w:tc>
                <w:tcPr>
                  <w:tcW w:w="0" w:type="auto"/>
                  <w:tcBorders>
                    <w:top w:val="dotted" w:color="DDDDDD" w:sz="6" w:space="0"/>
                    <w:left w:val="dotted" w:color="DDDDDD" w:sz="6" w:space="0"/>
                    <w:bottom w:val="dotted" w:color="DDDDDD" w:sz="6" w:space="0"/>
                    <w:right w:val="dotted" w:color="DDDDDD" w:sz="6" w:space="0"/>
                  </w:tcBorders>
                  <w:vAlign w:val="center"/>
                </w:tcPr>
                <w:p w14:paraId="48016C89">
                  <w:pPr>
                    <w:widowControl/>
                    <w:spacing w:before="138" w:after="138" w:line="276" w:lineRule="auto"/>
                    <w:jc w:val="center"/>
                    <w:rPr>
                      <w:rFonts w:ascii="宋体" w:hAnsi="宋体" w:eastAsia="宋体" w:cs="宋体"/>
                      <w:color w:val="444444"/>
                      <w:kern w:val="0"/>
                      <w:sz w:val="24"/>
                      <w:szCs w:val="24"/>
                    </w:rPr>
                  </w:pPr>
                  <w:r>
                    <w:rPr>
                      <w:rFonts w:hint="eastAsia" w:ascii="宋体" w:hAnsi="宋体" w:eastAsia="宋体" w:cs="宋体"/>
                      <w:color w:val="444444"/>
                      <w:kern w:val="0"/>
                      <w:sz w:val="24"/>
                      <w:szCs w:val="24"/>
                    </w:rPr>
                    <w:t>详见附件</w:t>
                  </w:r>
                </w:p>
              </w:tc>
            </w:tr>
          </w:tbl>
          <w:p w14:paraId="0BE849FA">
            <w:pPr>
              <w:widowControl/>
              <w:spacing w:line="276" w:lineRule="auto"/>
              <w:jc w:val="center"/>
              <w:rPr>
                <w:rFonts w:ascii="宋体" w:hAnsi="宋体" w:eastAsia="宋体" w:cs="宋体"/>
                <w:color w:val="444444"/>
                <w:kern w:val="0"/>
                <w:sz w:val="24"/>
                <w:szCs w:val="24"/>
              </w:rPr>
            </w:pPr>
          </w:p>
        </w:tc>
      </w:tr>
    </w:tbl>
    <w:p w14:paraId="43CA2CFA">
      <w:pPr>
        <w:spacing w:line="276" w:lineRule="auto"/>
        <w:rPr>
          <w:rFonts w:ascii="宋体" w:hAnsi="宋体" w:eastAsia="宋体"/>
          <w:sz w:val="24"/>
          <w:szCs w:val="24"/>
        </w:rPr>
      </w:pPr>
      <w:r>
        <w:rPr>
          <w:rFonts w:hint="eastAsia" w:ascii="宋体" w:hAnsi="宋体" w:eastAsia="宋体"/>
          <w:sz w:val="24"/>
          <w:szCs w:val="24"/>
        </w:rPr>
        <w:t>三、评审专家名单：</w:t>
      </w:r>
    </w:p>
    <w:p w14:paraId="651367C9">
      <w:pPr>
        <w:spacing w:line="276" w:lineRule="auto"/>
        <w:ind w:firstLine="480" w:firstLineChars="200"/>
        <w:rPr>
          <w:rFonts w:ascii="宋体" w:hAnsi="宋体" w:eastAsia="宋体"/>
          <w:sz w:val="24"/>
          <w:szCs w:val="24"/>
          <w:highlight w:val="none"/>
        </w:rPr>
      </w:pPr>
      <w:r>
        <w:rPr>
          <w:rFonts w:hint="eastAsia" w:ascii="宋体" w:hAnsi="宋体" w:cs="宋体"/>
          <w:sz w:val="24"/>
          <w:highlight w:val="none"/>
          <w:lang w:val="en-US" w:eastAsia="zh-CN"/>
        </w:rPr>
        <w:t>杜鹏</w:t>
      </w:r>
      <w:r>
        <w:rPr>
          <w:rFonts w:hint="eastAsia" w:ascii="宋体" w:hAnsi="宋体" w:cs="宋体"/>
          <w:color w:val="auto"/>
          <w:sz w:val="24"/>
          <w:highlight w:val="none"/>
        </w:rPr>
        <w:t>（推荐组长）、</w:t>
      </w:r>
      <w:r>
        <w:rPr>
          <w:rFonts w:hint="eastAsia" w:ascii="宋体" w:hAnsi="宋体" w:cs="宋体"/>
          <w:color w:val="auto"/>
          <w:sz w:val="24"/>
          <w:highlight w:val="none"/>
          <w:lang w:val="en-US" w:eastAsia="zh-CN"/>
        </w:rPr>
        <w:t>张文静</w:t>
      </w:r>
      <w:r>
        <w:rPr>
          <w:rFonts w:hint="eastAsia" w:ascii="宋体" w:hAnsi="宋体" w:cs="宋体"/>
          <w:color w:val="auto"/>
          <w:sz w:val="24"/>
          <w:highlight w:val="none"/>
        </w:rPr>
        <w:t>、</w:t>
      </w:r>
      <w:r>
        <w:rPr>
          <w:rFonts w:hint="eastAsia" w:ascii="宋体" w:hAnsi="宋体" w:cs="宋体"/>
          <w:color w:val="000000"/>
          <w:sz w:val="24"/>
        </w:rPr>
        <w:t>杜明武</w:t>
      </w:r>
      <w:r>
        <w:rPr>
          <w:rFonts w:hint="eastAsia" w:ascii="宋体" w:hAnsi="宋体" w:eastAsia="宋体"/>
          <w:sz w:val="24"/>
          <w:szCs w:val="24"/>
          <w:highlight w:val="none"/>
        </w:rPr>
        <w:t>（采购人代表）</w:t>
      </w:r>
    </w:p>
    <w:p w14:paraId="0EEDB11D">
      <w:pPr>
        <w:spacing w:line="276" w:lineRule="auto"/>
        <w:rPr>
          <w:rFonts w:ascii="宋体" w:hAnsi="宋体" w:eastAsia="宋体"/>
          <w:sz w:val="24"/>
          <w:szCs w:val="24"/>
        </w:rPr>
      </w:pPr>
      <w:r>
        <w:rPr>
          <w:rFonts w:hint="eastAsia" w:ascii="宋体" w:hAnsi="宋体" w:eastAsia="宋体"/>
          <w:sz w:val="24"/>
          <w:szCs w:val="24"/>
        </w:rPr>
        <w:t>四、代理服务收费标准及金额收费标准：</w:t>
      </w:r>
    </w:p>
    <w:p w14:paraId="420DEE9D">
      <w:pPr>
        <w:spacing w:line="276" w:lineRule="auto"/>
        <w:ind w:left="420" w:leftChars="200"/>
        <w:rPr>
          <w:rFonts w:ascii="宋体" w:hAnsi="宋体" w:eastAsia="宋体"/>
          <w:sz w:val="24"/>
          <w:szCs w:val="24"/>
        </w:rPr>
      </w:pPr>
      <w:r>
        <w:rPr>
          <w:rFonts w:hint="eastAsia" w:ascii="宋体" w:hAnsi="宋体" w:eastAsia="宋体"/>
          <w:sz w:val="24"/>
          <w:szCs w:val="24"/>
        </w:rPr>
        <w:t>收费标准：参照河南省招标投标协会豫招协【2023】002号文件标准规定由成交供应商向采购代理公司支付招标代理服务费。</w:t>
      </w:r>
    </w:p>
    <w:p w14:paraId="068C6626">
      <w:pPr>
        <w:spacing w:line="276" w:lineRule="auto"/>
        <w:ind w:left="420" w:leftChars="200"/>
        <w:rPr>
          <w:rFonts w:ascii="宋体" w:hAnsi="宋体" w:eastAsia="宋体"/>
          <w:sz w:val="24"/>
          <w:szCs w:val="24"/>
        </w:rPr>
      </w:pPr>
      <w:r>
        <w:rPr>
          <w:rFonts w:hint="eastAsia" w:ascii="宋体" w:hAnsi="宋体" w:eastAsia="宋体"/>
          <w:sz w:val="24"/>
          <w:szCs w:val="24"/>
        </w:rPr>
        <w:t>收费金额：</w:t>
      </w:r>
      <w:r>
        <w:rPr>
          <w:rFonts w:hint="eastAsia" w:ascii="宋体" w:hAnsi="宋体" w:eastAsia="宋体"/>
          <w:sz w:val="24"/>
          <w:szCs w:val="24"/>
          <w:lang w:val="en-US" w:eastAsia="zh-CN"/>
        </w:rPr>
        <w:t>2120</w:t>
      </w:r>
      <w:r>
        <w:rPr>
          <w:rFonts w:hint="eastAsia" w:ascii="宋体" w:hAnsi="宋体" w:eastAsia="宋体"/>
          <w:sz w:val="24"/>
          <w:szCs w:val="24"/>
        </w:rPr>
        <w:t>0元</w:t>
      </w:r>
      <w:r>
        <w:rPr>
          <w:rFonts w:ascii="宋体" w:hAnsi="宋体" w:eastAsia="宋体"/>
          <w:sz w:val="24"/>
          <w:szCs w:val="24"/>
        </w:rPr>
        <w:t>。</w:t>
      </w:r>
    </w:p>
    <w:p w14:paraId="6932D548">
      <w:pPr>
        <w:spacing w:line="276" w:lineRule="auto"/>
        <w:rPr>
          <w:rFonts w:ascii="宋体" w:hAnsi="宋体" w:eastAsia="宋体"/>
          <w:sz w:val="24"/>
          <w:szCs w:val="24"/>
        </w:rPr>
      </w:pPr>
      <w:r>
        <w:rPr>
          <w:rFonts w:hint="eastAsia" w:ascii="宋体" w:hAnsi="宋体" w:eastAsia="宋体"/>
          <w:sz w:val="24"/>
          <w:szCs w:val="24"/>
        </w:rPr>
        <w:t>五、成交公告发布的媒介及公告期限</w:t>
      </w:r>
    </w:p>
    <w:p w14:paraId="54DB6DDB">
      <w:pPr>
        <w:spacing w:line="276" w:lineRule="auto"/>
        <w:ind w:firstLine="480" w:firstLineChars="200"/>
        <w:rPr>
          <w:rFonts w:ascii="宋体" w:hAnsi="宋体" w:eastAsia="宋体"/>
          <w:sz w:val="24"/>
          <w:szCs w:val="24"/>
        </w:rPr>
      </w:pPr>
      <w:r>
        <w:rPr>
          <w:rFonts w:hint="eastAsia" w:ascii="宋体" w:hAnsi="宋体" w:eastAsia="宋体"/>
          <w:sz w:val="24"/>
          <w:szCs w:val="24"/>
        </w:rPr>
        <w:t>在</w:t>
      </w:r>
      <w:r>
        <w:rPr>
          <w:rFonts w:hint="eastAsia" w:ascii="宋体" w:hAnsi="宋体" w:eastAsia="宋体" w:cs="宋体"/>
          <w:color w:val="000000" w:themeColor="text1"/>
          <w:sz w:val="24"/>
          <w:szCs w:val="24"/>
        </w:rPr>
        <w:t>《河南省政府采购网》上发布,</w:t>
      </w:r>
      <w:r>
        <w:rPr>
          <w:rFonts w:hint="eastAsia" w:ascii="宋体" w:hAnsi="宋体" w:eastAsia="宋体"/>
          <w:sz w:val="24"/>
          <w:szCs w:val="24"/>
        </w:rPr>
        <w:t>公告期限为1个工作日。</w:t>
      </w:r>
    </w:p>
    <w:p w14:paraId="7545ED54">
      <w:pPr>
        <w:spacing w:line="276" w:lineRule="auto"/>
        <w:rPr>
          <w:rFonts w:hint="eastAsia" w:ascii="宋体" w:hAnsi="宋体" w:eastAsia="宋体" w:cs="宋体"/>
          <w:color w:val="000000" w:themeColor="text1"/>
          <w:sz w:val="24"/>
          <w:szCs w:val="24"/>
        </w:rPr>
      </w:pPr>
      <w:r>
        <w:rPr>
          <w:rFonts w:hint="eastAsia" w:ascii="宋体" w:hAnsi="宋体" w:eastAsia="宋体"/>
          <w:sz w:val="24"/>
          <w:szCs w:val="24"/>
        </w:rPr>
        <w:t>六、</w:t>
      </w:r>
      <w:r>
        <w:rPr>
          <w:rFonts w:hint="eastAsia" w:ascii="宋体" w:hAnsi="宋体" w:eastAsia="宋体" w:cs="宋体"/>
          <w:color w:val="000000" w:themeColor="text1"/>
          <w:sz w:val="24"/>
          <w:szCs w:val="24"/>
        </w:rPr>
        <w:t>采用单一来源采购方式的原因及说明</w:t>
      </w:r>
    </w:p>
    <w:p w14:paraId="63ECE985">
      <w:pPr>
        <w:autoSpaceDE w:val="0"/>
        <w:autoSpaceDN w:val="0"/>
        <w:spacing w:line="360" w:lineRule="auto"/>
        <w:ind w:firstLine="480" w:firstLineChars="200"/>
        <w:jc w:val="left"/>
        <w:rPr>
          <w:rFonts w:ascii="宋体" w:hAnsi="宋体" w:cs="仿宋_GB2312"/>
          <w:color w:val="000000"/>
          <w:kern w:val="0"/>
          <w:sz w:val="24"/>
          <w:szCs w:val="24"/>
          <w:lang w:val="zh-CN"/>
        </w:rPr>
      </w:pPr>
      <w:r>
        <w:rPr>
          <w:rFonts w:hint="eastAsia" w:ascii="宋体" w:hAnsi="宋体"/>
          <w:color w:val="000000" w:themeColor="text1"/>
          <w:sz w:val="24"/>
          <w:szCs w:val="24"/>
        </w:rPr>
        <w:t>目前，福彩中心各业务系统在中国电信河南公司机房内进行设备托管并保持稳定运行多年，如果更换托管机房和服务商，将涉及机房搬迁、设备迁移、系统启停、网络割接等一系列操作，势必给福彩中心各业务系统的稳定运行和数据安全带来一定风险，会发生不可预见的紧急情况。为保证福彩中心各业务系统的稳定运行，实现福彩中心各业务系统运行维护服务的无缝衔接，避免造成上述风险，继续委托中国电信河南分公司实施，能够保证机房托管的延续性和数据服务的一致性，因此，</w:t>
      </w:r>
      <w:r>
        <w:rPr>
          <w:rFonts w:hint="eastAsia" w:ascii="宋体" w:hAnsi="宋体"/>
          <w:bCs/>
          <w:color w:val="000000" w:themeColor="text1"/>
          <w:sz w:val="24"/>
          <w:szCs w:val="24"/>
        </w:rPr>
        <w:t>采用单一来源采购方式，继续由</w:t>
      </w:r>
      <w:r>
        <w:rPr>
          <w:rFonts w:ascii="宋体" w:hAnsi="宋体"/>
          <w:bCs/>
          <w:color w:val="000000" w:themeColor="text1"/>
          <w:sz w:val="24"/>
          <w:szCs w:val="24"/>
        </w:rPr>
        <w:t>中国电信集团有限公司河南分公司</w:t>
      </w:r>
      <w:r>
        <w:rPr>
          <w:rFonts w:hint="eastAsia" w:ascii="宋体" w:hAnsi="宋体"/>
          <w:bCs/>
          <w:color w:val="000000" w:themeColor="text1"/>
          <w:sz w:val="24"/>
          <w:szCs w:val="24"/>
        </w:rPr>
        <w:t>向河南省福利彩票发行中心（河南省养老事业发展中心）提供生产二机房设备托管服务服务。</w:t>
      </w:r>
    </w:p>
    <w:p w14:paraId="4B392D05">
      <w:pPr>
        <w:spacing w:line="360" w:lineRule="auto"/>
        <w:ind w:firstLine="480" w:firstLineChars="200"/>
        <w:rPr>
          <w:rFonts w:ascii="宋体" w:hAnsi="宋体" w:cs="仿宋_GB2312"/>
          <w:color w:val="000000"/>
          <w:kern w:val="0"/>
          <w:sz w:val="24"/>
          <w:szCs w:val="24"/>
          <w:lang w:val="zh-CN"/>
        </w:rPr>
      </w:pPr>
      <w:r>
        <w:rPr>
          <w:rFonts w:hint="eastAsia" w:ascii="宋体" w:hAnsi="宋体" w:cs="仿宋_GB2312"/>
          <w:color w:val="000000"/>
          <w:kern w:val="0"/>
          <w:sz w:val="24"/>
          <w:szCs w:val="24"/>
          <w:lang w:val="zh-CN"/>
        </w:rPr>
        <w:t>鉴于以上原因，根据《中华人民共和国政府采购法》第31条的相应规定，本项目拟采用单一来源方式采购。</w:t>
      </w:r>
    </w:p>
    <w:p w14:paraId="30BEA45B">
      <w:pPr>
        <w:spacing w:line="276" w:lineRule="auto"/>
        <w:rPr>
          <w:rFonts w:ascii="宋体" w:hAnsi="宋体" w:eastAsia="宋体"/>
          <w:sz w:val="24"/>
          <w:szCs w:val="24"/>
        </w:rPr>
      </w:pPr>
      <w:r>
        <w:rPr>
          <w:rFonts w:hint="eastAsia" w:ascii="宋体" w:hAnsi="宋体" w:eastAsia="宋体"/>
          <w:sz w:val="24"/>
          <w:szCs w:val="24"/>
          <w:lang w:val="en-US" w:eastAsia="zh-CN"/>
        </w:rPr>
        <w:t>七、</w:t>
      </w:r>
      <w:r>
        <w:rPr>
          <w:rFonts w:hint="eastAsia" w:ascii="宋体" w:hAnsi="宋体" w:eastAsia="宋体"/>
          <w:sz w:val="24"/>
          <w:szCs w:val="24"/>
        </w:rPr>
        <w:t>其他补充事宜</w:t>
      </w:r>
    </w:p>
    <w:p w14:paraId="76FA93EF">
      <w:pPr>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lang w:val="en-US" w:eastAsia="zh-CN"/>
        </w:rPr>
        <w:t>成交</w:t>
      </w:r>
      <w:r>
        <w:rPr>
          <w:rFonts w:hint="eastAsia" w:ascii="宋体" w:hAnsi="宋体" w:eastAsia="宋体" w:cs="宋体"/>
          <w:color w:val="000000"/>
          <w:sz w:val="24"/>
        </w:rPr>
        <w:t>供应商名称：中国电信集团有限公司河南分公司</w:t>
      </w:r>
      <w:r>
        <w:rPr>
          <w:rFonts w:hint="eastAsia" w:ascii="宋体" w:hAnsi="宋体" w:eastAsia="宋体" w:cs="宋体"/>
          <w:color w:val="000000"/>
          <w:sz w:val="24"/>
        </w:rPr>
        <w:t xml:space="preserve"> </w:t>
      </w:r>
    </w:p>
    <w:p w14:paraId="769FCB8B">
      <w:pPr>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 xml:space="preserve">统一社会信用代码：914100007440870066 </w:t>
      </w:r>
    </w:p>
    <w:p w14:paraId="7F6E0E4F">
      <w:pPr>
        <w:spacing w:line="360" w:lineRule="auto"/>
        <w:ind w:firstLine="480" w:firstLineChars="200"/>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联系人：</w:t>
      </w:r>
      <w:r>
        <w:rPr>
          <w:rFonts w:hint="eastAsia" w:ascii="宋体" w:hAnsi="宋体" w:eastAsia="宋体" w:cs="宋体"/>
          <w:color w:val="000000"/>
          <w:sz w:val="24"/>
        </w:rPr>
        <w:t>赵林13323715306</w:t>
      </w:r>
    </w:p>
    <w:p w14:paraId="3A4AEB5F">
      <w:pPr>
        <w:spacing w:line="276" w:lineRule="auto"/>
        <w:rPr>
          <w:rFonts w:ascii="宋体" w:hAnsi="宋体" w:eastAsia="宋体"/>
          <w:sz w:val="24"/>
          <w:szCs w:val="24"/>
        </w:rPr>
      </w:pPr>
      <w:r>
        <w:rPr>
          <w:rFonts w:hint="eastAsia" w:ascii="宋体" w:hAnsi="宋体" w:eastAsia="宋体"/>
          <w:sz w:val="24"/>
          <w:szCs w:val="24"/>
          <w:lang w:val="en-US" w:eastAsia="zh-CN"/>
        </w:rPr>
        <w:t>八</w:t>
      </w:r>
      <w:r>
        <w:rPr>
          <w:rFonts w:hint="eastAsia" w:ascii="宋体" w:hAnsi="宋体" w:eastAsia="宋体"/>
          <w:sz w:val="24"/>
          <w:szCs w:val="24"/>
        </w:rPr>
        <w:t>、凡对本次公告内容提出询问，请按以下方式联系</w:t>
      </w:r>
    </w:p>
    <w:p w14:paraId="7A57567C">
      <w:pPr>
        <w:spacing w:line="360" w:lineRule="auto"/>
        <w:ind w:firstLine="420" w:firstLineChars="175"/>
        <w:rPr>
          <w:rFonts w:ascii="宋体" w:hAnsi="宋体" w:cs="宋体"/>
          <w:color w:val="000000"/>
          <w:sz w:val="24"/>
          <w:szCs w:val="24"/>
        </w:rPr>
      </w:pPr>
      <w:r>
        <w:rPr>
          <w:rFonts w:hint="eastAsia" w:ascii="宋体" w:hAnsi="宋体" w:cs="宋体"/>
          <w:color w:val="000000"/>
          <w:sz w:val="24"/>
          <w:szCs w:val="24"/>
        </w:rPr>
        <w:t>1、采购人信息</w:t>
      </w:r>
    </w:p>
    <w:p w14:paraId="11DBCBBE">
      <w:pPr>
        <w:spacing w:line="360" w:lineRule="auto"/>
        <w:ind w:firstLine="420" w:firstLineChars="175"/>
        <w:rPr>
          <w:rFonts w:ascii="宋体" w:hAnsi="宋体" w:cs="宋体"/>
          <w:color w:val="000000"/>
          <w:sz w:val="24"/>
          <w:szCs w:val="24"/>
        </w:rPr>
      </w:pPr>
      <w:r>
        <w:rPr>
          <w:rFonts w:hint="eastAsia" w:ascii="宋体" w:hAnsi="宋体" w:cs="宋体"/>
          <w:color w:val="000000"/>
          <w:sz w:val="24"/>
          <w:szCs w:val="24"/>
        </w:rPr>
        <w:t>名称：河南省福利彩票发行中心（河南省养老事业发展中心）</w:t>
      </w:r>
    </w:p>
    <w:p w14:paraId="170C18BC">
      <w:pPr>
        <w:spacing w:line="360" w:lineRule="auto"/>
        <w:ind w:firstLine="420" w:firstLineChars="175"/>
        <w:rPr>
          <w:rFonts w:ascii="宋体" w:hAnsi="宋体" w:cs="宋体"/>
          <w:color w:val="000000"/>
          <w:sz w:val="24"/>
          <w:szCs w:val="24"/>
        </w:rPr>
      </w:pPr>
      <w:r>
        <w:rPr>
          <w:rFonts w:hint="eastAsia" w:ascii="宋体" w:hAnsi="宋体" w:cs="宋体"/>
          <w:color w:val="000000"/>
          <w:sz w:val="24"/>
          <w:szCs w:val="24"/>
        </w:rPr>
        <w:t>地址：郑州市晨旭路8号</w:t>
      </w:r>
    </w:p>
    <w:p w14:paraId="5A10FC79">
      <w:pPr>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 xml:space="preserve">联系方式：杜先生 </w:t>
      </w:r>
    </w:p>
    <w:p w14:paraId="530B0D9C">
      <w:pPr>
        <w:pStyle w:val="5"/>
        <w:ind w:firstLine="480"/>
        <w:jc w:val="left"/>
        <w:rPr>
          <w:rFonts w:hint="eastAsia"/>
          <w:color w:val="000000"/>
          <w:sz w:val="24"/>
        </w:rPr>
      </w:pPr>
      <w:r>
        <w:rPr>
          <w:rFonts w:hint="eastAsia" w:ascii="宋体" w:hAnsi="宋体"/>
          <w:color w:val="000000"/>
          <w:sz w:val="24"/>
        </w:rPr>
        <w:t>电话： 0371-65907926</w:t>
      </w:r>
    </w:p>
    <w:p w14:paraId="6C25452F">
      <w:pPr>
        <w:spacing w:line="360" w:lineRule="auto"/>
        <w:ind w:firstLine="420" w:firstLineChars="175"/>
        <w:rPr>
          <w:rFonts w:ascii="宋体" w:hAnsi="宋体" w:cs="宋体"/>
          <w:color w:val="000000"/>
          <w:sz w:val="24"/>
          <w:szCs w:val="24"/>
        </w:rPr>
      </w:pPr>
      <w:r>
        <w:rPr>
          <w:rFonts w:ascii="宋体" w:hAnsi="宋体" w:cs="宋体"/>
          <w:color w:val="000000"/>
          <w:sz w:val="24"/>
          <w:szCs w:val="24"/>
        </w:rPr>
        <w:t>2</w:t>
      </w:r>
      <w:r>
        <w:rPr>
          <w:rFonts w:hint="eastAsia" w:ascii="宋体" w:hAnsi="宋体" w:cs="宋体"/>
          <w:color w:val="000000"/>
          <w:sz w:val="24"/>
          <w:szCs w:val="24"/>
        </w:rPr>
        <w:t>、采购代理机构：</w:t>
      </w:r>
    </w:p>
    <w:p w14:paraId="2232AC7F">
      <w:pPr>
        <w:spacing w:line="360" w:lineRule="auto"/>
        <w:ind w:firstLine="420" w:firstLineChars="175"/>
        <w:rPr>
          <w:rFonts w:ascii="宋体" w:hAnsi="宋体" w:cs="宋体"/>
          <w:color w:val="000000"/>
          <w:sz w:val="24"/>
          <w:szCs w:val="24"/>
        </w:rPr>
      </w:pPr>
      <w:r>
        <w:rPr>
          <w:rFonts w:hint="eastAsia" w:ascii="宋体" w:hAnsi="宋体" w:cs="宋体"/>
          <w:color w:val="000000"/>
          <w:sz w:val="24"/>
          <w:szCs w:val="24"/>
        </w:rPr>
        <w:t>名称</w:t>
      </w:r>
      <w:r>
        <w:rPr>
          <w:rFonts w:ascii="宋体" w:hAnsi="宋体" w:cs="宋体"/>
          <w:color w:val="000000"/>
          <w:sz w:val="24"/>
          <w:szCs w:val="24"/>
        </w:rPr>
        <w:t>：</w:t>
      </w:r>
      <w:r>
        <w:rPr>
          <w:rFonts w:hint="eastAsia" w:ascii="宋体" w:hAnsi="宋体" w:cs="宋体"/>
          <w:color w:val="000000"/>
          <w:sz w:val="24"/>
          <w:szCs w:val="24"/>
        </w:rPr>
        <w:t>河南省国贸招标有限公司</w:t>
      </w:r>
    </w:p>
    <w:p w14:paraId="66AF006B">
      <w:pPr>
        <w:spacing w:line="360" w:lineRule="auto"/>
        <w:ind w:firstLine="420" w:firstLineChars="175"/>
        <w:rPr>
          <w:rFonts w:ascii="宋体" w:hAnsi="宋体" w:cs="宋体"/>
          <w:color w:val="000000"/>
          <w:kern w:val="0"/>
          <w:sz w:val="24"/>
          <w:szCs w:val="24"/>
        </w:rPr>
      </w:pPr>
      <w:r>
        <w:rPr>
          <w:rFonts w:hint="eastAsia" w:ascii="宋体" w:hAnsi="宋体" w:cs="宋体"/>
          <w:color w:val="000000"/>
          <w:sz w:val="24"/>
          <w:szCs w:val="24"/>
        </w:rPr>
        <w:t>地</w:t>
      </w:r>
      <w:r>
        <w:rPr>
          <w:rFonts w:hint="eastAsia" w:ascii="宋体" w:hAnsi="宋体" w:cs="宋体"/>
          <w:color w:val="000000"/>
          <w:kern w:val="0"/>
          <w:sz w:val="24"/>
          <w:szCs w:val="24"/>
        </w:rPr>
        <w:t>址：郑州市农业路72号国际企业中心B座三楼东侧</w:t>
      </w:r>
    </w:p>
    <w:p w14:paraId="26525E81">
      <w:pPr>
        <w:spacing w:line="360" w:lineRule="auto"/>
        <w:ind w:firstLine="420" w:firstLineChars="175"/>
        <w:rPr>
          <w:rFonts w:hint="default" w:ascii="宋体" w:hAnsi="宋体" w:cs="宋体" w:eastAsiaTheme="minorEastAsia"/>
          <w:color w:val="000000"/>
          <w:kern w:val="0"/>
          <w:sz w:val="24"/>
          <w:szCs w:val="24"/>
          <w:lang w:val="en-US" w:eastAsia="zh-CN"/>
        </w:rPr>
      </w:pPr>
      <w:r>
        <w:rPr>
          <w:rFonts w:hint="eastAsia" w:ascii="宋体" w:hAnsi="宋体" w:cs="宋体"/>
          <w:color w:val="000000"/>
          <w:kern w:val="0"/>
          <w:sz w:val="24"/>
          <w:szCs w:val="24"/>
        </w:rPr>
        <w:t>联系人：倪涛</w:t>
      </w:r>
      <w:r>
        <w:rPr>
          <w:rFonts w:hint="eastAsia" w:ascii="宋体" w:hAnsi="宋体" w:cs="宋体"/>
          <w:color w:val="000000"/>
          <w:kern w:val="0"/>
          <w:sz w:val="24"/>
          <w:szCs w:val="24"/>
          <w:lang w:eastAsia="zh-CN"/>
        </w:rPr>
        <w:t>、</w:t>
      </w:r>
      <w:r>
        <w:rPr>
          <w:rFonts w:hint="eastAsia" w:ascii="宋体" w:hAnsi="宋体" w:cs="宋体"/>
          <w:color w:val="000000"/>
          <w:kern w:val="0"/>
          <w:sz w:val="24"/>
          <w:szCs w:val="24"/>
          <w:lang w:val="en-US" w:eastAsia="zh-CN"/>
        </w:rPr>
        <w:t>肖鹏、全乐</w:t>
      </w:r>
      <w:r>
        <w:rPr>
          <w:rFonts w:hint="eastAsia" w:ascii="宋体" w:hAnsi="宋体" w:cs="宋体"/>
          <w:color w:val="000000"/>
          <w:kern w:val="0"/>
          <w:sz w:val="24"/>
          <w:szCs w:val="24"/>
        </w:rPr>
        <w:t xml:space="preserve">      联系方式：0371-691319</w:t>
      </w:r>
      <w:r>
        <w:rPr>
          <w:rFonts w:hint="eastAsia" w:ascii="宋体" w:hAnsi="宋体" w:cs="宋体"/>
          <w:color w:val="000000"/>
          <w:kern w:val="0"/>
          <w:sz w:val="24"/>
          <w:szCs w:val="24"/>
          <w:lang w:val="en-US" w:eastAsia="zh-CN"/>
        </w:rPr>
        <w:t>83</w:t>
      </w:r>
    </w:p>
    <w:p w14:paraId="6F5FBB2B">
      <w:pPr>
        <w:adjustRightInd w:val="0"/>
        <w:snapToGrid w:val="0"/>
        <w:spacing w:line="360" w:lineRule="auto"/>
        <w:ind w:firstLine="480" w:firstLineChars="200"/>
        <w:rPr>
          <w:rFonts w:ascii="宋体" w:hAnsi="宋体" w:cs="宋体"/>
          <w:color w:val="000000"/>
          <w:sz w:val="24"/>
          <w:szCs w:val="24"/>
        </w:rPr>
      </w:pPr>
      <w:r>
        <w:rPr>
          <w:rFonts w:hint="eastAsia" w:ascii="宋体" w:hAnsi="宋体" w:cs="宋体"/>
          <w:color w:val="000000"/>
          <w:kern w:val="0"/>
          <w:sz w:val="24"/>
          <w:szCs w:val="24"/>
        </w:rPr>
        <w:t>3、</w:t>
      </w:r>
      <w:r>
        <w:rPr>
          <w:rFonts w:hint="eastAsia" w:ascii="宋体" w:hAnsi="宋体" w:cs="宋体"/>
          <w:color w:val="000000"/>
          <w:sz w:val="24"/>
          <w:szCs w:val="24"/>
        </w:rPr>
        <w:t>项目联系方式</w:t>
      </w:r>
    </w:p>
    <w:p w14:paraId="63FAF39E">
      <w:pPr>
        <w:adjustRightInd w:val="0"/>
        <w:snapToGrid w:val="0"/>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项目联系人：倪涛</w:t>
      </w:r>
    </w:p>
    <w:p w14:paraId="08B2DB26">
      <w:pPr>
        <w:adjustRightInd w:val="0"/>
        <w:snapToGrid w:val="0"/>
        <w:spacing w:line="360" w:lineRule="auto"/>
        <w:ind w:firstLine="480" w:firstLineChars="200"/>
        <w:rPr>
          <w:rFonts w:hint="default" w:ascii="宋体" w:hAnsi="宋体" w:cs="宋体" w:eastAsiaTheme="minorEastAsia"/>
          <w:color w:val="000000"/>
          <w:sz w:val="24"/>
          <w:szCs w:val="24"/>
          <w:lang w:val="en-US" w:eastAsia="zh-CN"/>
        </w:rPr>
      </w:pPr>
      <w:r>
        <w:rPr>
          <w:rFonts w:hint="eastAsia" w:ascii="宋体" w:hAnsi="宋体" w:cs="宋体"/>
          <w:color w:val="000000"/>
          <w:sz w:val="24"/>
          <w:szCs w:val="24"/>
        </w:rPr>
        <w:t>联系方式：0371-691319</w:t>
      </w:r>
      <w:r>
        <w:rPr>
          <w:rFonts w:hint="eastAsia" w:ascii="宋体" w:hAnsi="宋体" w:cs="宋体"/>
          <w:color w:val="000000"/>
          <w:sz w:val="24"/>
          <w:szCs w:val="24"/>
          <w:lang w:val="en-US" w:eastAsia="zh-CN"/>
        </w:rPr>
        <w:t>83</w:t>
      </w:r>
    </w:p>
    <w:p w14:paraId="39C4D237">
      <w:pPr>
        <w:spacing w:line="276" w:lineRule="auto"/>
        <w:jc w:val="right"/>
        <w:rPr>
          <w:rFonts w:ascii="宋体" w:hAnsi="宋体" w:eastAsia="宋体"/>
          <w:sz w:val="24"/>
          <w:szCs w:val="24"/>
        </w:rPr>
      </w:pPr>
      <w:r>
        <w:rPr>
          <w:rFonts w:ascii="宋体" w:hAnsi="宋体" w:eastAsia="宋体"/>
          <w:sz w:val="24"/>
          <w:szCs w:val="24"/>
        </w:rPr>
        <w:t>　　</w:t>
      </w:r>
      <w:r>
        <w:rPr>
          <w:rFonts w:hint="eastAsia" w:ascii="宋体" w:hAnsi="宋体" w:eastAsia="宋体"/>
          <w:sz w:val="24"/>
          <w:szCs w:val="24"/>
        </w:rPr>
        <w:t xml:space="preserve">                                  </w:t>
      </w:r>
    </w:p>
    <w:p w14:paraId="43085C0E">
      <w:pPr>
        <w:spacing w:line="276" w:lineRule="auto"/>
        <w:jc w:val="right"/>
        <w:rPr>
          <w:rFonts w:ascii="宋体" w:hAnsi="宋体" w:eastAsia="宋体"/>
          <w:sz w:val="24"/>
          <w:szCs w:val="24"/>
        </w:rPr>
      </w:pPr>
      <w:r>
        <w:rPr>
          <w:rFonts w:hint="eastAsia" w:ascii="宋体" w:hAnsi="宋体" w:eastAsia="宋体"/>
          <w:sz w:val="24"/>
          <w:szCs w:val="24"/>
          <w:lang w:eastAsia="zh-CN"/>
        </w:rPr>
        <w:t>2025</w:t>
      </w:r>
      <w:r>
        <w:rPr>
          <w:rFonts w:ascii="宋体" w:hAnsi="宋体" w:eastAsia="宋体"/>
          <w:sz w:val="24"/>
          <w:szCs w:val="24"/>
        </w:rPr>
        <w:t>年</w:t>
      </w:r>
      <w:r>
        <w:rPr>
          <w:rFonts w:hint="eastAsia" w:ascii="宋体" w:hAnsi="宋体" w:eastAsia="宋体"/>
          <w:sz w:val="24"/>
          <w:szCs w:val="24"/>
          <w:lang w:val="en-US" w:eastAsia="zh-CN"/>
        </w:rPr>
        <w:t>6</w:t>
      </w:r>
      <w:r>
        <w:rPr>
          <w:rFonts w:ascii="宋体" w:hAnsi="宋体" w:eastAsia="宋体"/>
          <w:sz w:val="24"/>
          <w:szCs w:val="24"/>
        </w:rPr>
        <w:t>月</w:t>
      </w:r>
      <w:r>
        <w:rPr>
          <w:rFonts w:hint="eastAsia" w:ascii="宋体" w:hAnsi="宋体" w:eastAsia="宋体"/>
          <w:sz w:val="24"/>
          <w:szCs w:val="24"/>
          <w:highlight w:val="yellow"/>
          <w:lang w:val="en-US" w:eastAsia="zh-CN"/>
        </w:rPr>
        <w:t>11</w:t>
      </w:r>
      <w:r>
        <w:rPr>
          <w:rFonts w:ascii="宋体" w:hAnsi="宋体" w:eastAsia="宋体"/>
          <w:sz w:val="24"/>
          <w:szCs w:val="24"/>
          <w:highlight w:val="yellow"/>
        </w:rPr>
        <w:t>日</w:t>
      </w:r>
    </w:p>
    <w:p w14:paraId="3CE31AE0">
      <w:pPr>
        <w:spacing w:line="276" w:lineRule="auto"/>
        <w:rPr>
          <w:rFonts w:hint="default" w:ascii="宋体" w:hAnsi="宋体" w:eastAsia="宋体"/>
          <w:sz w:val="24"/>
          <w:szCs w:val="24"/>
          <w:lang w:val="en-US" w:eastAsia="zh-CN"/>
        </w:rPr>
      </w:pPr>
      <w:r>
        <w:rPr>
          <w:rFonts w:hint="eastAsia" w:ascii="宋体" w:hAnsi="宋体" w:eastAsia="宋体" w:cs="宋体"/>
          <w:kern w:val="0"/>
          <w:sz w:val="24"/>
          <w:szCs w:val="24"/>
        </w:rPr>
        <w:t>附</w:t>
      </w:r>
      <w:r>
        <w:rPr>
          <w:rFonts w:ascii="宋体" w:hAnsi="宋体" w:eastAsia="宋体" w:cs="宋体"/>
          <w:kern w:val="0"/>
          <w:sz w:val="24"/>
          <w:szCs w:val="24"/>
        </w:rPr>
        <w:t>：</w:t>
      </w:r>
      <w:r>
        <w:rPr>
          <w:rFonts w:hint="eastAsia" w:ascii="宋体" w:hAnsi="宋体" w:eastAsia="宋体" w:cs="宋体"/>
          <w:kern w:val="0"/>
          <w:sz w:val="24"/>
          <w:szCs w:val="24"/>
        </w:rPr>
        <w:t>采购文件</w:t>
      </w: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附件</w:t>
      </w:r>
    </w:p>
    <w:p w14:paraId="465033F3">
      <w:pPr>
        <w:spacing w:line="360" w:lineRule="auto"/>
        <w:rPr>
          <w:sz w:val="24"/>
          <w:szCs w:val="24"/>
        </w:rPr>
      </w:pPr>
    </w:p>
    <w:sectPr>
      <w:pgSz w:w="11906" w:h="16838"/>
      <w:pgMar w:top="1440" w:right="1558"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docVars>
    <w:docVar w:name="commondata" w:val="eyJoZGlkIjoiMDA2ZGNkNWNhZmYwZTA4YzU3ZTU0ZTA1NGI0MDdkYzMifQ=="/>
  </w:docVars>
  <w:rsids>
    <w:rsidRoot w:val="002F7D5B"/>
    <w:rsid w:val="00021A18"/>
    <w:rsid w:val="00043144"/>
    <w:rsid w:val="00077825"/>
    <w:rsid w:val="001339FD"/>
    <w:rsid w:val="0015532C"/>
    <w:rsid w:val="00170259"/>
    <w:rsid w:val="00177257"/>
    <w:rsid w:val="00181CEB"/>
    <w:rsid w:val="001955D9"/>
    <w:rsid w:val="001B6ADC"/>
    <w:rsid w:val="001D489E"/>
    <w:rsid w:val="0020688C"/>
    <w:rsid w:val="00207718"/>
    <w:rsid w:val="0023585F"/>
    <w:rsid w:val="00241C83"/>
    <w:rsid w:val="00282AEA"/>
    <w:rsid w:val="0028499F"/>
    <w:rsid w:val="002A15AB"/>
    <w:rsid w:val="002B7BB2"/>
    <w:rsid w:val="002F7D5B"/>
    <w:rsid w:val="00315DA9"/>
    <w:rsid w:val="00353B4F"/>
    <w:rsid w:val="00357340"/>
    <w:rsid w:val="0036302E"/>
    <w:rsid w:val="0036676A"/>
    <w:rsid w:val="003C49AA"/>
    <w:rsid w:val="003E24ED"/>
    <w:rsid w:val="00422FC0"/>
    <w:rsid w:val="00424427"/>
    <w:rsid w:val="00441651"/>
    <w:rsid w:val="00447F6D"/>
    <w:rsid w:val="00455226"/>
    <w:rsid w:val="00480F91"/>
    <w:rsid w:val="00481D6A"/>
    <w:rsid w:val="004B0A63"/>
    <w:rsid w:val="0051655D"/>
    <w:rsid w:val="00525EE4"/>
    <w:rsid w:val="00554E11"/>
    <w:rsid w:val="00580593"/>
    <w:rsid w:val="005966BA"/>
    <w:rsid w:val="005A783E"/>
    <w:rsid w:val="00672818"/>
    <w:rsid w:val="00687192"/>
    <w:rsid w:val="0069014E"/>
    <w:rsid w:val="00696A4A"/>
    <w:rsid w:val="00696DCA"/>
    <w:rsid w:val="00696EE3"/>
    <w:rsid w:val="006D0222"/>
    <w:rsid w:val="006D7039"/>
    <w:rsid w:val="006E7820"/>
    <w:rsid w:val="006F4F8C"/>
    <w:rsid w:val="00717775"/>
    <w:rsid w:val="00753643"/>
    <w:rsid w:val="0077129F"/>
    <w:rsid w:val="00792F8E"/>
    <w:rsid w:val="007A116D"/>
    <w:rsid w:val="007D7960"/>
    <w:rsid w:val="007E7C83"/>
    <w:rsid w:val="007F1B09"/>
    <w:rsid w:val="008353B2"/>
    <w:rsid w:val="008360C5"/>
    <w:rsid w:val="00843026"/>
    <w:rsid w:val="00875E29"/>
    <w:rsid w:val="00876970"/>
    <w:rsid w:val="00891774"/>
    <w:rsid w:val="008952CF"/>
    <w:rsid w:val="00896269"/>
    <w:rsid w:val="008B2578"/>
    <w:rsid w:val="008E0A82"/>
    <w:rsid w:val="008F75FD"/>
    <w:rsid w:val="00993547"/>
    <w:rsid w:val="009B2D27"/>
    <w:rsid w:val="00A003CC"/>
    <w:rsid w:val="00A14E25"/>
    <w:rsid w:val="00A57DCB"/>
    <w:rsid w:val="00AB4F83"/>
    <w:rsid w:val="00AC2D5B"/>
    <w:rsid w:val="00AD0C0A"/>
    <w:rsid w:val="00B3157A"/>
    <w:rsid w:val="00B35ECA"/>
    <w:rsid w:val="00B51734"/>
    <w:rsid w:val="00B63782"/>
    <w:rsid w:val="00B87AB0"/>
    <w:rsid w:val="00BA281E"/>
    <w:rsid w:val="00BE0085"/>
    <w:rsid w:val="00BE6826"/>
    <w:rsid w:val="00BF23AD"/>
    <w:rsid w:val="00BF5172"/>
    <w:rsid w:val="00C253CB"/>
    <w:rsid w:val="00C564D2"/>
    <w:rsid w:val="00CA6C6C"/>
    <w:rsid w:val="00CB17D0"/>
    <w:rsid w:val="00CD4E45"/>
    <w:rsid w:val="00D271D1"/>
    <w:rsid w:val="00D43806"/>
    <w:rsid w:val="00D531A6"/>
    <w:rsid w:val="00D83A81"/>
    <w:rsid w:val="00D861F8"/>
    <w:rsid w:val="00D975F9"/>
    <w:rsid w:val="00D97E18"/>
    <w:rsid w:val="00DE2663"/>
    <w:rsid w:val="00E21706"/>
    <w:rsid w:val="00E7366B"/>
    <w:rsid w:val="00E91C94"/>
    <w:rsid w:val="00ED4FD9"/>
    <w:rsid w:val="00EE0427"/>
    <w:rsid w:val="00F174E1"/>
    <w:rsid w:val="00F4484E"/>
    <w:rsid w:val="00F630DF"/>
    <w:rsid w:val="00F73621"/>
    <w:rsid w:val="00F745D4"/>
    <w:rsid w:val="00F832D0"/>
    <w:rsid w:val="00FB5894"/>
    <w:rsid w:val="00FC03C1"/>
    <w:rsid w:val="00FC6D19"/>
    <w:rsid w:val="00FF2C23"/>
    <w:rsid w:val="11731ED8"/>
    <w:rsid w:val="186C33DA"/>
    <w:rsid w:val="1D2722AF"/>
    <w:rsid w:val="1E494FAE"/>
    <w:rsid w:val="254F7928"/>
    <w:rsid w:val="283B2ED7"/>
    <w:rsid w:val="41295E5E"/>
    <w:rsid w:val="72EA0700"/>
    <w:rsid w:val="7C327D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nhideWhenUsed="0" w:uiPriority="99" w:semiHidden="0" w:name="Body Text First Indent"/>
    <w:lsdException w:qFormat="1" w:unhideWhenUsed="0" w:uiPriority="0" w:semiHidden="0" w:name="Body Text First Indent 2"/>
    <w:lsdException w:uiPriority="99" w:name="Note Heading"/>
    <w:lsdException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3">
    <w:name w:val="Default Paragraph Font"/>
    <w:semiHidden/>
    <w:unhideWhenUsed/>
    <w:qFormat/>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2">
    <w:name w:val="Body Text First Indent"/>
    <w:basedOn w:val="3"/>
    <w:next w:val="5"/>
    <w:qFormat/>
    <w:uiPriority w:val="99"/>
    <w:pPr>
      <w:ind w:firstLine="420" w:firstLineChars="100"/>
    </w:pPr>
  </w:style>
  <w:style w:type="paragraph" w:styleId="3">
    <w:name w:val="Body Text"/>
    <w:basedOn w:val="1"/>
    <w:next w:val="4"/>
    <w:link w:val="21"/>
    <w:qFormat/>
    <w:uiPriority w:val="0"/>
    <w:rPr>
      <w:rFonts w:ascii="Times New Roman" w:hAnsi="Times New Roman" w:eastAsia="宋体" w:cs="Times New Roman"/>
      <w:kern w:val="0"/>
      <w:sz w:val="20"/>
      <w:szCs w:val="20"/>
    </w:rPr>
  </w:style>
  <w:style w:type="paragraph" w:styleId="4">
    <w:name w:val="Body Text 2"/>
    <w:basedOn w:val="1"/>
    <w:uiPriority w:val="0"/>
    <w:pPr>
      <w:widowControl/>
      <w:spacing w:line="360" w:lineRule="auto"/>
      <w:jc w:val="left"/>
    </w:pPr>
    <w:rPr>
      <w:rFonts w:ascii="宋体" w:hAnsi="宋体"/>
      <w:color w:val="FF0000"/>
      <w:kern w:val="0"/>
    </w:rPr>
  </w:style>
  <w:style w:type="paragraph" w:styleId="5">
    <w:name w:val="Body Text First Indent 2"/>
    <w:basedOn w:val="6"/>
    <w:next w:val="1"/>
    <w:qFormat/>
    <w:uiPriority w:val="0"/>
    <w:pPr>
      <w:ind w:firstLine="420" w:firstLineChars="200"/>
    </w:pPr>
  </w:style>
  <w:style w:type="paragraph" w:styleId="6">
    <w:name w:val="Body Text Indent"/>
    <w:basedOn w:val="1"/>
    <w:qFormat/>
    <w:uiPriority w:val="0"/>
    <w:pPr>
      <w:ind w:firstLine="420" w:firstLineChars="200"/>
      <w:jc w:val="center"/>
    </w:pPr>
  </w:style>
  <w:style w:type="paragraph" w:styleId="7">
    <w:name w:val="Date"/>
    <w:basedOn w:val="1"/>
    <w:next w:val="1"/>
    <w:link w:val="19"/>
    <w:semiHidden/>
    <w:unhideWhenUsed/>
    <w:qFormat/>
    <w:uiPriority w:val="99"/>
    <w:pPr>
      <w:ind w:left="100" w:leftChars="2500"/>
    </w:pPr>
  </w:style>
  <w:style w:type="paragraph" w:styleId="8">
    <w:name w:val="footer"/>
    <w:basedOn w:val="1"/>
    <w:link w:val="17"/>
    <w:unhideWhenUsed/>
    <w:qFormat/>
    <w:uiPriority w:val="99"/>
    <w:pPr>
      <w:tabs>
        <w:tab w:val="center" w:pos="4153"/>
        <w:tab w:val="right" w:pos="8306"/>
      </w:tabs>
      <w:snapToGrid w:val="0"/>
      <w:jc w:val="left"/>
    </w:pPr>
    <w:rPr>
      <w:sz w:val="18"/>
      <w:szCs w:val="18"/>
    </w:rPr>
  </w:style>
  <w:style w:type="paragraph" w:styleId="9">
    <w:name w:val="header"/>
    <w:basedOn w:val="1"/>
    <w:link w:val="16"/>
    <w:unhideWhenUsed/>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99"/>
    <w:pPr>
      <w:spacing w:before="100" w:beforeAutospacing="1" w:after="100" w:afterAutospacing="1"/>
      <w:jc w:val="left"/>
    </w:pPr>
    <w:rPr>
      <w:rFonts w:ascii="Calibri" w:hAnsi="Calibri" w:eastAsia="宋体" w:cs="Times New Roman"/>
      <w:kern w:val="0"/>
      <w:sz w:val="24"/>
      <w:szCs w:val="24"/>
    </w:rPr>
  </w:style>
  <w:style w:type="table" w:styleId="12">
    <w:name w:val="Table Grid"/>
    <w:basedOn w:val="1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FollowedHyperlink"/>
    <w:basedOn w:val="13"/>
    <w:semiHidden/>
    <w:unhideWhenUsed/>
    <w:uiPriority w:val="99"/>
    <w:rPr>
      <w:color w:val="000000"/>
      <w:u w:val="none"/>
    </w:rPr>
  </w:style>
  <w:style w:type="character" w:styleId="15">
    <w:name w:val="Hyperlink"/>
    <w:basedOn w:val="13"/>
    <w:semiHidden/>
    <w:unhideWhenUsed/>
    <w:qFormat/>
    <w:uiPriority w:val="99"/>
    <w:rPr>
      <w:color w:val="000000"/>
      <w:u w:val="none"/>
    </w:rPr>
  </w:style>
  <w:style w:type="character" w:customStyle="1" w:styleId="16">
    <w:name w:val="页眉 字符"/>
    <w:basedOn w:val="13"/>
    <w:link w:val="9"/>
    <w:qFormat/>
    <w:uiPriority w:val="99"/>
    <w:rPr>
      <w:sz w:val="18"/>
      <w:szCs w:val="18"/>
    </w:rPr>
  </w:style>
  <w:style w:type="character" w:customStyle="1" w:styleId="17">
    <w:name w:val="页脚 字符"/>
    <w:basedOn w:val="13"/>
    <w:link w:val="8"/>
    <w:uiPriority w:val="99"/>
    <w:rPr>
      <w:sz w:val="18"/>
      <w:szCs w:val="18"/>
    </w:rPr>
  </w:style>
  <w:style w:type="paragraph" w:customStyle="1" w:styleId="18">
    <w:name w:val="Default"/>
    <w:uiPriority w:val="0"/>
    <w:pPr>
      <w:widowControl w:val="0"/>
      <w:autoSpaceDE w:val="0"/>
      <w:autoSpaceDN w:val="0"/>
      <w:adjustRightInd w:val="0"/>
    </w:pPr>
    <w:rPr>
      <w:rFonts w:ascii="Times New Roman" w:hAnsi="Times New Roman" w:eastAsia="宋体" w:cs="宋体"/>
      <w:color w:val="000000"/>
      <w:sz w:val="24"/>
      <w:szCs w:val="24"/>
      <w:lang w:val="en-US" w:eastAsia="zh-CN" w:bidi="ar-SA"/>
    </w:rPr>
  </w:style>
  <w:style w:type="character" w:customStyle="1" w:styleId="19">
    <w:name w:val="日期 字符"/>
    <w:basedOn w:val="13"/>
    <w:link w:val="7"/>
    <w:semiHidden/>
    <w:qFormat/>
    <w:uiPriority w:val="99"/>
  </w:style>
  <w:style w:type="paragraph" w:customStyle="1" w:styleId="20">
    <w:name w:val="p0"/>
    <w:basedOn w:val="1"/>
    <w:qFormat/>
    <w:uiPriority w:val="0"/>
    <w:pPr>
      <w:widowControl/>
    </w:pPr>
    <w:rPr>
      <w:rFonts w:ascii="Calibri" w:hAnsi="Calibri" w:eastAsia="宋体" w:cs="宋体"/>
      <w:kern w:val="0"/>
      <w:szCs w:val="21"/>
    </w:rPr>
  </w:style>
  <w:style w:type="character" w:customStyle="1" w:styleId="21">
    <w:name w:val="正文文本 字符"/>
    <w:basedOn w:val="13"/>
    <w:link w:val="3"/>
    <w:qFormat/>
    <w:uiPriority w:val="0"/>
    <w:rPr>
      <w:rFonts w:ascii="Times New Roman" w:hAnsi="Times New Roman" w:eastAsia="宋体" w:cs="Times New Roman"/>
    </w:rPr>
  </w:style>
  <w:style w:type="character" w:customStyle="1" w:styleId="22">
    <w:name w:val="icon_ds"/>
    <w:basedOn w:val="13"/>
    <w:uiPriority w:val="0"/>
  </w:style>
  <w:style w:type="character" w:customStyle="1" w:styleId="23">
    <w:name w:val="fr"/>
    <w:basedOn w:val="13"/>
    <w:uiPriority w:val="0"/>
  </w:style>
  <w:style w:type="character" w:customStyle="1" w:styleId="24">
    <w:name w:val="icon_gys"/>
    <w:basedOn w:val="13"/>
    <w:uiPriority w:val="0"/>
    <w:rPr>
      <w:sz w:val="21"/>
      <w:szCs w:val="21"/>
    </w:rPr>
  </w:style>
  <w:style w:type="character" w:customStyle="1" w:styleId="25">
    <w:name w:val="first-child"/>
    <w:basedOn w:val="13"/>
    <w:uiPriority w:val="0"/>
    <w:rPr>
      <w:color w:val="1F3149"/>
      <w:sz w:val="24"/>
      <w:szCs w:val="24"/>
    </w:rPr>
  </w:style>
  <w:style w:type="character" w:customStyle="1" w:styleId="26">
    <w:name w:val="first-child1"/>
    <w:basedOn w:val="13"/>
    <w:uiPriority w:val="0"/>
    <w:rPr>
      <w:color w:val="1F3149"/>
      <w:sz w:val="24"/>
      <w:szCs w:val="24"/>
    </w:rPr>
  </w:style>
  <w:style w:type="character" w:customStyle="1" w:styleId="27">
    <w:name w:val="nth-child(1)"/>
    <w:basedOn w:val="13"/>
    <w:uiPriority w:val="0"/>
  </w:style>
  <w:style w:type="character" w:customStyle="1" w:styleId="28">
    <w:name w:val="xiadan"/>
    <w:basedOn w:val="13"/>
    <w:qFormat/>
    <w:uiPriority w:val="0"/>
    <w:rPr>
      <w:shd w:val="clear" w:fill="E4393C"/>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Sky123.Org</Company>
  <Pages>2</Pages>
  <Words>978</Words>
  <Characters>1063</Characters>
  <Lines>6</Lines>
  <Paragraphs>1</Paragraphs>
  <TotalTime>3</TotalTime>
  <ScaleCrop>false</ScaleCrop>
  <LinksUpToDate>false</LinksUpToDate>
  <CharactersWithSpaces>1107</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2021-12-03T10:02:00Z</dcterms:created>
  <dc:creator>NTKO</dc:creator>
  <cp:lastModifiedBy>Administrator</cp:lastModifiedBy>
  <dcterms:modified xsi:type="dcterms:W3CDTF">2025-06-11T08:46:37Z</dcterms:modified>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453B850663214D7D904C5B8DBD9539D2</vt:lpwstr>
  </property>
  <property fmtid="{D5CDD505-2E9C-101B-9397-08002B2CF9AE}" pid="4" name="KSOTemplateDocerSaveRecord">
    <vt:lpwstr>eyJoZGlkIjoiNzQ4NzExYzRmMjk3YTNhMmUzODliZGViMmM3ODAwMDQifQ==</vt:lpwstr>
  </property>
</Properties>
</file>