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1DE4">
      <w:pPr>
        <w:spacing w:line="600" w:lineRule="exact"/>
        <w:jc w:val="center"/>
        <w:rPr>
          <w:rFonts w:hint="eastAsia" w:ascii="仿宋_GB2312" w:hAnsi="Times New Roman" w:eastAsia="仿宋_GB2312" w:cs="Times New Roman"/>
          <w:b/>
          <w:bCs/>
          <w:color w:val="auto"/>
          <w:sz w:val="56"/>
          <w:szCs w:val="56"/>
          <w:highlight w:val="none"/>
          <w:u w:val="none"/>
          <w:lang w:val="en-US" w:eastAsia="zh-CN"/>
        </w:rPr>
      </w:pPr>
      <w:r>
        <w:rPr>
          <w:rFonts w:hint="eastAsia" w:ascii="仿宋_GB2312" w:hAnsi="Times New Roman" w:eastAsia="仿宋_GB2312" w:cs="Times New Roman"/>
          <w:b/>
          <w:bCs/>
          <w:color w:val="auto"/>
          <w:sz w:val="56"/>
          <w:szCs w:val="56"/>
          <w:highlight w:val="none"/>
          <w:u w:val="none"/>
          <w:lang w:val="en-US" w:eastAsia="zh-CN"/>
        </w:rPr>
        <w:t>安阳市殷都区机关事务中心缔盛广场物业项目</w:t>
      </w:r>
    </w:p>
    <w:p w14:paraId="3101789C">
      <w:pPr>
        <w:widowControl w:val="0"/>
        <w:snapToGrid w:val="0"/>
        <w:spacing w:line="560" w:lineRule="exact"/>
        <w:ind w:firstLine="261" w:firstLineChars="50"/>
        <w:jc w:val="center"/>
        <w:rPr>
          <w:rFonts w:ascii="黑体" w:eastAsia="黑体"/>
          <w:b/>
          <w:color w:val="auto"/>
          <w:spacing w:val="40"/>
          <w:sz w:val="44"/>
          <w:szCs w:val="44"/>
        </w:rPr>
      </w:pPr>
    </w:p>
    <w:p w14:paraId="00F26223">
      <w:pPr>
        <w:widowControl w:val="0"/>
        <w:snapToGrid w:val="0"/>
        <w:spacing w:beforeLines="100" w:line="560" w:lineRule="exact"/>
        <w:jc w:val="center"/>
        <w:rPr>
          <w:rFonts w:eastAsia="黑体"/>
          <w:b/>
          <w:color w:val="auto"/>
          <w:sz w:val="44"/>
        </w:rPr>
      </w:pPr>
    </w:p>
    <w:p w14:paraId="762740F4">
      <w:pPr>
        <w:pStyle w:val="2"/>
      </w:pPr>
    </w:p>
    <w:p w14:paraId="07823206">
      <w:pPr>
        <w:widowControl w:val="0"/>
        <w:snapToGrid w:val="0"/>
        <w:spacing w:beforeLines="100" w:line="240" w:lineRule="auto"/>
        <w:jc w:val="both"/>
        <w:rPr>
          <w:rFonts w:eastAsia="黑体"/>
          <w:b/>
          <w:color w:val="auto"/>
          <w:sz w:val="44"/>
        </w:rPr>
      </w:pPr>
    </w:p>
    <w:p w14:paraId="28D0006A">
      <w:pPr>
        <w:widowControl w:val="0"/>
        <w:snapToGrid w:val="0"/>
        <w:spacing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lang w:val="en-US" w:eastAsia="zh-CN"/>
        </w:rPr>
        <w:t>谈判</w:t>
      </w:r>
      <w:r>
        <w:rPr>
          <w:rFonts w:hint="eastAsia" w:ascii="华文新魏" w:hAnsi="微软雅黑" w:eastAsia="华文新魏"/>
          <w:b/>
          <w:color w:val="auto"/>
          <w:sz w:val="116"/>
          <w:szCs w:val="116"/>
        </w:rPr>
        <w:t>文件</w:t>
      </w:r>
    </w:p>
    <w:p w14:paraId="7134FA9E">
      <w:pPr>
        <w:ind w:firstLine="3200" w:firstLineChars="1000"/>
        <w:jc w:val="both"/>
        <w:rPr>
          <w:rFonts w:hint="default" w:ascii="宋体" w:hAnsi="宋体" w:eastAsia="宋体" w:cs="宋体"/>
          <w:sz w:val="40"/>
          <w:szCs w:val="40"/>
          <w:highlight w:val="none"/>
          <w:lang w:val="en-US" w:eastAsia="zh-CN"/>
        </w:rPr>
      </w:pPr>
      <w:r>
        <w:rPr>
          <w:rFonts w:hint="eastAsia" w:ascii="宋体" w:hAnsi="宋体"/>
          <w:color w:val="auto"/>
          <w:sz w:val="32"/>
          <w:szCs w:val="32"/>
          <w:highlight w:val="none"/>
        </w:rPr>
        <w:t>殷竞</w:t>
      </w:r>
      <w:r>
        <w:rPr>
          <w:rFonts w:hint="eastAsia" w:ascii="宋体" w:hAnsi="宋体"/>
          <w:color w:val="auto"/>
          <w:sz w:val="32"/>
          <w:szCs w:val="32"/>
          <w:highlight w:val="none"/>
          <w:lang w:eastAsia="zh-CN"/>
        </w:rPr>
        <w:t>谈-202</w:t>
      </w:r>
      <w:r>
        <w:rPr>
          <w:rFonts w:hint="eastAsia" w:ascii="宋体" w:hAnsi="宋体"/>
          <w:color w:val="auto"/>
          <w:sz w:val="32"/>
          <w:szCs w:val="32"/>
          <w:highlight w:val="none"/>
          <w:lang w:val="en-US" w:eastAsia="zh-CN"/>
        </w:rPr>
        <w:t>5</w:t>
      </w:r>
      <w:r>
        <w:rPr>
          <w:rFonts w:hint="eastAsia" w:ascii="宋体" w:hAnsi="宋体"/>
          <w:color w:val="auto"/>
          <w:sz w:val="32"/>
          <w:szCs w:val="32"/>
          <w:highlight w:val="none"/>
          <w:lang w:eastAsia="zh-CN"/>
        </w:rPr>
        <w:t>-</w:t>
      </w:r>
      <w:r>
        <w:rPr>
          <w:rFonts w:hint="eastAsia" w:ascii="宋体" w:hAnsi="宋体"/>
          <w:color w:val="auto"/>
          <w:sz w:val="32"/>
          <w:szCs w:val="32"/>
          <w:highlight w:val="none"/>
          <w:lang w:val="en-US" w:eastAsia="zh-CN"/>
        </w:rPr>
        <w:t>5</w:t>
      </w:r>
    </w:p>
    <w:p w14:paraId="64B2F4F9">
      <w:pPr>
        <w:widowControl w:val="0"/>
        <w:snapToGrid w:val="0"/>
        <w:spacing w:beforeLines="100" w:line="560" w:lineRule="exact"/>
        <w:jc w:val="center"/>
        <w:rPr>
          <w:rFonts w:hint="eastAsia" w:ascii="宋体" w:hAnsi="宋体"/>
          <w:color w:val="auto"/>
          <w:sz w:val="32"/>
          <w:szCs w:val="32"/>
        </w:rPr>
      </w:pPr>
      <w:r>
        <w:rPr>
          <w:rFonts w:hint="eastAsia" w:ascii="宋体" w:hAnsi="宋体" w:cs="宋体"/>
          <w:color w:val="auto"/>
          <w:highlight w:val="none"/>
        </w:rPr>
        <w:drawing>
          <wp:anchor distT="0" distB="0" distL="114300" distR="114300" simplePos="0" relativeHeight="251659264" behindDoc="0" locked="0" layoutInCell="1" allowOverlap="1">
            <wp:simplePos x="0" y="0"/>
            <wp:positionH relativeFrom="column">
              <wp:posOffset>1235075</wp:posOffset>
            </wp:positionH>
            <wp:positionV relativeFrom="paragraph">
              <wp:posOffset>462280</wp:posOffset>
            </wp:positionV>
            <wp:extent cx="3292475" cy="2027555"/>
            <wp:effectExtent l="0" t="0" r="3175" b="10795"/>
            <wp:wrapNone/>
            <wp:docPr id="1" name="图片 3" descr="中弘LOGO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中弘LOGO_看图王"/>
                    <pic:cNvPicPr>
                      <a:picLocks noChangeAspect="1"/>
                    </pic:cNvPicPr>
                  </pic:nvPicPr>
                  <pic:blipFill>
                    <a:blip r:embed="rId14"/>
                    <a:stretch>
                      <a:fillRect/>
                    </a:stretch>
                  </pic:blipFill>
                  <pic:spPr>
                    <a:xfrm>
                      <a:off x="0" y="0"/>
                      <a:ext cx="3292475" cy="2027555"/>
                    </a:xfrm>
                    <a:prstGeom prst="rect">
                      <a:avLst/>
                    </a:prstGeom>
                    <a:noFill/>
                    <a:ln>
                      <a:noFill/>
                    </a:ln>
                  </pic:spPr>
                </pic:pic>
              </a:graphicData>
            </a:graphic>
          </wp:anchor>
        </w:drawing>
      </w:r>
    </w:p>
    <w:p w14:paraId="1E6E3FA5">
      <w:pPr>
        <w:widowControl w:val="0"/>
        <w:snapToGrid w:val="0"/>
        <w:spacing w:beforeLines="100" w:line="560" w:lineRule="exact"/>
        <w:jc w:val="center"/>
        <w:rPr>
          <w:rFonts w:eastAsia="黑体"/>
          <w:b/>
          <w:color w:val="auto"/>
          <w:sz w:val="44"/>
        </w:rPr>
      </w:pPr>
    </w:p>
    <w:p w14:paraId="542F5339">
      <w:pPr>
        <w:pStyle w:val="21"/>
      </w:pPr>
    </w:p>
    <w:p w14:paraId="590510E1">
      <w:pPr>
        <w:widowControl w:val="0"/>
        <w:snapToGrid w:val="0"/>
        <w:spacing w:beforeLines="100" w:line="560" w:lineRule="exact"/>
        <w:jc w:val="center"/>
        <w:rPr>
          <w:rFonts w:eastAsia="黑体"/>
          <w:b/>
          <w:color w:val="auto"/>
          <w:sz w:val="44"/>
        </w:rPr>
      </w:pPr>
    </w:p>
    <w:p w14:paraId="1F6746BE">
      <w:pPr>
        <w:widowControl w:val="0"/>
        <w:snapToGrid w:val="0"/>
        <w:spacing w:beforeLines="100" w:line="560" w:lineRule="exact"/>
        <w:rPr>
          <w:rFonts w:eastAsia="黑体"/>
          <w:b/>
          <w:color w:val="auto"/>
          <w:sz w:val="44"/>
        </w:rPr>
      </w:pPr>
    </w:p>
    <w:p w14:paraId="03D320C6">
      <w:pPr>
        <w:pStyle w:val="8"/>
        <w:rPr>
          <w:rFonts w:eastAsia="黑体"/>
          <w:b/>
          <w:color w:val="auto"/>
          <w:sz w:val="44"/>
        </w:rPr>
      </w:pPr>
    </w:p>
    <w:p w14:paraId="6454B6D4">
      <w:pPr>
        <w:pStyle w:val="8"/>
        <w:rPr>
          <w:rFonts w:eastAsia="黑体"/>
          <w:b/>
          <w:color w:val="auto"/>
          <w:sz w:val="44"/>
        </w:rPr>
      </w:pPr>
    </w:p>
    <w:p w14:paraId="3B95B1CA">
      <w:pPr>
        <w:pStyle w:val="8"/>
        <w:rPr>
          <w:rFonts w:eastAsia="黑体"/>
          <w:b/>
          <w:color w:val="auto"/>
          <w:sz w:val="44"/>
        </w:rPr>
      </w:pPr>
    </w:p>
    <w:p w14:paraId="0084E39B">
      <w:pPr>
        <w:widowControl w:val="0"/>
        <w:snapToGrid w:val="0"/>
        <w:spacing w:line="660" w:lineRule="exact"/>
        <w:ind w:firstLine="1500" w:firstLineChars="467"/>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lang w:eastAsia="zh-CN"/>
        </w:rPr>
        <w:t>采购人：</w:t>
      </w:r>
      <w:r>
        <w:rPr>
          <w:rFonts w:hint="eastAsia" w:ascii="宋体" w:hAnsi="宋体" w:eastAsia="宋体" w:cs="宋体"/>
          <w:b/>
          <w:bCs w:val="0"/>
          <w:color w:val="auto"/>
          <w:sz w:val="32"/>
          <w:szCs w:val="32"/>
          <w:highlight w:val="none"/>
          <w:lang w:val="en-US" w:eastAsia="zh-CN"/>
        </w:rPr>
        <w:t>安阳市殷都区机关事务中心</w:t>
      </w:r>
    </w:p>
    <w:p w14:paraId="52CF738B">
      <w:pPr>
        <w:widowControl w:val="0"/>
        <w:snapToGrid w:val="0"/>
        <w:spacing w:line="660" w:lineRule="exact"/>
        <w:ind w:firstLine="1500" w:firstLineChars="467"/>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rPr>
        <w:t>代理机构：</w:t>
      </w:r>
      <w:r>
        <w:rPr>
          <w:rFonts w:hint="eastAsia" w:ascii="宋体" w:hAnsi="宋体" w:eastAsia="宋体" w:cs="宋体"/>
          <w:b/>
          <w:bCs w:val="0"/>
          <w:color w:val="auto"/>
          <w:sz w:val="32"/>
          <w:szCs w:val="32"/>
          <w:highlight w:val="none"/>
          <w:lang w:eastAsia="zh-CN"/>
        </w:rPr>
        <w:t>中弘天合工程咨询有限公司</w:t>
      </w:r>
    </w:p>
    <w:p w14:paraId="1F546449">
      <w:pPr>
        <w:pStyle w:val="21"/>
        <w:tabs>
          <w:tab w:val="left" w:pos="0"/>
        </w:tabs>
        <w:ind w:firstLine="2891" w:firstLineChars="900"/>
        <w:rPr>
          <w:rFonts w:hint="eastAsia" w:ascii="宋体" w:hAnsi="宋体" w:eastAsia="宋体" w:cs="宋体"/>
          <w:b/>
          <w:bCs w:val="0"/>
          <w:color w:val="auto"/>
          <w:sz w:val="32"/>
          <w:szCs w:val="32"/>
          <w:highlight w:val="none"/>
          <w:u w:color="000000"/>
          <w:lang w:val="en-US" w:eastAsia="zh-CN" w:bidi="ar-SA"/>
        </w:rPr>
      </w:pPr>
      <w:r>
        <w:rPr>
          <w:rFonts w:hint="eastAsia" w:ascii="宋体" w:hAnsi="宋体" w:eastAsia="宋体" w:cs="宋体"/>
          <w:b/>
          <w:bCs w:val="0"/>
          <w:color w:val="auto"/>
          <w:sz w:val="32"/>
          <w:szCs w:val="32"/>
          <w:highlight w:val="none"/>
          <w:u w:color="000000"/>
          <w:lang w:val="en-US" w:eastAsia="zh-CN" w:bidi="ar-SA"/>
        </w:rPr>
        <w:t>二〇二五年</w:t>
      </w:r>
      <w:r>
        <w:rPr>
          <w:rFonts w:hint="eastAsia" w:ascii="宋体" w:hAnsi="宋体" w:cs="宋体"/>
          <w:b/>
          <w:bCs w:val="0"/>
          <w:color w:val="auto"/>
          <w:sz w:val="32"/>
          <w:szCs w:val="32"/>
          <w:highlight w:val="none"/>
          <w:u w:color="000000"/>
          <w:lang w:val="en-US" w:eastAsia="zh-CN" w:bidi="ar-SA"/>
        </w:rPr>
        <w:t>五</w:t>
      </w:r>
      <w:r>
        <w:rPr>
          <w:rFonts w:hint="eastAsia" w:ascii="宋体" w:hAnsi="宋体" w:eastAsia="宋体" w:cs="宋体"/>
          <w:b/>
          <w:bCs w:val="0"/>
          <w:color w:val="auto"/>
          <w:sz w:val="32"/>
          <w:szCs w:val="32"/>
          <w:highlight w:val="none"/>
          <w:u w:color="000000"/>
          <w:lang w:val="en-US" w:eastAsia="zh-CN" w:bidi="ar-SA"/>
        </w:rPr>
        <w:t>月</w:t>
      </w:r>
    </w:p>
    <w:p w14:paraId="3C825997">
      <w:pPr>
        <w:pStyle w:val="6"/>
        <w:rPr>
          <w:rFonts w:hint="eastAsia" w:ascii="黑体" w:hAnsi="黑体" w:eastAsia="黑体"/>
          <w:b/>
          <w:color w:val="auto"/>
          <w:sz w:val="32"/>
          <w:szCs w:val="32"/>
          <w:lang w:eastAsia="zh-CN"/>
        </w:rPr>
      </w:pPr>
    </w:p>
    <w:p w14:paraId="41078EA9">
      <w:pPr>
        <w:rPr>
          <w:rFonts w:hint="eastAsia"/>
          <w:lang w:eastAsia="zh-CN"/>
        </w:rPr>
        <w:sectPr>
          <w:footerReference r:id="rId9" w:type="first"/>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0"/>
          <w:cols w:space="720" w:num="1"/>
          <w:titlePg/>
        </w:sectPr>
      </w:pPr>
    </w:p>
    <w:p w14:paraId="275F2777">
      <w:pPr>
        <w:pStyle w:val="67"/>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14:paraId="26D4EE87">
      <w:pPr>
        <w:pStyle w:val="15"/>
        <w:tabs>
          <w:tab w:val="right" w:leader="dot" w:pos="9371"/>
        </w:tabs>
        <w:rPr>
          <w:rFonts w:ascii="Calibri" w:hAnsi="Calibr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"_Toc106792500" </w:instrText>
      </w:r>
      <w:r>
        <w:fldChar w:fldCharType="separate"/>
      </w:r>
      <w:r>
        <w:rPr>
          <w:rStyle w:val="33"/>
          <w:rFonts w:hint="eastAsia" w:eastAsia="黑体"/>
          <w:b/>
          <w:color w:val="auto"/>
        </w:rPr>
        <w:t>第一章</w:t>
      </w:r>
      <w:r>
        <w:rPr>
          <w:rStyle w:val="33"/>
          <w:rFonts w:eastAsia="黑体"/>
          <w:b/>
          <w:color w:val="auto"/>
        </w:rPr>
        <w:t xml:space="preserve">  </w:t>
      </w:r>
      <w:r>
        <w:rPr>
          <w:rStyle w:val="33"/>
          <w:rFonts w:hint="eastAsia" w:eastAsia="黑体"/>
          <w:b/>
          <w:color w:val="auto"/>
        </w:rPr>
        <w:t>竞争性</w:t>
      </w:r>
      <w:r>
        <w:rPr>
          <w:rStyle w:val="33"/>
          <w:rFonts w:hint="eastAsia" w:eastAsia="黑体"/>
          <w:b/>
          <w:color w:val="auto"/>
          <w:lang w:eastAsia="zh-CN"/>
        </w:rPr>
        <w:t>谈判</w:t>
      </w:r>
      <w:r>
        <w:rPr>
          <w:rStyle w:val="33"/>
          <w:rFonts w:hint="eastAsia" w:eastAsia="黑体"/>
          <w:b/>
          <w:color w:val="auto"/>
        </w:rPr>
        <w:t>公告</w:t>
      </w:r>
      <w:r>
        <w:rPr>
          <w:color w:val="auto"/>
        </w:rPr>
        <w:tab/>
      </w:r>
      <w:r>
        <w:rPr>
          <w:color w:val="auto"/>
        </w:rPr>
        <w:fldChar w:fldCharType="begin"/>
      </w:r>
      <w:r>
        <w:rPr>
          <w:color w:val="auto"/>
        </w:rPr>
        <w:instrText xml:space="preserve"> PAGEREF _Toc106792500 \h </w:instrText>
      </w:r>
      <w:r>
        <w:rPr>
          <w:color w:val="auto"/>
        </w:rPr>
        <w:fldChar w:fldCharType="separate"/>
      </w:r>
      <w:r>
        <w:rPr>
          <w:color w:val="auto"/>
        </w:rPr>
        <w:t>- 1 -</w:t>
      </w:r>
      <w:r>
        <w:rPr>
          <w:color w:val="auto"/>
        </w:rPr>
        <w:fldChar w:fldCharType="end"/>
      </w:r>
      <w:r>
        <w:rPr>
          <w:color w:val="auto"/>
        </w:rPr>
        <w:fldChar w:fldCharType="end"/>
      </w:r>
    </w:p>
    <w:p w14:paraId="1F282B51">
      <w:pPr>
        <w:pStyle w:val="15"/>
        <w:tabs>
          <w:tab w:val="right" w:leader="dot" w:pos="9371"/>
        </w:tabs>
        <w:rPr>
          <w:rFonts w:ascii="Calibri" w:hAnsi="Calibri"/>
          <w:color w:val="auto"/>
          <w:kern w:val="2"/>
          <w:szCs w:val="22"/>
        </w:rPr>
      </w:pPr>
      <w:r>
        <w:fldChar w:fldCharType="begin"/>
      </w:r>
      <w:r>
        <w:instrText xml:space="preserve"> HYPERLINK \l "_Toc106792501" </w:instrText>
      </w:r>
      <w:r>
        <w:fldChar w:fldCharType="separate"/>
      </w:r>
      <w:r>
        <w:rPr>
          <w:rStyle w:val="33"/>
          <w:rFonts w:hint="eastAsia" w:eastAsia="黑体"/>
          <w:b/>
          <w:color w:val="auto"/>
        </w:rPr>
        <w:t>第二章</w:t>
      </w:r>
      <w:r>
        <w:rPr>
          <w:rStyle w:val="33"/>
          <w:rFonts w:eastAsia="黑体"/>
          <w:b/>
          <w:color w:val="auto"/>
        </w:rPr>
        <w:t xml:space="preserve">  </w:t>
      </w:r>
      <w:r>
        <w:rPr>
          <w:rStyle w:val="33"/>
          <w:rFonts w:hint="eastAsia" w:eastAsia="黑体"/>
          <w:b/>
          <w:color w:val="auto"/>
        </w:rPr>
        <w:t>采购项目及技术服务要求</w:t>
      </w:r>
      <w:r>
        <w:rPr>
          <w:color w:val="auto"/>
        </w:rPr>
        <w:tab/>
      </w:r>
      <w:r>
        <w:rPr>
          <w:color w:val="auto"/>
        </w:rPr>
        <w:fldChar w:fldCharType="begin"/>
      </w:r>
      <w:r>
        <w:rPr>
          <w:color w:val="auto"/>
        </w:rPr>
        <w:instrText xml:space="preserve"> PAGEREF _Toc106792501 \h </w:instrText>
      </w:r>
      <w:r>
        <w:rPr>
          <w:color w:val="auto"/>
        </w:rPr>
        <w:fldChar w:fldCharType="separate"/>
      </w:r>
      <w:r>
        <w:rPr>
          <w:color w:val="auto"/>
        </w:rPr>
        <w:t>- 5 -</w:t>
      </w:r>
      <w:r>
        <w:rPr>
          <w:color w:val="auto"/>
        </w:rPr>
        <w:fldChar w:fldCharType="end"/>
      </w:r>
      <w:r>
        <w:rPr>
          <w:color w:val="auto"/>
        </w:rPr>
        <w:fldChar w:fldCharType="end"/>
      </w:r>
    </w:p>
    <w:p w14:paraId="143E3B5A">
      <w:pPr>
        <w:pStyle w:val="16"/>
        <w:tabs>
          <w:tab w:val="right" w:leader="dot" w:pos="9371"/>
        </w:tabs>
        <w:rPr>
          <w:rFonts w:ascii="Calibri" w:hAnsi="Calibri"/>
          <w:color w:val="auto"/>
          <w:kern w:val="2"/>
          <w:szCs w:val="22"/>
        </w:rPr>
      </w:pPr>
      <w:r>
        <w:fldChar w:fldCharType="begin"/>
      </w:r>
      <w:r>
        <w:instrText xml:space="preserve"> HYPERLINK \l "_Toc106792502" </w:instrText>
      </w:r>
      <w:r>
        <w:fldChar w:fldCharType="separate"/>
      </w:r>
      <w:r>
        <w:rPr>
          <w:rStyle w:val="33"/>
          <w:rFonts w:ascii="黑体" w:hAnsi="黑体" w:eastAsia="黑体"/>
          <w:b/>
          <w:color w:val="auto"/>
        </w:rPr>
        <w:t xml:space="preserve">1. </w:t>
      </w:r>
      <w:r>
        <w:rPr>
          <w:rStyle w:val="33"/>
          <w:rFonts w:hint="eastAsia" w:ascii="黑体" w:hAnsi="黑体" w:eastAsia="黑体"/>
          <w:b/>
          <w:color w:val="auto"/>
        </w:rPr>
        <w:t>采购项目、标段（包）划分、</w:t>
      </w:r>
      <w:r>
        <w:rPr>
          <w:rStyle w:val="33"/>
          <w:rFonts w:hint="eastAsia" w:ascii="黑体" w:hAnsi="黑体" w:eastAsia="黑体"/>
          <w:b/>
          <w:color w:val="auto"/>
          <w:lang w:eastAsia="zh-CN"/>
        </w:rPr>
        <w:t>谈判</w:t>
      </w:r>
      <w:r>
        <w:rPr>
          <w:rStyle w:val="33"/>
          <w:rFonts w:hint="eastAsia" w:ascii="黑体" w:hAnsi="黑体" w:eastAsia="黑体"/>
          <w:b/>
          <w:color w:val="auto"/>
        </w:rPr>
        <w:t>报价</w:t>
      </w:r>
      <w:r>
        <w:rPr>
          <w:color w:val="auto"/>
        </w:rPr>
        <w:tab/>
      </w:r>
      <w:r>
        <w:rPr>
          <w:color w:val="auto"/>
        </w:rPr>
        <w:fldChar w:fldCharType="begin"/>
      </w:r>
      <w:r>
        <w:rPr>
          <w:color w:val="auto"/>
        </w:rPr>
        <w:instrText xml:space="preserve"> PAGEREF _Toc106792502 \h </w:instrText>
      </w:r>
      <w:r>
        <w:rPr>
          <w:color w:val="auto"/>
        </w:rPr>
        <w:fldChar w:fldCharType="separate"/>
      </w:r>
      <w:r>
        <w:rPr>
          <w:color w:val="auto"/>
        </w:rPr>
        <w:t>- 5 -</w:t>
      </w:r>
      <w:r>
        <w:rPr>
          <w:color w:val="auto"/>
        </w:rPr>
        <w:fldChar w:fldCharType="end"/>
      </w:r>
      <w:r>
        <w:rPr>
          <w:color w:val="auto"/>
        </w:rPr>
        <w:fldChar w:fldCharType="end"/>
      </w:r>
    </w:p>
    <w:p w14:paraId="590DFB80">
      <w:pPr>
        <w:pStyle w:val="16"/>
        <w:tabs>
          <w:tab w:val="right" w:leader="dot" w:pos="9371"/>
        </w:tabs>
        <w:rPr>
          <w:rFonts w:ascii="Calibri" w:hAnsi="Calibri"/>
          <w:color w:val="auto"/>
          <w:kern w:val="2"/>
          <w:szCs w:val="22"/>
        </w:rPr>
      </w:pPr>
      <w:r>
        <w:fldChar w:fldCharType="begin"/>
      </w:r>
      <w:r>
        <w:instrText xml:space="preserve"> HYPERLINK \l "_Toc106792503" </w:instrText>
      </w:r>
      <w:r>
        <w:fldChar w:fldCharType="separate"/>
      </w:r>
      <w:r>
        <w:rPr>
          <w:rStyle w:val="33"/>
          <w:rFonts w:ascii="黑体" w:hAnsi="黑体" w:eastAsia="黑体"/>
          <w:b/>
          <w:color w:val="auto"/>
        </w:rPr>
        <w:t xml:space="preserve">2. </w:t>
      </w:r>
      <w:r>
        <w:rPr>
          <w:rStyle w:val="33"/>
          <w:rFonts w:hint="eastAsia" w:ascii="黑体" w:hAnsi="黑体" w:eastAsia="黑体"/>
          <w:b/>
          <w:color w:val="auto"/>
        </w:rPr>
        <w:t>标段（包）内容（范围）及基本技术要求</w:t>
      </w:r>
      <w:r>
        <w:rPr>
          <w:color w:val="auto"/>
        </w:rPr>
        <w:tab/>
      </w:r>
      <w:r>
        <w:rPr>
          <w:color w:val="auto"/>
        </w:rPr>
        <w:fldChar w:fldCharType="begin"/>
      </w:r>
      <w:r>
        <w:rPr>
          <w:color w:val="auto"/>
        </w:rPr>
        <w:instrText xml:space="preserve"> PAGEREF _Toc106792502 \h </w:instrText>
      </w:r>
      <w:r>
        <w:rPr>
          <w:color w:val="auto"/>
        </w:rPr>
        <w:fldChar w:fldCharType="separate"/>
      </w:r>
      <w:r>
        <w:rPr>
          <w:color w:val="auto"/>
        </w:rPr>
        <w:t>- 5 -</w:t>
      </w:r>
      <w:r>
        <w:rPr>
          <w:color w:val="auto"/>
        </w:rPr>
        <w:fldChar w:fldCharType="end"/>
      </w:r>
      <w:r>
        <w:rPr>
          <w:color w:val="auto"/>
        </w:rPr>
        <w:fldChar w:fldCharType="end"/>
      </w:r>
    </w:p>
    <w:p w14:paraId="7B81F046">
      <w:pPr>
        <w:pStyle w:val="16"/>
        <w:tabs>
          <w:tab w:val="right" w:leader="dot" w:pos="9371"/>
        </w:tabs>
        <w:rPr>
          <w:rFonts w:ascii="Calibri" w:hAnsi="Calibri"/>
          <w:color w:val="auto"/>
          <w:kern w:val="2"/>
          <w:szCs w:val="22"/>
        </w:rPr>
      </w:pPr>
      <w:r>
        <w:fldChar w:fldCharType="begin"/>
      </w:r>
      <w:r>
        <w:instrText xml:space="preserve"> HYPERLINK \l "_Toc106792505" </w:instrText>
      </w:r>
      <w:r>
        <w:fldChar w:fldCharType="separate"/>
      </w:r>
      <w:r>
        <w:rPr>
          <w:rStyle w:val="33"/>
          <w:rFonts w:ascii="黑体" w:hAnsi="黑体" w:eastAsia="黑体"/>
          <w:b/>
          <w:color w:val="auto"/>
        </w:rPr>
        <w:t xml:space="preserve">3. </w:t>
      </w:r>
      <w:r>
        <w:rPr>
          <w:rStyle w:val="33"/>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_Toc106792505 \h </w:instrText>
      </w:r>
      <w:r>
        <w:rPr>
          <w:color w:val="auto"/>
        </w:rPr>
        <w:fldChar w:fldCharType="separate"/>
      </w:r>
      <w:r>
        <w:rPr>
          <w:color w:val="auto"/>
        </w:rPr>
        <w:t>- 12 -</w:t>
      </w:r>
      <w:r>
        <w:rPr>
          <w:color w:val="auto"/>
        </w:rPr>
        <w:fldChar w:fldCharType="end"/>
      </w:r>
      <w:r>
        <w:rPr>
          <w:color w:val="auto"/>
        </w:rPr>
        <w:fldChar w:fldCharType="end"/>
      </w:r>
    </w:p>
    <w:p w14:paraId="3468D00B">
      <w:pPr>
        <w:pStyle w:val="15"/>
        <w:tabs>
          <w:tab w:val="right" w:leader="dot" w:pos="9371"/>
        </w:tabs>
        <w:rPr>
          <w:rFonts w:ascii="Calibri" w:hAnsi="Calibri"/>
          <w:color w:val="auto"/>
          <w:kern w:val="2"/>
          <w:szCs w:val="22"/>
        </w:rPr>
      </w:pPr>
      <w:r>
        <w:fldChar w:fldCharType="begin"/>
      </w:r>
      <w:r>
        <w:instrText xml:space="preserve"> HYPERLINK \l "_Toc106792506" </w:instrText>
      </w:r>
      <w:r>
        <w:fldChar w:fldCharType="separate"/>
      </w:r>
      <w:r>
        <w:rPr>
          <w:rStyle w:val="33"/>
          <w:rFonts w:hint="eastAsia" w:eastAsia="黑体"/>
          <w:b/>
          <w:color w:val="auto"/>
        </w:rPr>
        <w:t>第三章</w:t>
      </w:r>
      <w:r>
        <w:rPr>
          <w:rStyle w:val="33"/>
          <w:rFonts w:eastAsia="黑体"/>
          <w:b/>
          <w:color w:val="auto"/>
        </w:rPr>
        <w:t xml:space="preserve">  </w:t>
      </w:r>
      <w:r>
        <w:rPr>
          <w:rStyle w:val="33"/>
          <w:rFonts w:hint="eastAsia" w:eastAsia="黑体"/>
          <w:b/>
          <w:color w:val="auto"/>
        </w:rPr>
        <w:t>供应商须知</w:t>
      </w:r>
      <w:r>
        <w:rPr>
          <w:color w:val="auto"/>
        </w:rPr>
        <w:tab/>
      </w:r>
      <w:r>
        <w:rPr>
          <w:color w:val="auto"/>
        </w:rPr>
        <w:fldChar w:fldCharType="begin"/>
      </w:r>
      <w:r>
        <w:rPr>
          <w:color w:val="auto"/>
        </w:rPr>
        <w:instrText xml:space="preserve"> PAGEREF _Toc106792506 \h </w:instrText>
      </w:r>
      <w:r>
        <w:rPr>
          <w:color w:val="auto"/>
        </w:rPr>
        <w:fldChar w:fldCharType="separate"/>
      </w:r>
      <w:r>
        <w:rPr>
          <w:color w:val="auto"/>
        </w:rPr>
        <w:t>- 13 -</w:t>
      </w:r>
      <w:r>
        <w:rPr>
          <w:color w:val="auto"/>
        </w:rPr>
        <w:fldChar w:fldCharType="end"/>
      </w:r>
      <w:r>
        <w:rPr>
          <w:color w:val="auto"/>
        </w:rPr>
        <w:fldChar w:fldCharType="end"/>
      </w:r>
    </w:p>
    <w:p w14:paraId="53AB3297">
      <w:pPr>
        <w:pStyle w:val="16"/>
        <w:tabs>
          <w:tab w:val="right" w:leader="dot" w:pos="9371"/>
        </w:tabs>
        <w:rPr>
          <w:rFonts w:ascii="Calibri" w:hAnsi="Calibri"/>
          <w:color w:val="auto"/>
          <w:kern w:val="2"/>
          <w:szCs w:val="22"/>
        </w:rPr>
      </w:pPr>
      <w:r>
        <w:fldChar w:fldCharType="begin"/>
      </w:r>
      <w:r>
        <w:instrText xml:space="preserve"> HYPERLINK \l "_Toc106792507" </w:instrText>
      </w:r>
      <w:r>
        <w:fldChar w:fldCharType="separate"/>
      </w:r>
      <w:r>
        <w:rPr>
          <w:rStyle w:val="33"/>
          <w:rFonts w:hint="eastAsia" w:eastAsia="黑体"/>
          <w:b/>
          <w:color w:val="auto"/>
        </w:rPr>
        <w:t>供应商须知前附表</w:t>
      </w:r>
      <w:r>
        <w:rPr>
          <w:color w:val="auto"/>
        </w:rPr>
        <w:tab/>
      </w:r>
      <w:r>
        <w:rPr>
          <w:color w:val="auto"/>
        </w:rPr>
        <w:fldChar w:fldCharType="begin"/>
      </w:r>
      <w:r>
        <w:rPr>
          <w:color w:val="auto"/>
        </w:rPr>
        <w:instrText xml:space="preserve"> PAGEREF _Toc106792507 \h </w:instrText>
      </w:r>
      <w:r>
        <w:rPr>
          <w:color w:val="auto"/>
        </w:rPr>
        <w:fldChar w:fldCharType="separate"/>
      </w:r>
      <w:r>
        <w:rPr>
          <w:color w:val="auto"/>
        </w:rPr>
        <w:t>- 13 -</w:t>
      </w:r>
      <w:r>
        <w:rPr>
          <w:color w:val="auto"/>
        </w:rPr>
        <w:fldChar w:fldCharType="end"/>
      </w:r>
      <w:r>
        <w:rPr>
          <w:color w:val="auto"/>
        </w:rPr>
        <w:fldChar w:fldCharType="end"/>
      </w:r>
    </w:p>
    <w:p w14:paraId="7E49C14D">
      <w:pPr>
        <w:pStyle w:val="16"/>
        <w:tabs>
          <w:tab w:val="right" w:leader="dot" w:pos="9371"/>
        </w:tabs>
        <w:rPr>
          <w:rFonts w:ascii="Calibri" w:hAnsi="Calibri"/>
          <w:color w:val="auto"/>
          <w:kern w:val="2"/>
          <w:szCs w:val="22"/>
        </w:rPr>
      </w:pPr>
      <w:r>
        <w:fldChar w:fldCharType="begin"/>
      </w:r>
      <w:r>
        <w:instrText xml:space="preserve"> HYPERLINK \l "_Toc106792508" </w:instrText>
      </w:r>
      <w:r>
        <w:fldChar w:fldCharType="separate"/>
      </w:r>
      <w:r>
        <w:rPr>
          <w:rStyle w:val="33"/>
          <w:rFonts w:ascii="黑体" w:hAnsi="黑体" w:eastAsia="黑体" w:cs="楷体_GB2312"/>
          <w:b/>
          <w:bCs/>
          <w:color w:val="auto"/>
          <w:lang w:val="zh-CN"/>
        </w:rPr>
        <w:t xml:space="preserve">1. </w:t>
      </w:r>
      <w:r>
        <w:rPr>
          <w:rStyle w:val="33"/>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_Toc106792508 \h </w:instrText>
      </w:r>
      <w:r>
        <w:rPr>
          <w:color w:val="auto"/>
        </w:rPr>
        <w:fldChar w:fldCharType="separate"/>
      </w:r>
      <w:r>
        <w:rPr>
          <w:color w:val="auto"/>
        </w:rPr>
        <w:t>- 16 -</w:t>
      </w:r>
      <w:r>
        <w:rPr>
          <w:color w:val="auto"/>
        </w:rPr>
        <w:fldChar w:fldCharType="end"/>
      </w:r>
      <w:r>
        <w:rPr>
          <w:color w:val="auto"/>
        </w:rPr>
        <w:fldChar w:fldCharType="end"/>
      </w:r>
    </w:p>
    <w:p w14:paraId="5EAA4268">
      <w:pPr>
        <w:pStyle w:val="16"/>
        <w:tabs>
          <w:tab w:val="right" w:leader="dot" w:pos="9371"/>
        </w:tabs>
        <w:rPr>
          <w:rFonts w:ascii="Calibri" w:hAnsi="Calibri"/>
          <w:color w:val="auto"/>
          <w:kern w:val="2"/>
          <w:szCs w:val="22"/>
        </w:rPr>
      </w:pPr>
      <w:r>
        <w:fldChar w:fldCharType="begin"/>
      </w:r>
      <w:r>
        <w:instrText xml:space="preserve"> HYPERLINK \l "_Toc106792509" </w:instrText>
      </w:r>
      <w:r>
        <w:fldChar w:fldCharType="separate"/>
      </w:r>
      <w:r>
        <w:rPr>
          <w:rStyle w:val="33"/>
          <w:rFonts w:ascii="黑体" w:hAnsi="黑体" w:eastAsia="黑体" w:cs="楷体_GB2312"/>
          <w:b/>
          <w:bCs/>
          <w:color w:val="auto"/>
          <w:lang w:val="zh-CN"/>
        </w:rPr>
        <w:t xml:space="preserve">2. </w:t>
      </w:r>
      <w:r>
        <w:rPr>
          <w:rStyle w:val="33"/>
          <w:rFonts w:hint="eastAsia" w:ascii="黑体" w:hAnsi="黑体" w:eastAsia="黑体" w:cs="楷体_GB2312"/>
          <w:b/>
          <w:bCs/>
          <w:color w:val="auto"/>
          <w:lang w:val="zh-CN"/>
        </w:rPr>
        <w:t>《谈判文件》</w:t>
      </w:r>
      <w:r>
        <w:rPr>
          <w:color w:val="auto"/>
        </w:rPr>
        <w:tab/>
      </w:r>
      <w:r>
        <w:rPr>
          <w:color w:val="auto"/>
        </w:rPr>
        <w:fldChar w:fldCharType="begin"/>
      </w:r>
      <w:r>
        <w:rPr>
          <w:color w:val="auto"/>
        </w:rPr>
        <w:instrText xml:space="preserve"> PAGEREF _Toc106792509 \h </w:instrText>
      </w:r>
      <w:r>
        <w:rPr>
          <w:color w:val="auto"/>
        </w:rPr>
        <w:fldChar w:fldCharType="separate"/>
      </w:r>
      <w:r>
        <w:rPr>
          <w:color w:val="auto"/>
        </w:rPr>
        <w:t>- 19 -</w:t>
      </w:r>
      <w:r>
        <w:rPr>
          <w:color w:val="auto"/>
        </w:rPr>
        <w:fldChar w:fldCharType="end"/>
      </w:r>
      <w:r>
        <w:rPr>
          <w:color w:val="auto"/>
        </w:rPr>
        <w:fldChar w:fldCharType="end"/>
      </w:r>
    </w:p>
    <w:p w14:paraId="107CB603">
      <w:pPr>
        <w:pStyle w:val="16"/>
        <w:tabs>
          <w:tab w:val="right" w:leader="dot" w:pos="9371"/>
        </w:tabs>
        <w:rPr>
          <w:rFonts w:ascii="Calibri" w:hAnsi="Calibri"/>
          <w:color w:val="auto"/>
          <w:kern w:val="2"/>
          <w:szCs w:val="22"/>
        </w:rPr>
      </w:pPr>
      <w:r>
        <w:fldChar w:fldCharType="begin"/>
      </w:r>
      <w:r>
        <w:instrText xml:space="preserve"> HYPERLINK \l "_Toc106792510" </w:instrText>
      </w:r>
      <w:r>
        <w:fldChar w:fldCharType="separate"/>
      </w:r>
      <w:r>
        <w:rPr>
          <w:rStyle w:val="33"/>
          <w:rFonts w:ascii="黑体" w:hAnsi="黑体" w:eastAsia="黑体" w:cs="楷体_GB2312"/>
          <w:b/>
          <w:bCs/>
          <w:color w:val="auto"/>
          <w:lang w:val="zh-CN"/>
        </w:rPr>
        <w:t xml:space="preserve">3. </w:t>
      </w:r>
      <w:r>
        <w:rPr>
          <w:rStyle w:val="33"/>
          <w:rFonts w:hint="eastAsia" w:ascii="黑体" w:hAnsi="黑体" w:eastAsia="黑体" w:cs="楷体_GB2312"/>
          <w:b/>
          <w:bCs/>
          <w:color w:val="auto"/>
          <w:lang w:val="zh-CN"/>
        </w:rPr>
        <w:t>《响应文件》</w:t>
      </w:r>
      <w:r>
        <w:rPr>
          <w:color w:val="auto"/>
        </w:rPr>
        <w:tab/>
      </w:r>
      <w:r>
        <w:rPr>
          <w:color w:val="auto"/>
        </w:rPr>
        <w:fldChar w:fldCharType="begin"/>
      </w:r>
      <w:r>
        <w:rPr>
          <w:color w:val="auto"/>
        </w:rPr>
        <w:instrText xml:space="preserve"> PAGEREF _Toc106792510 \h </w:instrText>
      </w:r>
      <w:r>
        <w:rPr>
          <w:color w:val="auto"/>
        </w:rPr>
        <w:fldChar w:fldCharType="separate"/>
      </w:r>
      <w:r>
        <w:rPr>
          <w:color w:val="auto"/>
        </w:rPr>
        <w:t>- 20 -</w:t>
      </w:r>
      <w:r>
        <w:rPr>
          <w:color w:val="auto"/>
        </w:rPr>
        <w:fldChar w:fldCharType="end"/>
      </w:r>
      <w:r>
        <w:rPr>
          <w:color w:val="auto"/>
        </w:rPr>
        <w:fldChar w:fldCharType="end"/>
      </w:r>
    </w:p>
    <w:p w14:paraId="675EB6E8">
      <w:pPr>
        <w:pStyle w:val="16"/>
        <w:tabs>
          <w:tab w:val="right" w:leader="dot" w:pos="9371"/>
        </w:tabs>
        <w:rPr>
          <w:rFonts w:ascii="Calibri" w:hAnsi="Calibri"/>
          <w:color w:val="auto"/>
          <w:kern w:val="2"/>
          <w:szCs w:val="22"/>
        </w:rPr>
      </w:pPr>
      <w:r>
        <w:fldChar w:fldCharType="begin"/>
      </w:r>
      <w:r>
        <w:instrText xml:space="preserve"> HYPERLINK \l "_Toc106792511" </w:instrText>
      </w:r>
      <w:r>
        <w:fldChar w:fldCharType="separate"/>
      </w:r>
      <w:r>
        <w:rPr>
          <w:rStyle w:val="33"/>
          <w:rFonts w:ascii="黑体" w:hAnsi="黑体" w:eastAsia="黑体" w:cs="楷体_GB2312"/>
          <w:b/>
          <w:bCs/>
          <w:color w:val="auto"/>
          <w:lang w:val="zh-CN"/>
        </w:rPr>
        <w:t>4.</w:t>
      </w:r>
      <w:r>
        <w:rPr>
          <w:rStyle w:val="33"/>
          <w:rFonts w:hint="eastAsia" w:ascii="黑体" w:hAnsi="黑体" w:eastAsia="黑体" w:cs="楷体_GB2312"/>
          <w:b/>
          <w:bCs/>
          <w:color w:val="auto"/>
          <w:lang w:val="zh-CN"/>
        </w:rPr>
        <w:t>《响应文件》的提交</w:t>
      </w:r>
      <w:r>
        <w:rPr>
          <w:color w:val="auto"/>
        </w:rPr>
        <w:tab/>
      </w:r>
      <w:r>
        <w:rPr>
          <w:color w:val="auto"/>
        </w:rPr>
        <w:fldChar w:fldCharType="begin"/>
      </w:r>
      <w:r>
        <w:rPr>
          <w:color w:val="auto"/>
        </w:rPr>
        <w:instrText xml:space="preserve"> PAGEREF _Toc106792511 \h </w:instrText>
      </w:r>
      <w:r>
        <w:rPr>
          <w:color w:val="auto"/>
        </w:rPr>
        <w:fldChar w:fldCharType="separate"/>
      </w:r>
      <w:r>
        <w:rPr>
          <w:color w:val="auto"/>
        </w:rPr>
        <w:t>- 23 -</w:t>
      </w:r>
      <w:r>
        <w:rPr>
          <w:color w:val="auto"/>
        </w:rPr>
        <w:fldChar w:fldCharType="end"/>
      </w:r>
      <w:r>
        <w:rPr>
          <w:color w:val="auto"/>
        </w:rPr>
        <w:fldChar w:fldCharType="end"/>
      </w:r>
    </w:p>
    <w:p w14:paraId="0CFEB030">
      <w:pPr>
        <w:pStyle w:val="16"/>
        <w:tabs>
          <w:tab w:val="right" w:leader="dot" w:pos="9371"/>
        </w:tabs>
        <w:rPr>
          <w:rFonts w:ascii="Calibri" w:hAnsi="Calibri"/>
          <w:color w:val="auto"/>
          <w:kern w:val="2"/>
          <w:szCs w:val="22"/>
        </w:rPr>
      </w:pPr>
      <w:r>
        <w:fldChar w:fldCharType="begin"/>
      </w:r>
      <w:r>
        <w:instrText xml:space="preserve"> HYPERLINK \l "_Toc106792512" </w:instrText>
      </w:r>
      <w:r>
        <w:fldChar w:fldCharType="separate"/>
      </w:r>
      <w:r>
        <w:rPr>
          <w:rStyle w:val="33"/>
          <w:rFonts w:ascii="黑体" w:hAnsi="黑体" w:eastAsia="黑体" w:cs="楷体_GB2312"/>
          <w:b/>
          <w:bCs/>
          <w:color w:val="auto"/>
          <w:lang w:val="zh-CN"/>
        </w:rPr>
        <w:t>5.</w:t>
      </w:r>
      <w:r>
        <w:rPr>
          <w:rStyle w:val="33"/>
          <w:rFonts w:hint="eastAsia" w:ascii="黑体" w:hAnsi="黑体" w:eastAsia="黑体" w:cs="楷体_GB2312"/>
          <w:b/>
          <w:bCs/>
          <w:color w:val="auto"/>
          <w:lang w:val="zh-CN"/>
        </w:rPr>
        <w:t>《响应文件》的开启</w:t>
      </w:r>
      <w:r>
        <w:rPr>
          <w:color w:val="auto"/>
        </w:rPr>
        <w:tab/>
      </w:r>
      <w:r>
        <w:rPr>
          <w:color w:val="auto"/>
        </w:rPr>
        <w:fldChar w:fldCharType="begin"/>
      </w:r>
      <w:r>
        <w:rPr>
          <w:color w:val="auto"/>
        </w:rPr>
        <w:instrText xml:space="preserve"> PAGEREF _Toc106792512 \h </w:instrText>
      </w:r>
      <w:r>
        <w:rPr>
          <w:color w:val="auto"/>
        </w:rPr>
        <w:fldChar w:fldCharType="separate"/>
      </w:r>
      <w:r>
        <w:rPr>
          <w:color w:val="auto"/>
        </w:rPr>
        <w:t>- 24 -</w:t>
      </w:r>
      <w:r>
        <w:rPr>
          <w:color w:val="auto"/>
        </w:rPr>
        <w:fldChar w:fldCharType="end"/>
      </w:r>
      <w:r>
        <w:rPr>
          <w:color w:val="auto"/>
        </w:rPr>
        <w:fldChar w:fldCharType="end"/>
      </w:r>
    </w:p>
    <w:p w14:paraId="4C144D71">
      <w:pPr>
        <w:pStyle w:val="16"/>
        <w:tabs>
          <w:tab w:val="right" w:leader="dot" w:pos="9371"/>
        </w:tabs>
        <w:rPr>
          <w:rFonts w:ascii="Calibri" w:hAnsi="Calibri"/>
          <w:color w:val="auto"/>
          <w:kern w:val="2"/>
          <w:szCs w:val="22"/>
        </w:rPr>
      </w:pPr>
      <w:r>
        <w:fldChar w:fldCharType="begin"/>
      </w:r>
      <w:r>
        <w:instrText xml:space="preserve"> HYPERLINK \l "_Toc106792513" </w:instrText>
      </w:r>
      <w:r>
        <w:fldChar w:fldCharType="separate"/>
      </w:r>
      <w:r>
        <w:rPr>
          <w:rStyle w:val="33"/>
          <w:rFonts w:ascii="黑体" w:hAnsi="黑体" w:eastAsia="黑体" w:cs="楷体_GB2312"/>
          <w:b/>
          <w:bCs/>
          <w:color w:val="auto"/>
          <w:lang w:val="zh-CN"/>
        </w:rPr>
        <w:t xml:space="preserve">6. </w:t>
      </w:r>
      <w:r>
        <w:rPr>
          <w:rStyle w:val="33"/>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_Toc106792513 \h </w:instrText>
      </w:r>
      <w:r>
        <w:rPr>
          <w:color w:val="auto"/>
        </w:rPr>
        <w:fldChar w:fldCharType="separate"/>
      </w:r>
      <w:r>
        <w:rPr>
          <w:color w:val="auto"/>
        </w:rPr>
        <w:t>- 24 -</w:t>
      </w:r>
      <w:r>
        <w:rPr>
          <w:color w:val="auto"/>
        </w:rPr>
        <w:fldChar w:fldCharType="end"/>
      </w:r>
      <w:r>
        <w:rPr>
          <w:color w:val="auto"/>
        </w:rPr>
        <w:fldChar w:fldCharType="end"/>
      </w:r>
    </w:p>
    <w:p w14:paraId="49CA5B76">
      <w:pPr>
        <w:pStyle w:val="16"/>
        <w:tabs>
          <w:tab w:val="right" w:leader="dot" w:pos="9371"/>
        </w:tabs>
        <w:rPr>
          <w:rFonts w:ascii="Calibri" w:hAnsi="Calibri"/>
          <w:color w:val="auto"/>
          <w:kern w:val="2"/>
          <w:szCs w:val="22"/>
        </w:rPr>
      </w:pPr>
      <w:r>
        <w:fldChar w:fldCharType="begin"/>
      </w:r>
      <w:r>
        <w:instrText xml:space="preserve"> HYPERLINK \l "_Toc106792514" </w:instrText>
      </w:r>
      <w:r>
        <w:fldChar w:fldCharType="separate"/>
      </w:r>
      <w:r>
        <w:rPr>
          <w:rStyle w:val="33"/>
          <w:rFonts w:ascii="黑体" w:hAnsi="黑体" w:eastAsia="黑体" w:cs="楷体_GB2312"/>
          <w:b/>
          <w:bCs/>
          <w:color w:val="auto"/>
          <w:lang w:val="zh-CN"/>
        </w:rPr>
        <w:t xml:space="preserve">7. </w:t>
      </w:r>
      <w:r>
        <w:rPr>
          <w:rStyle w:val="33"/>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_Toc106792514 \h </w:instrText>
      </w:r>
      <w:r>
        <w:rPr>
          <w:color w:val="auto"/>
        </w:rPr>
        <w:fldChar w:fldCharType="separate"/>
      </w:r>
      <w:r>
        <w:rPr>
          <w:color w:val="auto"/>
        </w:rPr>
        <w:t>- 25 -</w:t>
      </w:r>
      <w:r>
        <w:rPr>
          <w:color w:val="auto"/>
        </w:rPr>
        <w:fldChar w:fldCharType="end"/>
      </w:r>
      <w:r>
        <w:rPr>
          <w:color w:val="auto"/>
        </w:rPr>
        <w:fldChar w:fldCharType="end"/>
      </w:r>
    </w:p>
    <w:p w14:paraId="142208C9">
      <w:pPr>
        <w:pStyle w:val="16"/>
        <w:tabs>
          <w:tab w:val="right" w:leader="dot" w:pos="9371"/>
        </w:tabs>
        <w:rPr>
          <w:rFonts w:ascii="Calibri" w:hAnsi="Calibri"/>
          <w:color w:val="auto"/>
          <w:kern w:val="2"/>
          <w:szCs w:val="22"/>
        </w:rPr>
      </w:pPr>
      <w:r>
        <w:fldChar w:fldCharType="begin"/>
      </w:r>
      <w:r>
        <w:instrText xml:space="preserve"> HYPERLINK \l "_Toc106792515" </w:instrText>
      </w:r>
      <w:r>
        <w:fldChar w:fldCharType="separate"/>
      </w:r>
      <w:r>
        <w:rPr>
          <w:rStyle w:val="33"/>
          <w:rFonts w:ascii="黑体" w:hAnsi="黑体" w:eastAsia="黑体" w:cs="楷体_GB2312"/>
          <w:b/>
          <w:bCs/>
          <w:color w:val="auto"/>
          <w:lang w:val="zh-CN"/>
        </w:rPr>
        <w:t xml:space="preserve">8. </w:t>
      </w:r>
      <w:r>
        <w:rPr>
          <w:rStyle w:val="33"/>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_Toc106792515 \h </w:instrText>
      </w:r>
      <w:r>
        <w:rPr>
          <w:color w:val="auto"/>
        </w:rPr>
        <w:fldChar w:fldCharType="separate"/>
      </w:r>
      <w:r>
        <w:rPr>
          <w:color w:val="auto"/>
        </w:rPr>
        <w:t>- 27 -</w:t>
      </w:r>
      <w:r>
        <w:rPr>
          <w:color w:val="auto"/>
        </w:rPr>
        <w:fldChar w:fldCharType="end"/>
      </w:r>
      <w:r>
        <w:rPr>
          <w:color w:val="auto"/>
        </w:rPr>
        <w:fldChar w:fldCharType="end"/>
      </w:r>
    </w:p>
    <w:p w14:paraId="3440AC6B">
      <w:pPr>
        <w:pStyle w:val="16"/>
        <w:tabs>
          <w:tab w:val="right" w:leader="dot" w:pos="9371"/>
        </w:tabs>
        <w:rPr>
          <w:rFonts w:ascii="Calibri" w:hAnsi="Calibri"/>
          <w:color w:val="auto"/>
          <w:kern w:val="2"/>
          <w:szCs w:val="22"/>
        </w:rPr>
      </w:pPr>
      <w:r>
        <w:fldChar w:fldCharType="begin"/>
      </w:r>
      <w:r>
        <w:instrText xml:space="preserve"> HYPERLINK \l "_Toc106792516" </w:instrText>
      </w:r>
      <w:r>
        <w:fldChar w:fldCharType="separate"/>
      </w:r>
      <w:r>
        <w:rPr>
          <w:rStyle w:val="33"/>
          <w:rFonts w:ascii="黑体" w:hAnsi="黑体" w:eastAsia="黑体" w:cs="楷体_GB2312"/>
          <w:b/>
          <w:bCs/>
          <w:color w:val="auto"/>
          <w:lang w:val="zh-CN"/>
        </w:rPr>
        <w:t>9.</w:t>
      </w:r>
      <w:r>
        <w:rPr>
          <w:rStyle w:val="33"/>
          <w:rFonts w:hint="eastAsia" w:ascii="黑体" w:hAnsi="黑体" w:eastAsia="黑体" w:cs="楷体_GB2312"/>
          <w:b/>
          <w:bCs/>
          <w:color w:val="auto"/>
          <w:lang w:val="en-US" w:eastAsia="zh-CN"/>
        </w:rPr>
        <w:t xml:space="preserve"> </w:t>
      </w:r>
      <w:r>
        <w:rPr>
          <w:rStyle w:val="33"/>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_Toc106792516 \h </w:instrText>
      </w:r>
      <w:r>
        <w:rPr>
          <w:color w:val="auto"/>
        </w:rPr>
        <w:fldChar w:fldCharType="separate"/>
      </w:r>
      <w:r>
        <w:rPr>
          <w:color w:val="auto"/>
        </w:rPr>
        <w:t>- 27 -</w:t>
      </w:r>
      <w:r>
        <w:rPr>
          <w:color w:val="auto"/>
        </w:rPr>
        <w:fldChar w:fldCharType="end"/>
      </w:r>
      <w:r>
        <w:rPr>
          <w:color w:val="auto"/>
        </w:rPr>
        <w:fldChar w:fldCharType="end"/>
      </w:r>
    </w:p>
    <w:p w14:paraId="2F34FFBE">
      <w:pPr>
        <w:pStyle w:val="16"/>
        <w:tabs>
          <w:tab w:val="right" w:leader="dot" w:pos="9371"/>
        </w:tabs>
        <w:rPr>
          <w:rFonts w:ascii="Calibri" w:hAnsi="Calibri"/>
          <w:color w:val="auto"/>
          <w:kern w:val="2"/>
          <w:szCs w:val="22"/>
        </w:rPr>
      </w:pPr>
      <w:r>
        <w:fldChar w:fldCharType="begin"/>
      </w:r>
      <w:r>
        <w:instrText xml:space="preserve"> HYPERLINK \l "_Toc106792517" </w:instrText>
      </w:r>
      <w:r>
        <w:fldChar w:fldCharType="separate"/>
      </w:r>
      <w:r>
        <w:rPr>
          <w:rStyle w:val="33"/>
          <w:rFonts w:ascii="黑体" w:hAnsi="黑体" w:eastAsia="黑体" w:cs="楷体_GB2312"/>
          <w:b/>
          <w:bCs/>
          <w:color w:val="auto"/>
          <w:lang w:val="zh-CN"/>
        </w:rPr>
        <w:t xml:space="preserve">10. </w:t>
      </w:r>
      <w:r>
        <w:rPr>
          <w:rStyle w:val="33"/>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_Toc106792517 \h </w:instrText>
      </w:r>
      <w:r>
        <w:rPr>
          <w:color w:val="auto"/>
        </w:rPr>
        <w:fldChar w:fldCharType="separate"/>
      </w:r>
      <w:r>
        <w:rPr>
          <w:color w:val="auto"/>
        </w:rPr>
        <w:t>- 28 -</w:t>
      </w:r>
      <w:r>
        <w:rPr>
          <w:color w:val="auto"/>
        </w:rPr>
        <w:fldChar w:fldCharType="end"/>
      </w:r>
      <w:r>
        <w:rPr>
          <w:color w:val="auto"/>
        </w:rPr>
        <w:fldChar w:fldCharType="end"/>
      </w:r>
    </w:p>
    <w:p w14:paraId="6FB39B8F">
      <w:pPr>
        <w:pStyle w:val="16"/>
        <w:tabs>
          <w:tab w:val="right" w:leader="dot" w:pos="9371"/>
        </w:tabs>
        <w:rPr>
          <w:rFonts w:ascii="Calibri" w:hAnsi="Calibri"/>
          <w:color w:val="auto"/>
          <w:kern w:val="2"/>
          <w:szCs w:val="22"/>
        </w:rPr>
      </w:pPr>
      <w:r>
        <w:fldChar w:fldCharType="begin"/>
      </w:r>
      <w:r>
        <w:instrText xml:space="preserve"> HYPERLINK \l "_Toc106792518" </w:instrText>
      </w:r>
      <w:r>
        <w:fldChar w:fldCharType="separate"/>
      </w:r>
      <w:r>
        <w:rPr>
          <w:rStyle w:val="33"/>
          <w:rFonts w:ascii="黑体" w:hAnsi="黑体" w:eastAsia="黑体" w:cs="楷体_GB2312"/>
          <w:b/>
          <w:bCs/>
          <w:color w:val="auto"/>
          <w:lang w:val="zh-CN"/>
        </w:rPr>
        <w:t xml:space="preserve">11. </w:t>
      </w:r>
      <w:r>
        <w:rPr>
          <w:rStyle w:val="33"/>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_Toc106792518 \h </w:instrText>
      </w:r>
      <w:r>
        <w:rPr>
          <w:color w:val="auto"/>
        </w:rPr>
        <w:fldChar w:fldCharType="separate"/>
      </w:r>
      <w:r>
        <w:rPr>
          <w:color w:val="auto"/>
        </w:rPr>
        <w:t>- 28 -</w:t>
      </w:r>
      <w:r>
        <w:rPr>
          <w:color w:val="auto"/>
        </w:rPr>
        <w:fldChar w:fldCharType="end"/>
      </w:r>
      <w:r>
        <w:rPr>
          <w:color w:val="auto"/>
        </w:rPr>
        <w:fldChar w:fldCharType="end"/>
      </w:r>
    </w:p>
    <w:p w14:paraId="7ED9DDC2">
      <w:pPr>
        <w:pStyle w:val="15"/>
        <w:tabs>
          <w:tab w:val="right" w:leader="dot" w:pos="9371"/>
        </w:tabs>
        <w:rPr>
          <w:rFonts w:ascii="Calibri" w:hAnsi="Calibri"/>
          <w:color w:val="auto"/>
          <w:kern w:val="2"/>
          <w:szCs w:val="22"/>
        </w:rPr>
      </w:pPr>
      <w:r>
        <w:fldChar w:fldCharType="begin"/>
      </w:r>
      <w:r>
        <w:instrText xml:space="preserve"> HYPERLINK \l "_Toc106792519" </w:instrText>
      </w:r>
      <w:r>
        <w:fldChar w:fldCharType="separate"/>
      </w:r>
      <w:r>
        <w:rPr>
          <w:rStyle w:val="33"/>
          <w:rFonts w:hint="eastAsia" w:ascii="黑体" w:hAnsi="黑体" w:eastAsia="黑体"/>
          <w:b/>
          <w:color w:val="auto"/>
          <w:lang w:val="zh-CN"/>
        </w:rPr>
        <w:t>第四章</w:t>
      </w:r>
      <w:r>
        <w:rPr>
          <w:rStyle w:val="33"/>
          <w:rFonts w:ascii="黑体" w:hAnsi="黑体" w:eastAsia="黑体"/>
          <w:b/>
          <w:color w:val="auto"/>
          <w:lang w:val="zh-CN"/>
        </w:rPr>
        <w:t xml:space="preserve">  </w:t>
      </w:r>
      <w:r>
        <w:rPr>
          <w:rStyle w:val="33"/>
          <w:rFonts w:hint="eastAsia" w:ascii="黑体" w:hAnsi="黑体" w:eastAsia="黑体"/>
          <w:b/>
          <w:color w:val="auto"/>
          <w:lang w:val="zh-CN"/>
        </w:rPr>
        <w:t>评审办法</w:t>
      </w:r>
      <w:r>
        <w:rPr>
          <w:color w:val="auto"/>
        </w:rPr>
        <w:tab/>
      </w:r>
      <w:r>
        <w:rPr>
          <w:color w:val="auto"/>
        </w:rPr>
        <w:fldChar w:fldCharType="begin"/>
      </w:r>
      <w:r>
        <w:rPr>
          <w:color w:val="auto"/>
        </w:rPr>
        <w:instrText xml:space="preserve"> PAGEREF _Toc106792519 \h </w:instrText>
      </w:r>
      <w:r>
        <w:rPr>
          <w:color w:val="auto"/>
        </w:rPr>
        <w:fldChar w:fldCharType="separate"/>
      </w:r>
      <w:r>
        <w:rPr>
          <w:color w:val="auto"/>
        </w:rPr>
        <w:t>- 29 -</w:t>
      </w:r>
      <w:r>
        <w:rPr>
          <w:color w:val="auto"/>
        </w:rPr>
        <w:fldChar w:fldCharType="end"/>
      </w:r>
      <w:r>
        <w:rPr>
          <w:color w:val="auto"/>
        </w:rPr>
        <w:fldChar w:fldCharType="end"/>
      </w:r>
    </w:p>
    <w:p w14:paraId="54B2A8C9">
      <w:pPr>
        <w:pStyle w:val="16"/>
        <w:tabs>
          <w:tab w:val="right" w:leader="dot" w:pos="9371"/>
        </w:tabs>
        <w:rPr>
          <w:rFonts w:ascii="Calibri" w:hAnsi="Calibri"/>
          <w:color w:val="auto"/>
          <w:kern w:val="2"/>
          <w:szCs w:val="22"/>
        </w:rPr>
      </w:pPr>
      <w:r>
        <w:fldChar w:fldCharType="begin"/>
      </w:r>
      <w:r>
        <w:instrText xml:space="preserve"> HYPERLINK \l "_Toc106792520" </w:instrText>
      </w:r>
      <w:r>
        <w:fldChar w:fldCharType="separate"/>
      </w:r>
      <w:r>
        <w:rPr>
          <w:rStyle w:val="33"/>
          <w:rFonts w:hint="eastAsia" w:ascii="黑体" w:hAnsi="黑体" w:eastAsia="黑体"/>
          <w:b/>
          <w:color w:val="auto"/>
        </w:rPr>
        <w:t>评审办法前附表</w:t>
      </w:r>
      <w:r>
        <w:rPr>
          <w:color w:val="auto"/>
        </w:rPr>
        <w:tab/>
      </w:r>
      <w:r>
        <w:rPr>
          <w:color w:val="auto"/>
        </w:rPr>
        <w:fldChar w:fldCharType="begin"/>
      </w:r>
      <w:r>
        <w:rPr>
          <w:color w:val="auto"/>
        </w:rPr>
        <w:instrText xml:space="preserve"> PAGEREF _Toc106792520 \h </w:instrText>
      </w:r>
      <w:r>
        <w:rPr>
          <w:color w:val="auto"/>
        </w:rPr>
        <w:fldChar w:fldCharType="separate"/>
      </w:r>
      <w:r>
        <w:rPr>
          <w:color w:val="auto"/>
        </w:rPr>
        <w:t>- 29 -</w:t>
      </w:r>
      <w:r>
        <w:rPr>
          <w:color w:val="auto"/>
        </w:rPr>
        <w:fldChar w:fldCharType="end"/>
      </w:r>
      <w:r>
        <w:rPr>
          <w:color w:val="auto"/>
        </w:rPr>
        <w:fldChar w:fldCharType="end"/>
      </w:r>
    </w:p>
    <w:p w14:paraId="368C200C">
      <w:pPr>
        <w:pStyle w:val="16"/>
        <w:tabs>
          <w:tab w:val="right" w:leader="dot" w:pos="9371"/>
        </w:tabs>
        <w:rPr>
          <w:rFonts w:ascii="Calibri" w:hAnsi="Calibri"/>
          <w:color w:val="auto"/>
          <w:kern w:val="2"/>
          <w:szCs w:val="22"/>
        </w:rPr>
      </w:pPr>
      <w:r>
        <w:fldChar w:fldCharType="begin"/>
      </w:r>
      <w:r>
        <w:instrText xml:space="preserve"> HYPERLINK \l "_Toc106792521" </w:instrText>
      </w:r>
      <w:r>
        <w:fldChar w:fldCharType="separate"/>
      </w:r>
      <w:r>
        <w:rPr>
          <w:rStyle w:val="33"/>
          <w:rFonts w:ascii="黑体" w:hAnsi="黑体" w:eastAsia="黑体" w:cs="楷体_GB2312"/>
          <w:b/>
          <w:bCs/>
          <w:color w:val="auto"/>
          <w:lang w:val="zh-CN"/>
        </w:rPr>
        <w:t xml:space="preserve">1. </w:t>
      </w:r>
      <w:r>
        <w:rPr>
          <w:rStyle w:val="33"/>
          <w:rFonts w:hint="eastAsia" w:ascii="黑体" w:hAnsi="黑体" w:eastAsia="黑体" w:cs="楷体_GB2312"/>
          <w:b/>
          <w:bCs/>
          <w:color w:val="auto"/>
          <w:lang w:val="zh-CN"/>
        </w:rPr>
        <w:t>评审方法（评定成交的标准）</w:t>
      </w:r>
      <w:r>
        <w:rPr>
          <w:color w:val="auto"/>
        </w:rPr>
        <w:tab/>
      </w:r>
      <w:r>
        <w:rPr>
          <w:color w:val="auto"/>
        </w:rPr>
        <w:fldChar w:fldCharType="begin"/>
      </w:r>
      <w:r>
        <w:rPr>
          <w:color w:val="auto"/>
        </w:rPr>
        <w:instrText xml:space="preserve"> PAGEREF _Toc106792521 \h </w:instrText>
      </w:r>
      <w:r>
        <w:rPr>
          <w:color w:val="auto"/>
        </w:rPr>
        <w:fldChar w:fldCharType="separate"/>
      </w:r>
      <w:r>
        <w:rPr>
          <w:color w:val="auto"/>
        </w:rPr>
        <w:t>- 30 -</w:t>
      </w:r>
      <w:r>
        <w:rPr>
          <w:color w:val="auto"/>
        </w:rPr>
        <w:fldChar w:fldCharType="end"/>
      </w:r>
      <w:r>
        <w:rPr>
          <w:color w:val="auto"/>
        </w:rPr>
        <w:fldChar w:fldCharType="end"/>
      </w:r>
    </w:p>
    <w:p w14:paraId="3C7E72DF">
      <w:pPr>
        <w:pStyle w:val="16"/>
        <w:tabs>
          <w:tab w:val="right" w:leader="dot" w:pos="9371"/>
        </w:tabs>
        <w:rPr>
          <w:rFonts w:ascii="Calibri" w:hAnsi="Calibri"/>
          <w:color w:val="auto"/>
          <w:kern w:val="2"/>
          <w:szCs w:val="22"/>
        </w:rPr>
      </w:pPr>
      <w:r>
        <w:fldChar w:fldCharType="begin"/>
      </w:r>
      <w:r>
        <w:instrText xml:space="preserve"> HYPERLINK \l "_Toc106792522" </w:instrText>
      </w:r>
      <w:r>
        <w:fldChar w:fldCharType="separate"/>
      </w:r>
      <w:r>
        <w:rPr>
          <w:rStyle w:val="33"/>
          <w:rFonts w:ascii="黑体" w:hAnsi="黑体" w:eastAsia="黑体" w:cs="楷体_GB2312"/>
          <w:b/>
          <w:bCs/>
          <w:color w:val="auto"/>
          <w:lang w:val="zh-CN"/>
        </w:rPr>
        <w:t xml:space="preserve">2. </w:t>
      </w:r>
      <w:r>
        <w:rPr>
          <w:rStyle w:val="33"/>
          <w:rFonts w:hint="eastAsia" w:ascii="黑体" w:hAnsi="黑体" w:eastAsia="黑体" w:cs="楷体_GB2312"/>
          <w:b/>
          <w:bCs/>
          <w:color w:val="auto"/>
          <w:lang w:val="zh-CN"/>
        </w:rPr>
        <w:t>评审标准</w:t>
      </w:r>
      <w:r>
        <w:rPr>
          <w:color w:val="auto"/>
        </w:rPr>
        <w:tab/>
      </w:r>
      <w:r>
        <w:rPr>
          <w:color w:val="auto"/>
        </w:rPr>
        <w:fldChar w:fldCharType="begin"/>
      </w:r>
      <w:r>
        <w:rPr>
          <w:color w:val="auto"/>
        </w:rPr>
        <w:instrText xml:space="preserve"> PAGEREF _Toc106792522 \h </w:instrText>
      </w:r>
      <w:r>
        <w:rPr>
          <w:color w:val="auto"/>
        </w:rPr>
        <w:fldChar w:fldCharType="separate"/>
      </w:r>
      <w:r>
        <w:rPr>
          <w:color w:val="auto"/>
        </w:rPr>
        <w:t>- 30 -</w:t>
      </w:r>
      <w:r>
        <w:rPr>
          <w:color w:val="auto"/>
        </w:rPr>
        <w:fldChar w:fldCharType="end"/>
      </w:r>
      <w:r>
        <w:rPr>
          <w:color w:val="auto"/>
        </w:rPr>
        <w:fldChar w:fldCharType="end"/>
      </w:r>
    </w:p>
    <w:p w14:paraId="57BAB0B2">
      <w:pPr>
        <w:pStyle w:val="16"/>
        <w:tabs>
          <w:tab w:val="right" w:leader="dot" w:pos="9371"/>
        </w:tabs>
        <w:rPr>
          <w:rFonts w:ascii="Calibri" w:hAnsi="Calibri"/>
          <w:color w:val="auto"/>
          <w:kern w:val="2"/>
          <w:szCs w:val="22"/>
        </w:rPr>
      </w:pPr>
      <w:r>
        <w:fldChar w:fldCharType="begin"/>
      </w:r>
      <w:r>
        <w:instrText xml:space="preserve"> HYPERLINK \l "_Toc106792523" </w:instrText>
      </w:r>
      <w:r>
        <w:fldChar w:fldCharType="separate"/>
      </w:r>
      <w:r>
        <w:rPr>
          <w:rStyle w:val="33"/>
          <w:rFonts w:ascii="黑体" w:hAnsi="黑体" w:eastAsia="黑体" w:cs="楷体_GB2312"/>
          <w:b/>
          <w:bCs/>
          <w:color w:val="auto"/>
          <w:lang w:val="zh-CN"/>
        </w:rPr>
        <w:t xml:space="preserve">3. </w:t>
      </w:r>
      <w:r>
        <w:rPr>
          <w:rStyle w:val="33"/>
          <w:rFonts w:hint="eastAsia" w:ascii="黑体" w:hAnsi="黑体" w:eastAsia="黑体" w:cs="楷体_GB2312"/>
          <w:b/>
          <w:bCs/>
          <w:color w:val="auto"/>
          <w:lang w:val="zh-CN"/>
        </w:rPr>
        <w:t>评审程序</w:t>
      </w:r>
      <w:r>
        <w:rPr>
          <w:color w:val="auto"/>
        </w:rPr>
        <w:tab/>
      </w:r>
      <w:r>
        <w:rPr>
          <w:color w:val="auto"/>
        </w:rPr>
        <w:fldChar w:fldCharType="begin"/>
      </w:r>
      <w:r>
        <w:rPr>
          <w:color w:val="auto"/>
        </w:rPr>
        <w:instrText xml:space="preserve"> PAGEREF _Toc106792523 \h </w:instrText>
      </w:r>
      <w:r>
        <w:rPr>
          <w:color w:val="auto"/>
        </w:rPr>
        <w:fldChar w:fldCharType="separate"/>
      </w:r>
      <w:r>
        <w:rPr>
          <w:color w:val="auto"/>
        </w:rPr>
        <w:t>- 30 -</w:t>
      </w:r>
      <w:r>
        <w:rPr>
          <w:color w:val="auto"/>
        </w:rPr>
        <w:fldChar w:fldCharType="end"/>
      </w:r>
      <w:r>
        <w:rPr>
          <w:color w:val="auto"/>
        </w:rPr>
        <w:fldChar w:fldCharType="end"/>
      </w:r>
    </w:p>
    <w:p w14:paraId="68377566">
      <w:pPr>
        <w:pStyle w:val="16"/>
        <w:tabs>
          <w:tab w:val="right" w:leader="dot" w:pos="9371"/>
        </w:tabs>
        <w:rPr>
          <w:rFonts w:hint="default" w:ascii="Calibri" w:hAnsi="Calibri" w:eastAsia="宋体"/>
          <w:color w:val="auto"/>
          <w:kern w:val="2"/>
          <w:szCs w:val="22"/>
          <w:lang w:val="en-US" w:eastAsia="zh-CN"/>
        </w:rPr>
      </w:pPr>
      <w:r>
        <w:fldChar w:fldCharType="begin"/>
      </w:r>
      <w:r>
        <w:instrText xml:space="preserve"> HYPERLINK \l "_Toc106792524" </w:instrText>
      </w:r>
      <w:r>
        <w:fldChar w:fldCharType="separate"/>
      </w:r>
      <w:r>
        <w:rPr>
          <w:rStyle w:val="33"/>
          <w:rFonts w:ascii="黑体" w:hAnsi="黑体" w:eastAsia="黑体" w:cs="楷体_GB2312"/>
          <w:b/>
          <w:bCs/>
          <w:color w:val="auto"/>
          <w:lang w:val="zh-CN"/>
        </w:rPr>
        <w:t xml:space="preserve">4. </w:t>
      </w:r>
      <w:r>
        <w:rPr>
          <w:rStyle w:val="33"/>
          <w:rFonts w:hint="eastAsia" w:ascii="黑体" w:hAnsi="黑体" w:eastAsia="黑体" w:cs="楷体_GB2312"/>
          <w:b/>
          <w:bCs/>
          <w:color w:val="auto"/>
          <w:lang w:val="zh-CN"/>
        </w:rPr>
        <w:t>政府采购促进中小企业发展扶持政策</w:t>
      </w:r>
      <w:r>
        <w:rPr>
          <w:color w:val="auto"/>
        </w:rPr>
        <w:tab/>
      </w:r>
      <w:r>
        <w:rPr>
          <w:rFonts w:hint="eastAsia"/>
          <w:color w:val="auto"/>
          <w:lang w:val="en-US" w:eastAsia="zh-CN"/>
        </w:rPr>
        <w:t>-3</w:t>
      </w:r>
      <w:r>
        <w:rPr>
          <w:color w:val="auto"/>
        </w:rPr>
        <w:fldChar w:fldCharType="end"/>
      </w:r>
      <w:r>
        <w:rPr>
          <w:rFonts w:hint="eastAsia"/>
          <w:color w:val="auto"/>
          <w:lang w:val="en-US" w:eastAsia="zh-CN"/>
        </w:rPr>
        <w:t>4-</w:t>
      </w:r>
    </w:p>
    <w:p w14:paraId="3AFCDC53">
      <w:pPr>
        <w:pStyle w:val="15"/>
        <w:tabs>
          <w:tab w:val="right" w:leader="dot" w:pos="9371"/>
        </w:tabs>
        <w:rPr>
          <w:rFonts w:ascii="Calibri" w:hAnsi="Calibri"/>
          <w:color w:val="auto"/>
          <w:kern w:val="2"/>
          <w:szCs w:val="22"/>
        </w:rPr>
      </w:pPr>
      <w:r>
        <w:fldChar w:fldCharType="begin"/>
      </w:r>
      <w:r>
        <w:instrText xml:space="preserve"> HYPERLINK \l "_Toc106792525" </w:instrText>
      </w:r>
      <w:r>
        <w:fldChar w:fldCharType="separate"/>
      </w:r>
      <w:r>
        <w:rPr>
          <w:rStyle w:val="33"/>
          <w:rFonts w:hint="eastAsia" w:ascii="黑体" w:eastAsia="黑体"/>
          <w:b/>
          <w:color w:val="auto"/>
        </w:rPr>
        <w:t>第五章</w:t>
      </w:r>
      <w:r>
        <w:rPr>
          <w:rStyle w:val="33"/>
          <w:rFonts w:ascii="黑体" w:eastAsia="黑体"/>
          <w:b/>
          <w:color w:val="auto"/>
        </w:rPr>
        <w:t xml:space="preserve">  </w:t>
      </w:r>
      <w:r>
        <w:rPr>
          <w:rStyle w:val="33"/>
          <w:rFonts w:hint="eastAsia" w:ascii="黑体" w:eastAsia="黑体"/>
          <w:b/>
          <w:color w:val="auto"/>
        </w:rPr>
        <w:t>合同主要条款</w:t>
      </w:r>
      <w:r>
        <w:rPr>
          <w:color w:val="auto"/>
        </w:rPr>
        <w:tab/>
      </w:r>
      <w:r>
        <w:rPr>
          <w:color w:val="auto"/>
        </w:rPr>
        <w:fldChar w:fldCharType="begin"/>
      </w:r>
      <w:r>
        <w:rPr>
          <w:color w:val="auto"/>
        </w:rPr>
        <w:instrText xml:space="preserve"> PAGEREF _Toc106792525 \h </w:instrText>
      </w:r>
      <w:r>
        <w:rPr>
          <w:color w:val="auto"/>
        </w:rPr>
        <w:fldChar w:fldCharType="separate"/>
      </w:r>
      <w:r>
        <w:rPr>
          <w:color w:val="auto"/>
        </w:rPr>
        <w:t>- 36 -</w:t>
      </w:r>
      <w:r>
        <w:rPr>
          <w:color w:val="auto"/>
        </w:rPr>
        <w:fldChar w:fldCharType="end"/>
      </w:r>
      <w:r>
        <w:rPr>
          <w:color w:val="auto"/>
        </w:rPr>
        <w:fldChar w:fldCharType="end"/>
      </w:r>
    </w:p>
    <w:p w14:paraId="60E22CEC">
      <w:pPr>
        <w:pStyle w:val="15"/>
        <w:tabs>
          <w:tab w:val="right" w:leader="dot" w:pos="9371"/>
        </w:tabs>
        <w:rPr>
          <w:rFonts w:ascii="Calibri" w:hAnsi="Calibri"/>
          <w:color w:val="auto"/>
          <w:kern w:val="2"/>
          <w:szCs w:val="22"/>
        </w:rPr>
      </w:pPr>
      <w:r>
        <w:fldChar w:fldCharType="begin"/>
      </w:r>
      <w:r>
        <w:instrText xml:space="preserve"> HYPERLINK \l "_Toc106792526" </w:instrText>
      </w:r>
      <w:r>
        <w:fldChar w:fldCharType="separate"/>
      </w:r>
      <w:r>
        <w:rPr>
          <w:rStyle w:val="33"/>
          <w:rFonts w:hint="eastAsia" w:ascii="黑体" w:hAnsi="黑体" w:eastAsia="黑体"/>
          <w:b/>
          <w:color w:val="auto"/>
          <w:lang w:val="zh-CN"/>
        </w:rPr>
        <w:t>第六章</w:t>
      </w:r>
      <w:r>
        <w:rPr>
          <w:rStyle w:val="33"/>
          <w:rFonts w:ascii="黑体" w:hAnsi="黑体" w:eastAsia="黑体"/>
          <w:b/>
          <w:color w:val="auto"/>
          <w:lang w:val="zh-CN"/>
        </w:rPr>
        <w:t xml:space="preserve"> </w:t>
      </w:r>
      <w:r>
        <w:rPr>
          <w:rStyle w:val="33"/>
          <w:rFonts w:hint="eastAsia" w:ascii="黑体" w:hAnsi="黑体" w:eastAsia="黑体"/>
          <w:b/>
          <w:color w:val="auto"/>
          <w:lang w:val="zh-CN"/>
        </w:rPr>
        <w:t>《响应文件》格式</w:t>
      </w:r>
      <w:r>
        <w:rPr>
          <w:color w:val="auto"/>
        </w:rPr>
        <w:tab/>
      </w:r>
      <w:r>
        <w:rPr>
          <w:color w:val="auto"/>
        </w:rPr>
        <w:fldChar w:fldCharType="begin"/>
      </w:r>
      <w:r>
        <w:rPr>
          <w:color w:val="auto"/>
        </w:rPr>
        <w:instrText xml:space="preserve"> PAGEREF _Toc106792526 \h </w:instrText>
      </w:r>
      <w:r>
        <w:rPr>
          <w:color w:val="auto"/>
        </w:rPr>
        <w:fldChar w:fldCharType="separate"/>
      </w:r>
      <w:r>
        <w:rPr>
          <w:color w:val="auto"/>
        </w:rPr>
        <w:t>- 40 -</w:t>
      </w:r>
      <w:r>
        <w:rPr>
          <w:color w:val="auto"/>
        </w:rPr>
        <w:fldChar w:fldCharType="end"/>
      </w:r>
      <w:r>
        <w:rPr>
          <w:color w:val="auto"/>
        </w:rPr>
        <w:fldChar w:fldCharType="end"/>
      </w:r>
    </w:p>
    <w:p w14:paraId="2EE505C3">
      <w:pPr>
        <w:rPr>
          <w:color w:val="auto"/>
        </w:rPr>
      </w:pPr>
      <w:r>
        <w:rPr>
          <w:color w:val="auto"/>
        </w:rPr>
        <w:fldChar w:fldCharType="end"/>
      </w:r>
    </w:p>
    <w:p w14:paraId="70741179">
      <w:pPr>
        <w:widowControl w:val="0"/>
        <w:snapToGrid w:val="0"/>
        <w:spacing w:line="660" w:lineRule="exact"/>
        <w:ind w:firstLine="607" w:firstLineChars="168"/>
        <w:rPr>
          <w:rFonts w:ascii="黑体" w:hAnsi="黑体" w:eastAsia="黑体"/>
          <w:b/>
          <w:color w:val="auto"/>
          <w:sz w:val="36"/>
          <w:szCs w:val="36"/>
        </w:rPr>
      </w:pPr>
    </w:p>
    <w:p w14:paraId="3FD0BAF4">
      <w:pPr>
        <w:widowControl w:val="0"/>
        <w:snapToGrid w:val="0"/>
        <w:spacing w:line="560" w:lineRule="exact"/>
        <w:ind w:firstLine="181" w:firstLineChars="50"/>
        <w:rPr>
          <w:rFonts w:ascii="黑体" w:eastAsia="黑体"/>
          <w:b/>
          <w:color w:val="auto"/>
          <w:sz w:val="36"/>
          <w:szCs w:val="36"/>
        </w:rPr>
        <w:sectPr>
          <w:footerReference r:id="rId12" w:type="first"/>
          <w:headerReference r:id="rId10" w:type="default"/>
          <w:footerReference r:id="rId11" w:type="default"/>
          <w:pgSz w:w="11905" w:h="16837"/>
          <w:pgMar w:top="1418" w:right="1106" w:bottom="1418" w:left="1418" w:header="567" w:footer="567" w:gutter="0"/>
          <w:pgNumType w:fmt="numberInDash" w:start="0"/>
          <w:cols w:space="720" w:num="1"/>
          <w:titlePg/>
        </w:sectPr>
      </w:pPr>
    </w:p>
    <w:p w14:paraId="66A08A98">
      <w:pPr>
        <w:widowControl w:val="0"/>
        <w:snapToGrid w:val="0"/>
        <w:spacing w:line="560" w:lineRule="exact"/>
        <w:jc w:val="center"/>
        <w:outlineLvl w:val="0"/>
        <w:rPr>
          <w:color w:val="auto"/>
          <w:sz w:val="36"/>
          <w:szCs w:val="36"/>
        </w:rPr>
      </w:pPr>
      <w:bookmarkStart w:id="0" w:name="_Toc106792500"/>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竞争性</w:t>
      </w:r>
      <w:r>
        <w:rPr>
          <w:rFonts w:hint="eastAsia" w:eastAsia="黑体"/>
          <w:b/>
          <w:color w:val="auto"/>
          <w:sz w:val="36"/>
          <w:szCs w:val="36"/>
          <w:lang w:eastAsia="zh-CN"/>
        </w:rPr>
        <w:t>谈判</w:t>
      </w:r>
      <w:r>
        <w:rPr>
          <w:rFonts w:hint="eastAsia" w:eastAsia="黑体"/>
          <w:b/>
          <w:color w:val="auto"/>
          <w:sz w:val="36"/>
          <w:szCs w:val="36"/>
        </w:rPr>
        <w:t>公告</w:t>
      </w:r>
      <w:bookmarkEnd w:id="0"/>
    </w:p>
    <w:p w14:paraId="7852A630">
      <w:pPr>
        <w:widowControl w:val="0"/>
        <w:adjustRightInd w:val="0"/>
        <w:snapToGrid w:val="0"/>
        <w:spacing w:line="360" w:lineRule="auto"/>
        <w:ind w:firstLine="632" w:firstLineChars="225"/>
        <w:jc w:val="left"/>
        <w:rPr>
          <w:rFonts w:ascii="黑体" w:hAnsi="黑体" w:eastAsia="黑体"/>
          <w:b/>
          <w:color w:val="auto"/>
          <w:sz w:val="28"/>
          <w:szCs w:val="28"/>
        </w:rPr>
      </w:pPr>
    </w:p>
    <w:p w14:paraId="13C6B6A8">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14:paraId="374FF666">
      <w:pPr>
        <w:widowControl w:val="0"/>
        <w:adjustRightInd w:val="0"/>
        <w:snapToGrid w:val="0"/>
        <w:spacing w:line="360" w:lineRule="auto"/>
        <w:ind w:firstLine="540" w:firstLineChars="225"/>
        <w:jc w:val="left"/>
        <w:rPr>
          <w:rFonts w:hint="default" w:ascii="宋体" w:hAnsi="宋体"/>
          <w:color w:val="auto"/>
          <w:sz w:val="24"/>
          <w:szCs w:val="24"/>
          <w:highlight w:val="yellow"/>
          <w:lang w:val="en-US" w:eastAsia="zh-CN"/>
        </w:rPr>
      </w:pPr>
      <w:r>
        <w:rPr>
          <w:rFonts w:ascii="宋体" w:hAnsi="宋体"/>
          <w:color w:val="auto"/>
          <w:sz w:val="24"/>
          <w:szCs w:val="24"/>
        </w:rPr>
        <w:t>1.1</w:t>
      </w:r>
      <w:r>
        <w:rPr>
          <w:rFonts w:hint="eastAsia" w:ascii="宋体" w:hAnsi="宋体"/>
          <w:color w:val="auto"/>
          <w:sz w:val="24"/>
          <w:szCs w:val="24"/>
        </w:rPr>
        <w:t>项目编号</w:t>
      </w:r>
      <w:r>
        <w:rPr>
          <w:rFonts w:hint="eastAsia" w:ascii="宋体" w:hAnsi="宋体"/>
          <w:color w:val="auto"/>
          <w:sz w:val="24"/>
          <w:szCs w:val="24"/>
          <w:highlight w:val="none"/>
        </w:rPr>
        <w:t>：殷竞</w:t>
      </w:r>
      <w:r>
        <w:rPr>
          <w:rFonts w:hint="eastAsia" w:ascii="宋体" w:hAnsi="宋体"/>
          <w:color w:val="auto"/>
          <w:sz w:val="24"/>
          <w:szCs w:val="24"/>
          <w:highlight w:val="none"/>
          <w:lang w:eastAsia="zh-CN"/>
        </w:rPr>
        <w:t>谈-202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p>
    <w:p w14:paraId="11A8566F">
      <w:pPr>
        <w:widowControl w:val="0"/>
        <w:adjustRightInd w:val="0"/>
        <w:snapToGrid w:val="0"/>
        <w:spacing w:line="360" w:lineRule="auto"/>
        <w:ind w:firstLine="540" w:firstLineChars="225"/>
        <w:jc w:val="left"/>
        <w:rPr>
          <w:rFonts w:hint="eastAsia" w:ascii="宋体" w:hAnsi="宋体"/>
          <w:color w:val="auto"/>
          <w:sz w:val="24"/>
          <w:szCs w:val="24"/>
          <w:lang w:val="en-US" w:eastAsia="zh-CN"/>
        </w:rPr>
      </w:pPr>
      <w:r>
        <w:rPr>
          <w:rFonts w:hint="eastAsia" w:ascii="宋体" w:hAnsi="宋体"/>
          <w:color w:val="auto"/>
          <w:sz w:val="24"/>
          <w:szCs w:val="24"/>
        </w:rPr>
        <w:t>1.2项目名称：</w:t>
      </w:r>
      <w:r>
        <w:rPr>
          <w:rFonts w:hint="eastAsia" w:ascii="宋体" w:hAnsi="宋体"/>
          <w:color w:val="auto"/>
          <w:sz w:val="24"/>
          <w:szCs w:val="24"/>
          <w:lang w:val="en-US" w:eastAsia="zh-CN"/>
        </w:rPr>
        <w:t>安阳市殷都区机关事务中心缔盛广场物业项目</w:t>
      </w:r>
    </w:p>
    <w:p w14:paraId="256B7523">
      <w:pPr>
        <w:widowControl w:val="0"/>
        <w:adjustRightInd w:val="0"/>
        <w:snapToGrid w:val="0"/>
        <w:spacing w:line="360" w:lineRule="auto"/>
        <w:ind w:firstLine="540" w:firstLineChars="225"/>
        <w:jc w:val="left"/>
        <w:rPr>
          <w:rFonts w:hint="eastAsia" w:ascii="宋体" w:hAnsi="宋体" w:eastAsia="宋体"/>
          <w:color w:val="auto"/>
          <w:sz w:val="24"/>
          <w:szCs w:val="24"/>
          <w:lang w:eastAsia="zh-CN"/>
        </w:rPr>
      </w:pPr>
      <w:r>
        <w:rPr>
          <w:rFonts w:hint="eastAsia" w:ascii="宋体" w:hAnsi="宋体"/>
          <w:color w:val="auto"/>
          <w:sz w:val="24"/>
          <w:szCs w:val="24"/>
        </w:rPr>
        <w:t>1.3采购方式：竞争性</w:t>
      </w:r>
      <w:r>
        <w:rPr>
          <w:rFonts w:hint="eastAsia" w:ascii="宋体" w:hAnsi="宋体"/>
          <w:color w:val="auto"/>
          <w:sz w:val="24"/>
          <w:szCs w:val="24"/>
          <w:lang w:eastAsia="zh-CN"/>
        </w:rPr>
        <w:t>谈判</w:t>
      </w:r>
    </w:p>
    <w:p w14:paraId="38124D2A">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ascii="宋体" w:hAnsi="宋体"/>
          <w:color w:val="auto"/>
          <w:sz w:val="24"/>
          <w:szCs w:val="24"/>
        </w:rPr>
        <w:t>1.</w:t>
      </w:r>
      <w:r>
        <w:rPr>
          <w:rFonts w:hint="eastAsia" w:ascii="宋体" w:hAnsi="宋体"/>
          <w:color w:val="auto"/>
          <w:sz w:val="24"/>
          <w:szCs w:val="24"/>
        </w:rPr>
        <w:t>4预算金额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450000</w:t>
      </w:r>
      <w:r>
        <w:rPr>
          <w:rFonts w:hint="eastAsia" w:ascii="宋体" w:hAnsi="宋体"/>
          <w:color w:val="auto"/>
          <w:sz w:val="24"/>
          <w:szCs w:val="24"/>
          <w:highlight w:val="none"/>
        </w:rPr>
        <w:t>元</w:t>
      </w:r>
    </w:p>
    <w:tbl>
      <w:tblPr>
        <w:tblStyle w:val="86"/>
        <w:tblW w:w="92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337"/>
        <w:gridCol w:w="4031"/>
        <w:gridCol w:w="1611"/>
        <w:gridCol w:w="1484"/>
      </w:tblGrid>
      <w:tr w14:paraId="469A5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1" w:type="dxa"/>
            <w:vAlign w:val="top"/>
          </w:tcPr>
          <w:p w14:paraId="207D66C1">
            <w:pPr>
              <w:spacing w:before="37" w:line="222" w:lineRule="auto"/>
              <w:ind w:left="171"/>
              <w:rPr>
                <w:rFonts w:ascii="宋体" w:hAnsi="宋体" w:eastAsia="宋体" w:cs="宋体"/>
                <w:sz w:val="24"/>
                <w:szCs w:val="24"/>
              </w:rPr>
            </w:pPr>
            <w:r>
              <w:rPr>
                <w:rFonts w:ascii="宋体" w:hAnsi="宋体" w:eastAsia="宋体" w:cs="宋体"/>
                <w:spacing w:val="-3"/>
                <w:sz w:val="24"/>
                <w:szCs w:val="24"/>
              </w:rPr>
              <w:t>序号</w:t>
            </w:r>
          </w:p>
        </w:tc>
        <w:tc>
          <w:tcPr>
            <w:tcW w:w="1337" w:type="dxa"/>
            <w:vAlign w:val="top"/>
          </w:tcPr>
          <w:p w14:paraId="4105861A">
            <w:pPr>
              <w:spacing w:before="37" w:line="222" w:lineRule="auto"/>
              <w:ind w:left="185"/>
              <w:rPr>
                <w:rFonts w:ascii="宋体" w:hAnsi="宋体" w:eastAsia="宋体" w:cs="宋体"/>
                <w:sz w:val="24"/>
                <w:szCs w:val="24"/>
              </w:rPr>
            </w:pPr>
            <w:r>
              <w:rPr>
                <w:rFonts w:ascii="宋体" w:hAnsi="宋体" w:eastAsia="宋体" w:cs="宋体"/>
                <w:spacing w:val="-3"/>
                <w:sz w:val="24"/>
                <w:szCs w:val="24"/>
              </w:rPr>
              <w:t>包号</w:t>
            </w:r>
          </w:p>
        </w:tc>
        <w:tc>
          <w:tcPr>
            <w:tcW w:w="4031" w:type="dxa"/>
            <w:vAlign w:val="top"/>
          </w:tcPr>
          <w:p w14:paraId="28942565">
            <w:pPr>
              <w:spacing w:before="38" w:line="222" w:lineRule="auto"/>
              <w:ind w:left="1592"/>
              <w:rPr>
                <w:rFonts w:ascii="宋体" w:hAnsi="宋体" w:eastAsia="宋体" w:cs="宋体"/>
                <w:sz w:val="24"/>
                <w:szCs w:val="24"/>
              </w:rPr>
            </w:pPr>
            <w:r>
              <w:rPr>
                <w:rFonts w:ascii="宋体" w:hAnsi="宋体" w:eastAsia="宋体" w:cs="宋体"/>
                <w:spacing w:val="-3"/>
                <w:sz w:val="24"/>
                <w:szCs w:val="24"/>
              </w:rPr>
              <w:t>包名称</w:t>
            </w:r>
          </w:p>
        </w:tc>
        <w:tc>
          <w:tcPr>
            <w:tcW w:w="1611" w:type="dxa"/>
            <w:vAlign w:val="top"/>
          </w:tcPr>
          <w:p w14:paraId="42E00717">
            <w:pPr>
              <w:spacing w:before="37" w:line="220" w:lineRule="auto"/>
              <w:ind w:left="214"/>
              <w:rPr>
                <w:rFonts w:ascii="宋体" w:hAnsi="宋体" w:eastAsia="宋体" w:cs="宋体"/>
                <w:sz w:val="24"/>
                <w:szCs w:val="24"/>
              </w:rPr>
            </w:pPr>
            <w:r>
              <w:rPr>
                <w:rFonts w:ascii="宋体" w:hAnsi="宋体" w:eastAsia="宋体" w:cs="宋体"/>
                <w:spacing w:val="-4"/>
                <w:sz w:val="24"/>
                <w:szCs w:val="24"/>
              </w:rPr>
              <w:t>包预算（元）</w:t>
            </w:r>
          </w:p>
        </w:tc>
        <w:tc>
          <w:tcPr>
            <w:tcW w:w="1484" w:type="dxa"/>
            <w:vAlign w:val="top"/>
          </w:tcPr>
          <w:p w14:paraId="2616D75A">
            <w:pPr>
              <w:spacing w:before="37" w:line="219" w:lineRule="auto"/>
              <w:jc w:val="right"/>
              <w:rPr>
                <w:rFonts w:ascii="宋体" w:hAnsi="宋体" w:eastAsia="宋体" w:cs="宋体"/>
                <w:sz w:val="24"/>
                <w:szCs w:val="24"/>
              </w:rPr>
            </w:pPr>
            <w:r>
              <w:rPr>
                <w:rFonts w:ascii="宋体" w:hAnsi="宋体" w:eastAsia="宋体" w:cs="宋体"/>
                <w:spacing w:val="-24"/>
                <w:sz w:val="24"/>
                <w:szCs w:val="24"/>
              </w:rPr>
              <w:t>包最高限价（元）</w:t>
            </w:r>
          </w:p>
        </w:tc>
      </w:tr>
      <w:tr w14:paraId="1256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21" w:type="dxa"/>
            <w:vAlign w:val="top"/>
          </w:tcPr>
          <w:p w14:paraId="6D5460B0">
            <w:pPr>
              <w:spacing w:before="254" w:line="182" w:lineRule="auto"/>
              <w:ind w:left="370"/>
              <w:rPr>
                <w:rFonts w:ascii="宋体" w:hAnsi="宋体" w:eastAsia="宋体" w:cs="宋体"/>
                <w:sz w:val="24"/>
                <w:szCs w:val="24"/>
              </w:rPr>
            </w:pPr>
            <w:r>
              <w:rPr>
                <w:rFonts w:ascii="宋体" w:hAnsi="宋体" w:eastAsia="宋体" w:cs="宋体"/>
                <w:sz w:val="24"/>
                <w:szCs w:val="24"/>
              </w:rPr>
              <w:t>1</w:t>
            </w:r>
          </w:p>
        </w:tc>
        <w:tc>
          <w:tcPr>
            <w:tcW w:w="1337" w:type="dxa"/>
            <w:vAlign w:val="top"/>
          </w:tcPr>
          <w:p w14:paraId="108F6241">
            <w:pPr>
              <w:spacing w:before="254" w:line="182" w:lineRule="auto"/>
              <w:rPr>
                <w:rFonts w:ascii="宋体" w:hAnsi="宋体" w:eastAsia="宋体" w:cs="宋体"/>
                <w:sz w:val="24"/>
                <w:szCs w:val="24"/>
                <w:highlight w:val="none"/>
              </w:rPr>
            </w:pPr>
            <w:r>
              <w:rPr>
                <w:rFonts w:hint="eastAsia" w:ascii="宋体" w:hAnsi="宋体" w:cs="宋体"/>
                <w:color w:val="auto"/>
                <w:sz w:val="24"/>
                <w:szCs w:val="24"/>
                <w:highlight w:val="none"/>
              </w:rPr>
              <w:t>殷竞</w:t>
            </w:r>
            <w:r>
              <w:rPr>
                <w:rFonts w:hint="eastAsia" w:ascii="宋体" w:hAnsi="宋体" w:cs="宋体"/>
                <w:color w:val="auto"/>
                <w:sz w:val="24"/>
                <w:szCs w:val="24"/>
                <w:highlight w:val="none"/>
                <w:lang w:eastAsia="zh-CN"/>
              </w:rPr>
              <w:t>谈-202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5-1</w:t>
            </w:r>
          </w:p>
        </w:tc>
        <w:tc>
          <w:tcPr>
            <w:tcW w:w="4031" w:type="dxa"/>
            <w:vAlign w:val="top"/>
          </w:tcPr>
          <w:p w14:paraId="6D570056">
            <w:pPr>
              <w:spacing w:before="35" w:line="257" w:lineRule="auto"/>
              <w:ind w:left="113" w:right="101"/>
              <w:jc w:val="center"/>
              <w:rPr>
                <w:rFonts w:ascii="宋体" w:hAnsi="宋体" w:eastAsia="宋体" w:cs="宋体"/>
                <w:sz w:val="24"/>
                <w:szCs w:val="24"/>
                <w:highlight w:val="none"/>
              </w:rPr>
            </w:pPr>
            <w:r>
              <w:rPr>
                <w:rFonts w:hint="eastAsia" w:ascii="宋体" w:hAnsi="宋体"/>
                <w:color w:val="auto"/>
                <w:sz w:val="24"/>
                <w:szCs w:val="24"/>
                <w:highlight w:val="none"/>
                <w:lang w:val="en-US" w:eastAsia="zh-CN"/>
              </w:rPr>
              <w:t>安阳市殷都区机关事务中心缔盛广场物业项目</w:t>
            </w:r>
          </w:p>
        </w:tc>
        <w:tc>
          <w:tcPr>
            <w:tcW w:w="1611" w:type="dxa"/>
            <w:vAlign w:val="top"/>
          </w:tcPr>
          <w:p w14:paraId="3B42BEDF">
            <w:pPr>
              <w:spacing w:before="256" w:line="181" w:lineRule="auto"/>
              <w:ind w:left="513"/>
              <w:rPr>
                <w:rFonts w:hint="default" w:ascii="宋体" w:hAnsi="宋体" w:eastAsia="宋体" w:cs="宋体"/>
                <w:sz w:val="24"/>
                <w:szCs w:val="24"/>
                <w:lang w:val="en-US" w:eastAsia="zh-CN"/>
              </w:rPr>
            </w:pPr>
            <w:r>
              <w:rPr>
                <w:rFonts w:hint="eastAsia" w:ascii="宋体" w:hAnsi="宋体" w:cs="宋体"/>
                <w:spacing w:val="-2"/>
                <w:sz w:val="24"/>
                <w:szCs w:val="24"/>
                <w:lang w:val="en-US" w:eastAsia="zh-CN"/>
              </w:rPr>
              <w:t>450000</w:t>
            </w:r>
          </w:p>
        </w:tc>
        <w:tc>
          <w:tcPr>
            <w:tcW w:w="1484" w:type="dxa"/>
            <w:vAlign w:val="top"/>
          </w:tcPr>
          <w:p w14:paraId="42AA8109">
            <w:pPr>
              <w:spacing w:before="256" w:line="181" w:lineRule="auto"/>
              <w:ind w:left="515"/>
              <w:rPr>
                <w:rFonts w:hint="default" w:ascii="宋体" w:hAnsi="宋体" w:eastAsia="宋体" w:cs="宋体"/>
                <w:sz w:val="24"/>
                <w:szCs w:val="24"/>
                <w:lang w:val="en-US" w:eastAsia="zh-CN"/>
              </w:rPr>
            </w:pPr>
            <w:r>
              <w:rPr>
                <w:rFonts w:hint="eastAsia" w:ascii="宋体" w:hAnsi="宋体" w:cs="宋体"/>
                <w:spacing w:val="-2"/>
                <w:sz w:val="24"/>
                <w:szCs w:val="24"/>
                <w:lang w:val="en-US" w:eastAsia="zh-CN"/>
              </w:rPr>
              <w:t>450000</w:t>
            </w:r>
          </w:p>
        </w:tc>
      </w:tr>
    </w:tbl>
    <w:p w14:paraId="08143E75">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1.5采购需求：</w:t>
      </w:r>
      <w:r>
        <w:rPr>
          <w:rFonts w:hint="eastAsia" w:ascii="宋体" w:hAnsi="宋体"/>
          <w:color w:val="auto"/>
          <w:sz w:val="24"/>
          <w:szCs w:val="24"/>
          <w:lang w:val="en-US" w:eastAsia="zh-CN"/>
        </w:rPr>
        <w:t>（包括但不限于标的的名称、数量、简要技术需求或服务要求等）</w:t>
      </w:r>
    </w:p>
    <w:p w14:paraId="29C1FD6E">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lang w:val="en-US" w:eastAsia="zh-CN"/>
        </w:rPr>
        <w:t>（1）项目内容：物业服务及保洁；</w:t>
      </w:r>
    </w:p>
    <w:p w14:paraId="53E3DD82">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lang w:val="en-US" w:eastAsia="zh-CN"/>
        </w:rPr>
        <w:t>（2）基本技术要求：</w:t>
      </w:r>
      <w:r>
        <w:rPr>
          <w:rFonts w:hint="eastAsia" w:ascii="宋体" w:hAnsi="宋体"/>
          <w:color w:val="auto"/>
          <w:sz w:val="24"/>
          <w:szCs w:val="24"/>
        </w:rPr>
        <w:t>详见《</w:t>
      </w:r>
      <w:r>
        <w:rPr>
          <w:rFonts w:hint="eastAsia" w:ascii="宋体" w:hAnsi="宋体"/>
          <w:color w:val="auto"/>
          <w:sz w:val="24"/>
          <w:szCs w:val="24"/>
          <w:lang w:eastAsia="zh-CN"/>
        </w:rPr>
        <w:t>谈判</w:t>
      </w:r>
      <w:r>
        <w:rPr>
          <w:rFonts w:hint="eastAsia" w:ascii="宋体" w:hAnsi="宋体"/>
          <w:color w:val="auto"/>
          <w:sz w:val="24"/>
          <w:szCs w:val="24"/>
        </w:rPr>
        <w:t>文件》“基本技术要求”</w:t>
      </w:r>
    </w:p>
    <w:p w14:paraId="0334EFE6">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lang w:val="en-US" w:eastAsia="zh-CN"/>
        </w:rPr>
        <w:t>（3）实施地点：殷都区缔盛广场（钢花路与殷三路交叉口东南角）。</w:t>
      </w:r>
    </w:p>
    <w:p w14:paraId="570F32B7">
      <w:pPr>
        <w:widowControl w:val="0"/>
        <w:adjustRightInd w:val="0"/>
        <w:snapToGrid w:val="0"/>
        <w:spacing w:line="360" w:lineRule="auto"/>
        <w:ind w:firstLine="540" w:firstLineChars="225"/>
        <w:jc w:val="left"/>
        <w:rPr>
          <w:rFonts w:hint="eastAsia" w:ascii="宋体" w:hAnsi="宋体"/>
          <w:color w:val="auto"/>
          <w:sz w:val="24"/>
          <w:szCs w:val="24"/>
          <w:lang w:val="en-US" w:eastAsia="zh-CN"/>
        </w:rPr>
      </w:pPr>
      <w:r>
        <w:rPr>
          <w:rFonts w:hint="eastAsia" w:ascii="宋体" w:hAnsi="宋体"/>
          <w:color w:val="auto"/>
          <w:sz w:val="24"/>
          <w:szCs w:val="24"/>
        </w:rPr>
        <w:t>1.6合同履行期限：合同签订日起</w:t>
      </w:r>
      <w:r>
        <w:rPr>
          <w:rFonts w:hint="eastAsia" w:ascii="宋体" w:hAnsi="宋体"/>
          <w:color w:val="auto"/>
          <w:sz w:val="24"/>
          <w:szCs w:val="24"/>
          <w:lang w:val="en-US" w:eastAsia="zh-CN"/>
        </w:rPr>
        <w:t>1年</w:t>
      </w:r>
      <w:bookmarkStart w:id="42" w:name="_GoBack"/>
      <w:bookmarkEnd w:id="42"/>
    </w:p>
    <w:p w14:paraId="26DBA219">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1.7本项目（是/否）接受联合体投标：否</w:t>
      </w:r>
    </w:p>
    <w:p w14:paraId="61423822">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rPr>
        <w:t>1.8是否接受进口产品：否</w:t>
      </w:r>
    </w:p>
    <w:p w14:paraId="2DE41EE1">
      <w:pPr>
        <w:widowControl w:val="0"/>
        <w:adjustRightInd w:val="0"/>
        <w:snapToGrid w:val="0"/>
        <w:spacing w:line="360" w:lineRule="auto"/>
        <w:ind w:firstLine="540" w:firstLineChars="225"/>
        <w:jc w:val="left"/>
        <w:rPr>
          <w:rFonts w:hint="eastAsia" w:ascii="宋体" w:hAnsi="宋体"/>
          <w:color w:val="auto"/>
          <w:sz w:val="24"/>
          <w:szCs w:val="24"/>
        </w:rPr>
      </w:pPr>
      <w:r>
        <w:rPr>
          <w:rFonts w:hint="eastAsia" w:ascii="宋体" w:hAnsi="宋体"/>
          <w:color w:val="auto"/>
          <w:sz w:val="24"/>
          <w:szCs w:val="24"/>
          <w:lang w:val="en-US" w:eastAsia="zh-CN"/>
        </w:rPr>
        <w:t>1.9是否专门面向中小企业：是。</w:t>
      </w:r>
    </w:p>
    <w:p w14:paraId="3464959E">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2.申请人的资格要求：</w:t>
      </w:r>
    </w:p>
    <w:p w14:paraId="3AC8BA6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24CFBEA0">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hint="eastAsia" w:ascii="宋体" w:hAnsi="宋体"/>
          <w:color w:val="auto"/>
          <w:sz w:val="24"/>
          <w:szCs w:val="24"/>
          <w:highlight w:val="none"/>
        </w:rPr>
        <w:t>2.2落实政府采购政策需满足的资格要求：</w:t>
      </w:r>
      <w:r>
        <w:rPr>
          <w:rFonts w:hint="eastAsia" w:ascii="宋体" w:hAnsi="宋体" w:eastAsia="宋体" w:cs="宋体"/>
          <w:sz w:val="24"/>
          <w:szCs w:val="24"/>
        </w:rPr>
        <w:t>本项目属于专门面向中小企业采购项目， 供应商应在响应文件中提供《中小企业声明函》。</w:t>
      </w:r>
    </w:p>
    <w:p w14:paraId="696D1FEF">
      <w:pPr>
        <w:widowControl w:val="0"/>
        <w:adjustRightInd w:val="0"/>
        <w:snapToGrid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 本项目的特定资格要求：</w:t>
      </w:r>
    </w:p>
    <w:p w14:paraId="035C17D1">
      <w:pPr>
        <w:widowControl w:val="0"/>
        <w:adjustRightInd w:val="0"/>
        <w:snapToGrid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2.3.1 满足《中华人民共和国政府采购法》第二十二条第一款规定的供应商基础性 资格要求；供应商自行承诺并承担后果，承诺书不实的，按《政府采购法》有关提供虚 假材料的有关规定给予处罚。</w:t>
      </w:r>
    </w:p>
    <w:p w14:paraId="084F5E5F">
      <w:pPr>
        <w:widowControl w:val="0"/>
        <w:adjustRightInd w:val="0"/>
        <w:snapToGrid w:val="0"/>
        <w:spacing w:line="45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2.3.2 对供应商的限制性规定</w:t>
      </w:r>
    </w:p>
    <w:p w14:paraId="098ECC09">
      <w:pPr>
        <w:widowControl w:val="0"/>
        <w:adjustRightInd w:val="0"/>
        <w:snapToGrid w:val="0"/>
        <w:spacing w:line="450" w:lineRule="exact"/>
        <w:ind w:firstLine="480" w:firstLineChars="200"/>
        <w:jc w:val="left"/>
        <w:rPr>
          <w:rFonts w:hint="default" w:ascii="宋体" w:hAnsi="宋体" w:eastAsia="宋体" w:cs="宋体"/>
          <w:sz w:val="24"/>
          <w:szCs w:val="24"/>
        </w:rPr>
      </w:pPr>
      <w:r>
        <w:rPr>
          <w:rFonts w:hint="eastAsia" w:ascii="宋体" w:hAnsi="宋体" w:eastAsia="宋体" w:cs="宋体"/>
          <w:sz w:val="24"/>
          <w:szCs w:val="24"/>
          <w:lang w:val="en-US" w:eastAsia="zh-CN"/>
        </w:rPr>
        <w:t>(1)</w:t>
      </w:r>
      <w:r>
        <w:rPr>
          <w:rFonts w:hint="default" w:ascii="宋体" w:hAnsi="宋体" w:eastAsia="宋体" w:cs="宋体"/>
          <w:sz w:val="24"/>
          <w:szCs w:val="24"/>
        </w:rPr>
        <w:t>供应商应当无不良信用记录。(在“信用中国”网站的“失信被执行人”和“重大税收违法失信主体”及“中国政府采购网”网站的“政府采购严重违法失信行为记录名单”均未列入)</w:t>
      </w:r>
    </w:p>
    <w:p w14:paraId="62A9BDFF">
      <w:pPr>
        <w:widowControl w:val="0"/>
        <w:adjustRightInd w:val="0"/>
        <w:snapToGrid w:val="0"/>
        <w:spacing w:line="450" w:lineRule="exact"/>
        <w:ind w:firstLine="480" w:firstLineChars="200"/>
        <w:jc w:val="left"/>
        <w:rPr>
          <w:rFonts w:hint="eastAsia" w:ascii="宋体" w:hAnsi="宋体" w:eastAsia="宋体" w:cs="宋体"/>
          <w:sz w:val="24"/>
          <w:szCs w:val="24"/>
          <w:lang w:val="en-US" w:eastAsia="zh-CN"/>
        </w:rPr>
      </w:pPr>
      <w:r>
        <w:rPr>
          <w:rFonts w:hint="default" w:ascii="宋体" w:hAnsi="宋体" w:eastAsia="宋体" w:cs="宋体"/>
          <w:sz w:val="24"/>
          <w:szCs w:val="24"/>
        </w:rPr>
        <w:t>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w:t>
      </w:r>
    </w:p>
    <w:p w14:paraId="680EBDDF">
      <w:pPr>
        <w:widowControl w:val="0"/>
        <w:adjustRightInd w:val="0"/>
        <w:snapToGrid w:val="0"/>
        <w:spacing w:line="450" w:lineRule="exact"/>
        <w:ind w:firstLine="480" w:firstLineChars="200"/>
        <w:jc w:val="left"/>
        <w:rPr>
          <w:rFonts w:ascii="宋体" w:hAnsi="宋体" w:eastAsia="宋体" w:cs="宋体"/>
          <w:spacing w:val="-6"/>
          <w:sz w:val="24"/>
          <w:szCs w:val="24"/>
        </w:rPr>
      </w:pPr>
      <w:r>
        <w:rPr>
          <w:rFonts w:hint="eastAsia" w:ascii="宋体" w:hAnsi="宋体" w:eastAsia="宋体" w:cs="宋体"/>
          <w:sz w:val="24"/>
          <w:szCs w:val="24"/>
        </w:rPr>
        <w:t>（2）</w:t>
      </w:r>
      <w:r>
        <w:rPr>
          <w:rFonts w:hint="default" w:ascii="宋体" w:hAnsi="宋体" w:eastAsia="宋体" w:cs="宋体"/>
          <w:sz w:val="24"/>
          <w:szCs w:val="24"/>
        </w:rPr>
        <w:t>单位负责人为同一人或者存在直接控股、管理关系的不同供应商，不得参加本合同项</w:t>
      </w:r>
      <w:r>
        <w:rPr>
          <w:rFonts w:hint="default" w:ascii="宋体" w:hAnsi="宋体" w:eastAsia="宋体" w:cs="宋体"/>
          <w:spacing w:val="-6"/>
          <w:sz w:val="24"/>
          <w:szCs w:val="24"/>
        </w:rPr>
        <w:t>下的政府采购活动。供应商自行承诺并提供《国家企业信用信息公示系统》中本公司企业信用信息公示报告。承诺书不实的，按《政府采购法》有关提供虚假材料的有关规定给予处罚。</w:t>
      </w:r>
    </w:p>
    <w:p w14:paraId="121711CA">
      <w:pPr>
        <w:widowControl w:val="0"/>
        <w:adjustRightInd w:val="0"/>
        <w:snapToGrid w:val="0"/>
        <w:spacing w:line="450" w:lineRule="exact"/>
        <w:ind w:firstLine="476" w:firstLineChars="200"/>
        <w:jc w:val="left"/>
        <w:rPr>
          <w:rFonts w:ascii="宋体" w:hAnsi="宋体" w:eastAsia="宋体" w:cs="宋体"/>
          <w:spacing w:val="-2"/>
          <w:sz w:val="24"/>
          <w:szCs w:val="24"/>
        </w:rPr>
      </w:pPr>
      <w:r>
        <w:rPr>
          <w:rFonts w:ascii="宋体" w:hAnsi="宋体" w:eastAsia="宋体" w:cs="宋体"/>
          <w:spacing w:val="-1"/>
          <w:sz w:val="24"/>
          <w:szCs w:val="24"/>
        </w:rPr>
        <w:t>（3）为本采购项目提供整体设计、规范编制或者项目管理、监理、检测等服务的</w:t>
      </w:r>
      <w:r>
        <w:rPr>
          <w:rFonts w:ascii="宋体" w:hAnsi="宋体" w:eastAsia="宋体" w:cs="宋体"/>
          <w:spacing w:val="-6"/>
          <w:sz w:val="24"/>
          <w:szCs w:val="24"/>
        </w:rPr>
        <w:t>供应商，不得再参加本采购项目。供应商自行承诺并承</w:t>
      </w:r>
      <w:r>
        <w:rPr>
          <w:rFonts w:ascii="宋体" w:hAnsi="宋体" w:eastAsia="宋体" w:cs="宋体"/>
          <w:spacing w:val="-7"/>
          <w:sz w:val="24"/>
          <w:szCs w:val="24"/>
        </w:rPr>
        <w:t>担后果，</w:t>
      </w:r>
      <w:r>
        <w:rPr>
          <w:rFonts w:ascii="宋体" w:hAnsi="宋体" w:eastAsia="宋体" w:cs="宋体"/>
          <w:spacing w:val="51"/>
          <w:sz w:val="24"/>
          <w:szCs w:val="24"/>
        </w:rPr>
        <w:t xml:space="preserve"> </w:t>
      </w:r>
      <w:r>
        <w:rPr>
          <w:rFonts w:ascii="宋体" w:hAnsi="宋体" w:eastAsia="宋体" w:cs="宋体"/>
          <w:spacing w:val="-7"/>
          <w:sz w:val="24"/>
          <w:szCs w:val="24"/>
        </w:rPr>
        <w:t>承诺书不实的，按《政</w:t>
      </w:r>
      <w:r>
        <w:rPr>
          <w:rFonts w:ascii="宋体" w:hAnsi="宋体" w:eastAsia="宋体" w:cs="宋体"/>
          <w:sz w:val="24"/>
          <w:szCs w:val="24"/>
        </w:rPr>
        <w:t xml:space="preserve"> </w:t>
      </w:r>
      <w:r>
        <w:rPr>
          <w:rFonts w:ascii="宋体" w:hAnsi="宋体" w:eastAsia="宋体" w:cs="宋体"/>
          <w:spacing w:val="-2"/>
          <w:sz w:val="24"/>
          <w:szCs w:val="24"/>
        </w:rPr>
        <w:t>府采购法》有关提供虚假材料的有关规定给予处罚。</w:t>
      </w:r>
    </w:p>
    <w:p w14:paraId="1E4B1435">
      <w:pPr>
        <w:widowControl w:val="0"/>
        <w:adjustRightInd w:val="0"/>
        <w:snapToGrid w:val="0"/>
        <w:spacing w:line="450" w:lineRule="exact"/>
        <w:ind w:firstLine="476" w:firstLineChars="200"/>
        <w:jc w:val="left"/>
        <w:rPr>
          <w:rFonts w:hint="eastAsia" w:ascii="宋体" w:hAnsi="宋体" w:eastAsia="宋体" w:cs="宋体"/>
          <w:spacing w:val="-1"/>
          <w:sz w:val="24"/>
          <w:szCs w:val="24"/>
          <w:lang w:val="en-US" w:eastAsia="zh-CN"/>
        </w:rPr>
      </w:pPr>
      <w:r>
        <w:rPr>
          <w:rFonts w:hint="default" w:ascii="宋体" w:hAnsi="宋体" w:eastAsia="宋体" w:cs="宋体"/>
          <w:spacing w:val="-1"/>
          <w:sz w:val="24"/>
          <w:szCs w:val="24"/>
        </w:rPr>
        <w:t>（4）具备法律、行政法规规定的其他条件。</w:t>
      </w:r>
    </w:p>
    <w:p w14:paraId="109D5759">
      <w:pPr>
        <w:widowControl w:val="0"/>
        <w:adjustRightInd w:val="0"/>
        <w:snapToGrid w:val="0"/>
        <w:spacing w:line="450" w:lineRule="exact"/>
        <w:ind w:firstLine="476" w:firstLineChars="200"/>
        <w:jc w:val="left"/>
        <w:rPr>
          <w:rFonts w:hint="default" w:ascii="宋体" w:hAnsi="宋体" w:eastAsia="宋体" w:cs="宋体"/>
          <w:spacing w:val="-1"/>
          <w:sz w:val="24"/>
          <w:szCs w:val="24"/>
        </w:rPr>
      </w:pPr>
      <w:r>
        <w:rPr>
          <w:rFonts w:hint="default" w:ascii="宋体" w:hAnsi="宋体" w:eastAsia="宋体" w:cs="宋体"/>
          <w:spacing w:val="-1"/>
          <w:sz w:val="24"/>
          <w:szCs w:val="24"/>
        </w:rPr>
        <w:t>注：1.所有证照均应在有效期内，证照如需年检的、应为经年检有效的证照；文中“近”、“前”指距投标截止时间。</w:t>
      </w:r>
    </w:p>
    <w:p w14:paraId="42A2D55B">
      <w:pPr>
        <w:widowControl w:val="0"/>
        <w:adjustRightInd w:val="0"/>
        <w:snapToGrid w:val="0"/>
        <w:spacing w:line="450" w:lineRule="exact"/>
        <w:ind w:firstLine="476" w:firstLineChars="200"/>
        <w:jc w:val="left"/>
        <w:rPr>
          <w:rFonts w:hint="default" w:ascii="宋体" w:hAnsi="宋体" w:eastAsia="宋体" w:cs="宋体"/>
          <w:spacing w:val="-1"/>
          <w:sz w:val="24"/>
          <w:szCs w:val="24"/>
        </w:rPr>
      </w:pPr>
      <w:r>
        <w:rPr>
          <w:rFonts w:hint="default" w:ascii="宋体" w:hAnsi="宋体" w:eastAsia="宋体" w:cs="宋体"/>
          <w:spacing w:val="-1"/>
          <w:sz w:val="24"/>
          <w:szCs w:val="24"/>
        </w:rPr>
        <w:t>2.资格证明材料（文件）应附于响应文件中并经供应商电子签章。供应商对资格证明文件真实性有效合规承担责任，提供虚假材料的为无效投标并将进一步追究其责任。</w:t>
      </w:r>
    </w:p>
    <w:p w14:paraId="47EF5170">
      <w:pPr>
        <w:widowControl w:val="0"/>
        <w:adjustRightInd w:val="0"/>
        <w:snapToGrid w:val="0"/>
        <w:spacing w:line="450" w:lineRule="exact"/>
        <w:ind w:firstLine="476" w:firstLineChars="200"/>
        <w:jc w:val="left"/>
        <w:rPr>
          <w:rFonts w:hint="default" w:ascii="宋体" w:hAnsi="宋体" w:eastAsia="宋体" w:cs="宋体"/>
          <w:spacing w:val="-1"/>
          <w:sz w:val="24"/>
          <w:szCs w:val="24"/>
        </w:rPr>
      </w:pPr>
      <w:r>
        <w:rPr>
          <w:rFonts w:hint="eastAsia" w:ascii="宋体" w:hAnsi="宋体" w:eastAsia="宋体" w:cs="宋体"/>
          <w:spacing w:val="-1"/>
          <w:sz w:val="24"/>
          <w:szCs w:val="24"/>
          <w:lang w:val="en-US" w:eastAsia="zh-CN"/>
        </w:rPr>
        <w:t>3.</w:t>
      </w:r>
      <w:r>
        <w:rPr>
          <w:rFonts w:hint="default" w:ascii="宋体" w:hAnsi="宋体" w:eastAsia="宋体" w:cs="宋体"/>
          <w:spacing w:val="-1"/>
          <w:sz w:val="24"/>
          <w:szCs w:val="24"/>
        </w:rPr>
        <w:t>本项目采取资格后审，开标后，将由</w:t>
      </w:r>
      <w:r>
        <w:rPr>
          <w:rFonts w:hint="eastAsia" w:ascii="宋体" w:hAnsi="宋体" w:cs="宋体"/>
          <w:spacing w:val="-1"/>
          <w:sz w:val="24"/>
          <w:szCs w:val="24"/>
          <w:lang w:eastAsia="zh-CN"/>
        </w:rPr>
        <w:t>谈判小组</w:t>
      </w:r>
      <w:r>
        <w:rPr>
          <w:rFonts w:hint="default" w:ascii="宋体" w:hAnsi="宋体" w:eastAsia="宋体" w:cs="宋体"/>
          <w:spacing w:val="-1"/>
          <w:sz w:val="24"/>
          <w:szCs w:val="24"/>
        </w:rPr>
        <w:t>对供应商的资格证明材料（文件）进行资格审核，未按要求逐一提供、或资格审查不合格的为无效投标，供应商应自负其风险费用。</w:t>
      </w:r>
    </w:p>
    <w:p w14:paraId="2C6C3CC3">
      <w:pPr>
        <w:widowControl w:val="0"/>
        <w:adjustRightInd w:val="0"/>
        <w:snapToGrid w:val="0"/>
        <w:spacing w:line="450" w:lineRule="exact"/>
        <w:ind w:firstLine="476" w:firstLineChars="200"/>
        <w:jc w:val="left"/>
        <w:rPr>
          <w:rFonts w:hint="eastAsia" w:ascii="宋体" w:hAnsi="宋体" w:eastAsia="宋体" w:cs="宋体"/>
          <w:spacing w:val="-1"/>
          <w:sz w:val="24"/>
          <w:szCs w:val="24"/>
          <w:lang w:val="en-US" w:eastAsia="zh-CN"/>
        </w:rPr>
      </w:pPr>
      <w:r>
        <w:rPr>
          <w:rFonts w:hint="default" w:ascii="宋体" w:hAnsi="宋体" w:eastAsia="宋体" w:cs="宋体"/>
          <w:spacing w:val="-1"/>
          <w:sz w:val="24"/>
          <w:szCs w:val="24"/>
        </w:rPr>
        <w:t>4.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030AF547">
      <w:pPr>
        <w:widowControl w:val="0"/>
        <w:snapToGrid w:val="0"/>
        <w:spacing w:line="360" w:lineRule="auto"/>
        <w:ind w:firstLine="562" w:firstLineChars="200"/>
        <w:rPr>
          <w:rFonts w:hint="default" w:ascii="黑体" w:hAnsi="黑体" w:eastAsia="黑体"/>
          <w:b/>
          <w:color w:val="auto"/>
          <w:sz w:val="28"/>
          <w:szCs w:val="28"/>
          <w:lang w:val="en-US" w:eastAsia="zh-CN"/>
        </w:rPr>
      </w:pPr>
      <w:r>
        <w:rPr>
          <w:rFonts w:ascii="黑体" w:hAnsi="黑体" w:eastAsia="黑体"/>
          <w:b/>
          <w:color w:val="auto"/>
          <w:sz w:val="28"/>
          <w:szCs w:val="28"/>
        </w:rPr>
        <w:t>3</w:t>
      </w:r>
      <w:r>
        <w:rPr>
          <w:rFonts w:hint="eastAsia" w:ascii="黑体" w:hAnsi="黑体" w:eastAsia="黑体"/>
          <w:b/>
          <w:color w:val="auto"/>
          <w:sz w:val="28"/>
          <w:szCs w:val="28"/>
        </w:rPr>
        <w:t>．获取</w:t>
      </w:r>
      <w:r>
        <w:rPr>
          <w:rFonts w:hint="eastAsia" w:ascii="黑体" w:hAnsi="黑体" w:eastAsia="黑体"/>
          <w:b/>
          <w:color w:val="auto"/>
          <w:sz w:val="28"/>
          <w:szCs w:val="28"/>
          <w:lang w:eastAsia="zh-CN"/>
        </w:rPr>
        <w:t>谈判</w:t>
      </w:r>
      <w:r>
        <w:rPr>
          <w:rFonts w:hint="eastAsia" w:ascii="黑体" w:hAnsi="黑体" w:eastAsia="黑体"/>
          <w:b/>
          <w:color w:val="auto"/>
          <w:sz w:val="28"/>
          <w:szCs w:val="28"/>
        </w:rPr>
        <w:t>文件</w:t>
      </w:r>
    </w:p>
    <w:p w14:paraId="0362AF10">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highlight w:val="none"/>
        </w:rPr>
        <w:t>时间：</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5</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19 </w:t>
      </w:r>
      <w:r>
        <w:rPr>
          <w:rFonts w:hint="eastAsia"/>
          <w:color w:val="auto"/>
          <w:sz w:val="24"/>
          <w:szCs w:val="24"/>
          <w:highlight w:val="none"/>
        </w:rPr>
        <w:t>日至</w:t>
      </w:r>
      <w:r>
        <w:rPr>
          <w:rFonts w:hint="eastAsia"/>
          <w:color w:val="auto"/>
          <w:sz w:val="24"/>
          <w:szCs w:val="24"/>
          <w:highlight w:val="none"/>
          <w:u w:val="single"/>
        </w:rPr>
        <w:t>202</w:t>
      </w:r>
      <w:r>
        <w:rPr>
          <w:rFonts w:hint="eastAsia"/>
          <w:color w:val="auto"/>
          <w:sz w:val="24"/>
          <w:szCs w:val="24"/>
          <w:highlight w:val="none"/>
          <w:u w:val="single"/>
          <w:lang w:val="en-US" w:eastAsia="zh-CN"/>
        </w:rPr>
        <w:t>5</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5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21 </w:t>
      </w:r>
      <w:r>
        <w:rPr>
          <w:rFonts w:hint="eastAsia"/>
          <w:color w:val="auto"/>
          <w:sz w:val="24"/>
          <w:szCs w:val="24"/>
          <w:highlight w:val="none"/>
        </w:rPr>
        <w:t>日，每天上午</w:t>
      </w:r>
      <w:r>
        <w:rPr>
          <w:rFonts w:hint="eastAsia"/>
          <w:color w:val="auto"/>
          <w:sz w:val="24"/>
          <w:szCs w:val="24"/>
          <w:highlight w:val="none"/>
          <w:u w:val="single"/>
        </w:rPr>
        <w:t>00：00</w:t>
      </w:r>
      <w:r>
        <w:rPr>
          <w:rFonts w:hint="eastAsia"/>
          <w:color w:val="auto"/>
          <w:sz w:val="24"/>
          <w:szCs w:val="24"/>
          <w:highlight w:val="none"/>
        </w:rPr>
        <w:t>至</w:t>
      </w:r>
      <w:r>
        <w:rPr>
          <w:rFonts w:hint="eastAsia"/>
          <w:color w:val="auto"/>
          <w:sz w:val="24"/>
          <w:szCs w:val="24"/>
          <w:highlight w:val="none"/>
          <w:u w:val="single"/>
        </w:rPr>
        <w:t>:12:00</w:t>
      </w:r>
      <w:r>
        <w:rPr>
          <w:rFonts w:hint="eastAsia"/>
          <w:color w:val="auto"/>
          <w:sz w:val="24"/>
          <w:szCs w:val="24"/>
          <w:highlight w:val="none"/>
        </w:rPr>
        <w:t>，下午</w:t>
      </w:r>
      <w:r>
        <w:rPr>
          <w:rFonts w:hint="eastAsia"/>
          <w:color w:val="auto"/>
          <w:sz w:val="24"/>
          <w:szCs w:val="24"/>
          <w:highlight w:val="none"/>
          <w:u w:val="single"/>
        </w:rPr>
        <w:t>12:00</w:t>
      </w:r>
      <w:r>
        <w:rPr>
          <w:rFonts w:hint="eastAsia"/>
          <w:color w:val="auto"/>
          <w:sz w:val="24"/>
          <w:szCs w:val="24"/>
          <w:highlight w:val="none"/>
        </w:rPr>
        <w:t>至</w:t>
      </w:r>
      <w:r>
        <w:rPr>
          <w:rFonts w:hint="eastAsia"/>
          <w:color w:val="auto"/>
          <w:sz w:val="24"/>
          <w:szCs w:val="24"/>
          <w:highlight w:val="none"/>
          <w:u w:val="single"/>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59DE9BFA">
      <w:pPr>
        <w:widowControl w:val="0"/>
        <w:snapToGrid w:val="0"/>
        <w:spacing w:line="360" w:lineRule="auto"/>
        <w:ind w:left="55" w:leftChars="26" w:firstLine="540" w:firstLineChars="225"/>
        <w:jc w:val="left"/>
        <w:rPr>
          <w:rFonts w:ascii="宋体" w:hAnsi="宋体"/>
          <w:b/>
          <w:color w:val="auto"/>
          <w:sz w:val="24"/>
          <w:szCs w:val="24"/>
        </w:rPr>
      </w:pPr>
      <w:r>
        <w:rPr>
          <w:rFonts w:hint="eastAsia" w:ascii="宋体" w:hAnsi="宋体"/>
          <w:color w:val="auto"/>
          <w:sz w:val="24"/>
          <w:szCs w:val="24"/>
        </w:rPr>
        <w:t>3.2</w:t>
      </w:r>
      <w:r>
        <w:rPr>
          <w:rFonts w:hint="eastAsia" w:ascii="宋体" w:hAnsi="宋体" w:eastAsia="宋体" w:cs="宋体"/>
          <w:spacing w:val="-1"/>
          <w:sz w:val="24"/>
          <w:szCs w:val="24"/>
        </w:rPr>
        <w:t>地点：</w:t>
      </w:r>
      <w:r>
        <w:rPr>
          <w:rFonts w:hint="default" w:ascii="宋体" w:hAnsi="宋体" w:eastAsia="宋体" w:cs="宋体"/>
          <w:spacing w:val="-1"/>
          <w:sz w:val="24"/>
          <w:szCs w:val="24"/>
        </w:rPr>
        <w:t>请使用IE浏览器登录安阳市殷都区公共资源交易中心网站新系统入口“全国公共资源交易平台（河南省·殷都区）殷都区公资源交易中心”（https://ggzy.anyang.gov.cn），点击“CA注册”进行用户注册。注册手册详见登录页面的手册下载。注册完成后选择项目填写联系人信息后下载文件。</w:t>
      </w:r>
    </w:p>
    <w:p w14:paraId="3A680A25">
      <w:pPr>
        <w:widowControl w:val="0"/>
        <w:adjustRightInd w:val="0"/>
        <w:snapToGrid w:val="0"/>
        <w:spacing w:line="450" w:lineRule="exact"/>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3.方式：网上下载</w:t>
      </w:r>
    </w:p>
    <w:p w14:paraId="2D75C7E2">
      <w:pPr>
        <w:widowControl w:val="0"/>
        <w:adjustRightInd w:val="0"/>
        <w:snapToGrid w:val="0"/>
        <w:spacing w:line="450" w:lineRule="exact"/>
        <w:ind w:firstLine="480" w:firstLineChars="200"/>
        <w:jc w:val="left"/>
        <w:rPr>
          <w:color w:val="auto"/>
          <w:sz w:val="24"/>
          <w:szCs w:val="24"/>
        </w:rPr>
      </w:pPr>
      <w:r>
        <w:rPr>
          <w:rFonts w:hint="eastAsia" w:ascii="宋体" w:hAnsi="宋体" w:cs="宋体"/>
          <w:sz w:val="24"/>
          <w:szCs w:val="24"/>
          <w:lang w:val="en-US" w:eastAsia="zh-CN"/>
        </w:rPr>
        <w:t>3.</w:t>
      </w:r>
      <w:r>
        <w:rPr>
          <w:rFonts w:hint="eastAsia" w:ascii="宋体" w:hAnsi="宋体" w:cs="宋体"/>
          <w:sz w:val="24"/>
          <w:szCs w:val="24"/>
        </w:rPr>
        <w:t>4.售价：0元</w:t>
      </w:r>
    </w:p>
    <w:p w14:paraId="1865A0B4">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.首次响应文件提交</w:t>
      </w:r>
    </w:p>
    <w:p w14:paraId="46223B64">
      <w:pPr>
        <w:widowControl w:val="0"/>
        <w:adjustRightInd w:val="0"/>
        <w:spacing w:beforeLines="50" w:line="300" w:lineRule="auto"/>
        <w:ind w:firstLine="540" w:firstLineChars="225"/>
        <w:rPr>
          <w:rFonts w:ascii="宋体" w:hAnsi="宋体"/>
          <w:color w:val="auto"/>
          <w:sz w:val="24"/>
          <w:szCs w:val="24"/>
        </w:rPr>
      </w:pPr>
      <w:r>
        <w:rPr>
          <w:rFonts w:hint="eastAsia" w:ascii="宋体" w:hAnsi="宋体"/>
          <w:color w:val="auto"/>
          <w:sz w:val="24"/>
          <w:szCs w:val="24"/>
        </w:rPr>
        <w:t>4.1截止时</w:t>
      </w:r>
      <w:r>
        <w:rPr>
          <w:rFonts w:hint="eastAsia" w:ascii="宋体" w:hAnsi="宋体"/>
          <w:color w:val="auto"/>
          <w:sz w:val="24"/>
          <w:szCs w:val="24"/>
          <w:highlight w:val="none"/>
        </w:rPr>
        <w:t>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年 </w:t>
      </w:r>
      <w:r>
        <w:rPr>
          <w:rFonts w:hint="eastAsia" w:ascii="宋体" w:hAnsi="宋体"/>
          <w:color w:val="auto"/>
          <w:sz w:val="24"/>
          <w:szCs w:val="24"/>
          <w:highlight w:val="none"/>
          <w:lang w:val="en-US" w:eastAsia="zh-CN"/>
        </w:rPr>
        <w:t xml:space="preserve">5 </w:t>
      </w:r>
      <w:r>
        <w:rPr>
          <w:rFonts w:hint="eastAsia" w:ascii="宋体" w:hAnsi="宋体"/>
          <w:color w:val="auto"/>
          <w:sz w:val="24"/>
          <w:szCs w:val="24"/>
          <w:highlight w:val="none"/>
        </w:rPr>
        <w:t xml:space="preserve">月 </w:t>
      </w:r>
      <w:r>
        <w:rPr>
          <w:rFonts w:hint="eastAsia" w:ascii="宋体" w:hAnsi="宋体"/>
          <w:color w:val="auto"/>
          <w:sz w:val="24"/>
          <w:szCs w:val="24"/>
          <w:highlight w:val="none"/>
          <w:lang w:val="en-US" w:eastAsia="zh-CN"/>
        </w:rPr>
        <w:t xml:space="preserve">22 </w:t>
      </w:r>
      <w:r>
        <w:rPr>
          <w:rFonts w:hint="eastAsia" w:ascii="宋体" w:hAnsi="宋体"/>
          <w:color w:val="auto"/>
          <w:sz w:val="24"/>
          <w:szCs w:val="24"/>
          <w:highlight w:val="none"/>
        </w:rPr>
        <w:t xml:space="preserve">日 </w:t>
      </w:r>
      <w:r>
        <w:rPr>
          <w:rFonts w:hint="eastAsia" w:ascii="宋体" w:hAnsi="宋体"/>
          <w:color w:val="auto"/>
          <w:sz w:val="24"/>
          <w:szCs w:val="24"/>
          <w:highlight w:val="none"/>
          <w:lang w:val="en-US" w:eastAsia="zh-CN"/>
        </w:rPr>
        <w:t xml:space="preserve">10 </w:t>
      </w:r>
      <w:r>
        <w:rPr>
          <w:rFonts w:hint="eastAsia" w:ascii="宋体" w:hAnsi="宋体"/>
          <w:color w:val="auto"/>
          <w:sz w:val="24"/>
          <w:szCs w:val="24"/>
          <w:highlight w:val="none"/>
        </w:rPr>
        <w:t xml:space="preserve"> 时 </w:t>
      </w:r>
      <w:r>
        <w:rPr>
          <w:rFonts w:hint="eastAsia" w:ascii="宋体" w:hAnsi="宋体"/>
          <w:color w:val="auto"/>
          <w:sz w:val="24"/>
          <w:szCs w:val="24"/>
          <w:highlight w:val="none"/>
          <w:lang w:val="en-US" w:eastAsia="zh-CN"/>
        </w:rPr>
        <w:t xml:space="preserve">00 </w:t>
      </w:r>
      <w:r>
        <w:rPr>
          <w:rFonts w:hint="eastAsia" w:ascii="宋体" w:hAnsi="宋体"/>
          <w:color w:val="auto"/>
          <w:sz w:val="24"/>
          <w:szCs w:val="24"/>
        </w:rPr>
        <w:t xml:space="preserve"> 分（北京时间）</w:t>
      </w:r>
    </w:p>
    <w:p w14:paraId="1BFE81B1">
      <w:pPr>
        <w:widowControl w:val="0"/>
        <w:adjustRightInd w:val="0"/>
        <w:snapToGrid w:val="0"/>
        <w:spacing w:line="450" w:lineRule="exact"/>
        <w:ind w:firstLine="480" w:firstLineChars="200"/>
        <w:jc w:val="left"/>
        <w:rPr>
          <w:rFonts w:hint="eastAsia" w:ascii="宋体" w:hAnsi="宋体" w:eastAsia="宋体" w:cs="宋体"/>
          <w:sz w:val="24"/>
          <w:szCs w:val="24"/>
        </w:rPr>
      </w:pPr>
      <w:r>
        <w:rPr>
          <w:rFonts w:hint="eastAsia" w:ascii="宋体" w:hAnsi="宋体"/>
          <w:color w:val="auto"/>
          <w:sz w:val="24"/>
          <w:szCs w:val="24"/>
        </w:rPr>
        <w:t>4.2地点：</w:t>
      </w:r>
      <w:r>
        <w:rPr>
          <w:rFonts w:hint="default" w:ascii="宋体" w:hAnsi="宋体" w:eastAsia="宋体" w:cs="宋体"/>
          <w:sz w:val="24"/>
          <w:szCs w:val="24"/>
        </w:rPr>
        <w:t>供应商应在投标截止时间前上传加密的电子响应文件到安阳市殷都区公共资源交易中心网站新系统入口（https://ggzy.anyang.gov.cn）。上传时供应商须使用制作该响应文件的同一CA锁进行上传操作。请供应商在上传时认真检查上传响应文件是否完整、正确。供应商应充分考虑上传文件时的不可预见因素，未在投标截止时间前完成上传的，视为逾期送达，安阳市电子招投标交易平台将拒绝接收。逾期送达的或者未送达指定地点的响应文件，采购人不予受理。</w:t>
      </w:r>
    </w:p>
    <w:p w14:paraId="7F96DF29">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5.首次响应文件开启</w:t>
      </w:r>
    </w:p>
    <w:p w14:paraId="157207A2">
      <w:pPr>
        <w:widowControl w:val="0"/>
        <w:adjustRightInd w:val="0"/>
        <w:spacing w:beforeLines="50" w:line="300" w:lineRule="auto"/>
        <w:ind w:firstLine="540" w:firstLineChars="225"/>
        <w:rPr>
          <w:color w:val="auto"/>
          <w:sz w:val="24"/>
          <w:szCs w:val="24"/>
        </w:rPr>
      </w:pPr>
      <w:r>
        <w:rPr>
          <w:rFonts w:hint="eastAsia"/>
          <w:color w:val="auto"/>
          <w:sz w:val="24"/>
          <w:szCs w:val="24"/>
        </w:rPr>
        <w:t>5.1时间</w:t>
      </w:r>
      <w:r>
        <w:rPr>
          <w:rFonts w:hint="eastAsia"/>
          <w:color w:val="auto"/>
          <w:sz w:val="24"/>
          <w:szCs w:val="24"/>
          <w:highlight w:val="none"/>
        </w:rPr>
        <w:t>：</w:t>
      </w:r>
      <w:r>
        <w:rPr>
          <w:rFonts w:hint="eastAsia" w:ascii="宋体" w:hAnsi="宋体" w:eastAsia="宋体" w:cs="Times New Roman"/>
          <w:color w:val="auto"/>
          <w:sz w:val="24"/>
          <w:szCs w:val="24"/>
          <w:highlight w:val="none"/>
        </w:rPr>
        <w:t>202</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年</w:t>
      </w:r>
      <w:r>
        <w:rPr>
          <w:rFonts w:hint="eastAsia"/>
          <w:color w:val="auto"/>
          <w:sz w:val="24"/>
          <w:szCs w:val="24"/>
          <w:highlight w:val="none"/>
        </w:rPr>
        <w:t xml:space="preserve"> </w:t>
      </w:r>
      <w:r>
        <w:rPr>
          <w:rFonts w:hint="eastAsia"/>
          <w:color w:val="auto"/>
          <w:sz w:val="24"/>
          <w:szCs w:val="24"/>
          <w:highlight w:val="none"/>
          <w:lang w:val="en-US" w:eastAsia="zh-CN"/>
        </w:rPr>
        <w:t xml:space="preserve">5 </w:t>
      </w:r>
      <w:r>
        <w:rPr>
          <w:rFonts w:hint="eastAsia"/>
          <w:color w:val="auto"/>
          <w:sz w:val="24"/>
          <w:szCs w:val="24"/>
          <w:highlight w:val="none"/>
        </w:rPr>
        <w:t xml:space="preserve">月 </w:t>
      </w:r>
      <w:r>
        <w:rPr>
          <w:rFonts w:hint="eastAsia"/>
          <w:color w:val="auto"/>
          <w:sz w:val="24"/>
          <w:szCs w:val="24"/>
          <w:highlight w:val="none"/>
          <w:lang w:val="en-US" w:eastAsia="zh-CN"/>
        </w:rPr>
        <w:t xml:space="preserve">22 </w:t>
      </w:r>
      <w:r>
        <w:rPr>
          <w:rFonts w:hint="eastAsia"/>
          <w:color w:val="auto"/>
          <w:sz w:val="24"/>
          <w:szCs w:val="24"/>
          <w:highlight w:val="none"/>
        </w:rPr>
        <w:t xml:space="preserve">日 </w:t>
      </w:r>
      <w:r>
        <w:rPr>
          <w:rFonts w:hint="eastAsia"/>
          <w:color w:val="auto"/>
          <w:sz w:val="24"/>
          <w:szCs w:val="24"/>
          <w:highlight w:val="none"/>
          <w:lang w:val="en-US" w:eastAsia="zh-CN"/>
        </w:rPr>
        <w:t xml:space="preserve">10  </w:t>
      </w:r>
      <w:r>
        <w:rPr>
          <w:rFonts w:hint="eastAsia"/>
          <w:color w:val="auto"/>
          <w:sz w:val="24"/>
          <w:szCs w:val="24"/>
          <w:highlight w:val="none"/>
        </w:rPr>
        <w:t xml:space="preserve">时 </w:t>
      </w:r>
      <w:r>
        <w:rPr>
          <w:rFonts w:hint="eastAsia"/>
          <w:color w:val="auto"/>
          <w:sz w:val="24"/>
          <w:szCs w:val="24"/>
          <w:highlight w:val="none"/>
          <w:lang w:val="en-US" w:eastAsia="zh-CN"/>
        </w:rPr>
        <w:t xml:space="preserve">00 </w:t>
      </w:r>
      <w:r>
        <w:rPr>
          <w:rFonts w:hint="eastAsia"/>
          <w:color w:val="auto"/>
          <w:sz w:val="24"/>
          <w:szCs w:val="24"/>
          <w:highlight w:val="none"/>
        </w:rPr>
        <w:t>分（北京时</w:t>
      </w:r>
      <w:r>
        <w:rPr>
          <w:rFonts w:hint="eastAsia"/>
          <w:color w:val="auto"/>
          <w:sz w:val="24"/>
          <w:szCs w:val="24"/>
        </w:rPr>
        <w:t>间）</w:t>
      </w:r>
    </w:p>
    <w:p w14:paraId="38579431">
      <w:pPr>
        <w:widowControl w:val="0"/>
        <w:adjustRightInd w:val="0"/>
        <w:spacing w:beforeLines="50" w:line="300" w:lineRule="auto"/>
        <w:ind w:firstLine="540" w:firstLineChars="225"/>
        <w:rPr>
          <w:color w:val="auto"/>
          <w:sz w:val="24"/>
          <w:szCs w:val="24"/>
        </w:rPr>
      </w:pPr>
      <w:r>
        <w:rPr>
          <w:rFonts w:hint="eastAsia"/>
          <w:color w:val="auto"/>
          <w:sz w:val="24"/>
          <w:szCs w:val="24"/>
        </w:rPr>
        <w:t>5.2地点：</w:t>
      </w:r>
      <w:r>
        <w:rPr>
          <w:rFonts w:hint="default" w:ascii="宋体" w:hAnsi="宋体" w:eastAsia="宋体" w:cs="宋体"/>
          <w:sz w:val="24"/>
          <w:szCs w:val="24"/>
          <w:highlight w:val="none"/>
        </w:rPr>
        <w:t>安阳市殷都区公共资源交易中心二楼开标二厅(</w:t>
      </w:r>
      <w:r>
        <w:rPr>
          <w:rFonts w:hint="default" w:ascii="宋体" w:hAnsi="宋体" w:eastAsia="宋体" w:cs="宋体"/>
          <w:sz w:val="24"/>
          <w:szCs w:val="24"/>
        </w:rPr>
        <w:t>安阳市高新区文昌大道与东风路交叉口向南300米路西东风路342号)本项目采用远程不见面交易的模式，开标当日，供应商无需到开标现场参加开标会议，供应商应当在投标截止时间前，使用IE浏览器登录到安阳市殷都区公共资源交易中心网站新系统不见面开标大厅（https://ggzy.anyang.gov.cn/BidOpening），点击右上方【登录】按钮进入，在线准时参加开标活动并进行响应文件解密等。因供应商原因未能解密、解密失败或解密超时的将被拒绝。</w:t>
      </w:r>
    </w:p>
    <w:p w14:paraId="68C20A09">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14:paraId="4244A9DB">
      <w:pPr>
        <w:widowControl w:val="0"/>
        <w:tabs>
          <w:tab w:val="left" w:pos="39"/>
          <w:tab w:val="left" w:pos="96"/>
        </w:tabs>
        <w:snapToGrid w:val="0"/>
        <w:spacing w:line="360" w:lineRule="auto"/>
        <w:ind w:firstLine="566" w:firstLineChars="236"/>
        <w:rPr>
          <w:rFonts w:ascii="宋体" w:hAnsi="宋体" w:cs="宋体"/>
          <w:color w:val="auto"/>
          <w:sz w:val="24"/>
          <w:szCs w:val="24"/>
        </w:rPr>
      </w:pPr>
      <w:r>
        <w:rPr>
          <w:rFonts w:hint="default" w:ascii="宋体" w:hAnsi="宋体" w:eastAsia="宋体" w:cs="宋体"/>
          <w:sz w:val="24"/>
          <w:szCs w:val="24"/>
        </w:rPr>
        <w:t>本次招标公告在《河南省政府采购网》、《安阳市政府采购网》、《全国公共资源交易平台（河南省·安阳市·殷都区）》上发布，</w:t>
      </w:r>
      <w:r>
        <w:rPr>
          <w:rFonts w:hint="eastAsia" w:ascii="宋体" w:hAnsi="宋体" w:cs="宋体"/>
          <w:color w:val="auto"/>
          <w:sz w:val="24"/>
          <w:szCs w:val="24"/>
        </w:rPr>
        <w:t>公告期限为三个工作日。</w:t>
      </w:r>
    </w:p>
    <w:p w14:paraId="779C794C">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14:paraId="1893BC68">
      <w:pPr>
        <w:widowControl w:val="0"/>
        <w:adjustRightInd w:val="0"/>
        <w:snapToGrid w:val="0"/>
        <w:spacing w:line="450" w:lineRule="exact"/>
        <w:ind w:firstLine="480" w:firstLineChars="200"/>
        <w:jc w:val="left"/>
        <w:rPr>
          <w:rFonts w:hint="default" w:ascii="宋体" w:hAnsi="宋体" w:eastAsia="宋体" w:cs="宋体"/>
          <w:sz w:val="24"/>
          <w:szCs w:val="24"/>
        </w:rPr>
      </w:pPr>
      <w:bookmarkStart w:id="1" w:name="_Toc28359008"/>
      <w:bookmarkStart w:id="2" w:name="_Toc35393627"/>
      <w:bookmarkStart w:id="3" w:name="_Toc28359085"/>
      <w:bookmarkStart w:id="4" w:name="_Toc35393796"/>
      <w:r>
        <w:rPr>
          <w:rFonts w:hint="default" w:ascii="宋体" w:hAnsi="宋体" w:eastAsia="宋体" w:cs="宋体"/>
          <w:sz w:val="24"/>
          <w:szCs w:val="24"/>
        </w:rPr>
        <w:t>1、本项目执行强制节能产品强制采购、节能产品、环境标志产品及贫困地区产品优先采购、促进中小企业发展扶持政策、进口产品政策、信息安全产品、社会信用体系建设、促进残疾人就业、支持监狱企业发展等。</w:t>
      </w:r>
      <w:r>
        <w:rPr>
          <w:rFonts w:hint="default" w:ascii="宋体" w:hAnsi="宋体" w:eastAsia="宋体" w:cs="宋体"/>
          <w:sz w:val="24"/>
          <w:szCs w:val="24"/>
        </w:rPr>
        <w:br w:type="textWrapping"/>
      </w:r>
      <w:r>
        <w:rPr>
          <w:rFonts w:hint="default" w:ascii="宋体" w:hAnsi="宋体" w:eastAsia="宋体" w:cs="宋体"/>
          <w:sz w:val="24"/>
          <w:szCs w:val="24"/>
        </w:rPr>
        <w:t>2、政府采购合同融资：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6F02E488">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1"/>
      <w:bookmarkEnd w:id="2"/>
      <w:bookmarkEnd w:id="3"/>
      <w:bookmarkEnd w:id="4"/>
    </w:p>
    <w:p w14:paraId="4660294C">
      <w:pPr>
        <w:widowControl w:val="0"/>
        <w:adjustRightInd w:val="0"/>
        <w:snapToGrid w:val="0"/>
        <w:spacing w:line="45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8.1采购人信息</w:t>
      </w:r>
    </w:p>
    <w:p w14:paraId="4CB26994">
      <w:pPr>
        <w:widowControl w:val="0"/>
        <w:adjustRightInd w:val="0"/>
        <w:snapToGrid w:val="0"/>
        <w:spacing w:line="450" w:lineRule="exact"/>
        <w:ind w:firstLine="480" w:firstLineChars="200"/>
        <w:jc w:val="left"/>
        <w:rPr>
          <w:rFonts w:hint="default" w:ascii="宋体" w:hAnsi="宋体" w:eastAsia="宋体" w:cs="宋体"/>
          <w:sz w:val="24"/>
          <w:szCs w:val="24"/>
          <w:lang w:eastAsia="zh-CN"/>
        </w:rPr>
      </w:pPr>
      <w:bookmarkStart w:id="5" w:name="_Toc28359086"/>
      <w:bookmarkStart w:id="6" w:name="_Toc28359009"/>
      <w:r>
        <w:rPr>
          <w:rFonts w:hint="default" w:ascii="宋体" w:hAnsi="宋体" w:eastAsia="宋体" w:cs="宋体"/>
          <w:sz w:val="24"/>
          <w:szCs w:val="24"/>
          <w:lang w:eastAsia="zh-CN"/>
        </w:rPr>
        <w:t>名称：</w:t>
      </w:r>
      <w:r>
        <w:rPr>
          <w:rFonts w:hint="eastAsia" w:ascii="宋体" w:hAnsi="宋体" w:eastAsia="宋体" w:cs="宋体"/>
          <w:sz w:val="24"/>
          <w:szCs w:val="24"/>
          <w:lang w:val="en-US" w:eastAsia="zh-CN"/>
        </w:rPr>
        <w:t>安阳市殷都区机关事务中心</w:t>
      </w:r>
    </w:p>
    <w:p w14:paraId="22980752">
      <w:pPr>
        <w:widowControl w:val="0"/>
        <w:adjustRightInd w:val="0"/>
        <w:snapToGrid w:val="0"/>
        <w:spacing w:line="450" w:lineRule="exact"/>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w:t>
      </w:r>
      <w:r>
        <w:rPr>
          <w:rFonts w:hint="eastAsia" w:ascii="宋体" w:hAnsi="宋体" w:eastAsia="宋体" w:cs="宋体"/>
          <w:sz w:val="24"/>
          <w:szCs w:val="24"/>
          <w:lang w:val="en-US" w:eastAsia="zh-CN"/>
        </w:rPr>
        <w:t>安阳市殷都区梅东路人民政府院内</w:t>
      </w:r>
    </w:p>
    <w:p w14:paraId="2C18D14C">
      <w:pPr>
        <w:widowControl w:val="0"/>
        <w:adjustRightInd w:val="0"/>
        <w:snapToGrid w:val="0"/>
        <w:spacing w:line="450" w:lineRule="exact"/>
        <w:ind w:firstLine="480" w:firstLineChars="20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联系人：</w:t>
      </w:r>
      <w:r>
        <w:rPr>
          <w:rFonts w:hint="eastAsia" w:ascii="宋体" w:hAnsi="宋体" w:eastAsia="宋体" w:cs="宋体"/>
          <w:sz w:val="24"/>
          <w:szCs w:val="24"/>
          <w:lang w:val="en-US" w:eastAsia="zh-CN"/>
        </w:rPr>
        <w:t>张建平</w:t>
      </w:r>
    </w:p>
    <w:p w14:paraId="4098DED5">
      <w:pPr>
        <w:widowControl w:val="0"/>
        <w:adjustRightInd w:val="0"/>
        <w:snapToGrid w:val="0"/>
        <w:spacing w:line="450" w:lineRule="exact"/>
        <w:ind w:firstLine="480" w:firstLineChars="2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联系方式：</w:t>
      </w:r>
      <w:r>
        <w:rPr>
          <w:rFonts w:hint="eastAsia" w:ascii="宋体" w:hAnsi="宋体" w:eastAsia="宋体" w:cs="宋体"/>
          <w:sz w:val="24"/>
          <w:szCs w:val="24"/>
          <w:lang w:val="en-US" w:eastAsia="zh-CN"/>
        </w:rPr>
        <w:t>15903729088</w:t>
      </w:r>
    </w:p>
    <w:p w14:paraId="5EAD0C82">
      <w:pPr>
        <w:widowControl w:val="0"/>
        <w:adjustRightInd w:val="0"/>
        <w:snapToGrid w:val="0"/>
        <w:spacing w:line="45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8.2采购代理机构信息</w:t>
      </w:r>
      <w:bookmarkEnd w:id="5"/>
      <w:bookmarkEnd w:id="6"/>
    </w:p>
    <w:p w14:paraId="1F6DC63E">
      <w:pPr>
        <w:widowControl w:val="0"/>
        <w:adjustRightInd w:val="0"/>
        <w:snapToGrid w:val="0"/>
        <w:spacing w:line="45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名称：中弘天合工程咨询有限公司 </w:t>
      </w:r>
    </w:p>
    <w:p w14:paraId="2C45A462">
      <w:pPr>
        <w:widowControl w:val="0"/>
        <w:adjustRightInd w:val="0"/>
        <w:snapToGrid w:val="0"/>
        <w:spacing w:line="45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地址：安阳市北关区洹上名门1号楼临街商业楼二楼</w:t>
      </w:r>
    </w:p>
    <w:p w14:paraId="1B34B5DA">
      <w:pPr>
        <w:widowControl w:val="0"/>
        <w:adjustRightInd w:val="0"/>
        <w:snapToGrid w:val="0"/>
        <w:spacing w:line="45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马慧霞</w:t>
      </w:r>
    </w:p>
    <w:p w14:paraId="0A7725C6">
      <w:pPr>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联系方式：16627375567</w:t>
      </w:r>
    </w:p>
    <w:p w14:paraId="25645454">
      <w:pPr>
        <w:widowControl w:val="0"/>
        <w:adjustRightInd w:val="0"/>
        <w:snapToGrid w:val="0"/>
        <w:spacing w:line="450" w:lineRule="exact"/>
        <w:ind w:firstLine="480" w:firstLineChars="200"/>
        <w:jc w:val="left"/>
        <w:rPr>
          <w:rFonts w:ascii="宋体" w:hAnsi="宋体" w:cs="宋体"/>
          <w:sz w:val="24"/>
          <w:szCs w:val="24"/>
        </w:rPr>
      </w:pPr>
      <w:r>
        <w:rPr>
          <w:rFonts w:hint="eastAsia" w:ascii="宋体" w:hAnsi="宋体" w:cs="宋体"/>
          <w:sz w:val="24"/>
          <w:szCs w:val="24"/>
        </w:rPr>
        <w:t>3.项目联系方式</w:t>
      </w:r>
    </w:p>
    <w:p w14:paraId="75F3FEE9">
      <w:pPr>
        <w:widowControl w:val="0"/>
        <w:adjustRightInd w:val="0"/>
        <w:snapToGrid w:val="0"/>
        <w:spacing w:line="45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项目联系人：</w:t>
      </w:r>
      <w:r>
        <w:rPr>
          <w:rFonts w:hint="eastAsia" w:ascii="宋体" w:hAnsi="宋体" w:cs="宋体"/>
          <w:sz w:val="24"/>
          <w:szCs w:val="24"/>
          <w:lang w:eastAsia="zh-CN"/>
        </w:rPr>
        <w:t>马慧霞</w:t>
      </w:r>
    </w:p>
    <w:p w14:paraId="66490601">
      <w:pPr>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联系方式：16627375567</w:t>
      </w:r>
    </w:p>
    <w:p w14:paraId="79C7CA91">
      <w:pPr>
        <w:widowControl w:val="0"/>
        <w:tabs>
          <w:tab w:val="left" w:pos="39"/>
          <w:tab w:val="left" w:pos="96"/>
        </w:tabs>
        <w:snapToGrid w:val="0"/>
        <w:spacing w:line="360" w:lineRule="auto"/>
        <w:ind w:firstLine="562" w:firstLineChars="200"/>
        <w:rPr>
          <w:rFonts w:ascii="黑体" w:hAnsi="黑体" w:eastAsia="黑体"/>
          <w:b/>
          <w:color w:val="auto"/>
          <w:sz w:val="28"/>
          <w:szCs w:val="28"/>
        </w:rPr>
      </w:pPr>
    </w:p>
    <w:p w14:paraId="096ADCDA">
      <w:pPr>
        <w:widowControl w:val="0"/>
        <w:tabs>
          <w:tab w:val="left" w:pos="39"/>
          <w:tab w:val="left" w:pos="96"/>
        </w:tabs>
        <w:snapToGrid w:val="0"/>
        <w:spacing w:line="360" w:lineRule="auto"/>
        <w:ind w:firstLine="630" w:firstLineChars="225"/>
        <w:rPr>
          <w:rFonts w:eastAsia="方正黑体简体"/>
          <w:color w:val="auto"/>
          <w:sz w:val="28"/>
          <w:szCs w:val="28"/>
        </w:rPr>
      </w:pPr>
    </w:p>
    <w:p w14:paraId="60B45DDB">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14:paraId="2A45C89B">
      <w:pPr>
        <w:widowControl w:val="0"/>
        <w:snapToGrid w:val="0"/>
        <w:spacing w:line="360" w:lineRule="auto"/>
        <w:jc w:val="center"/>
        <w:outlineLvl w:val="0"/>
        <w:rPr>
          <w:rFonts w:eastAsia="方正黑体简体"/>
          <w:color w:val="auto"/>
          <w:sz w:val="36"/>
          <w:szCs w:val="36"/>
        </w:rPr>
      </w:pPr>
      <w:bookmarkStart w:id="7" w:name="_Toc106792501"/>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采购项目及技术服务要求</w:t>
      </w:r>
      <w:bookmarkEnd w:id="7"/>
    </w:p>
    <w:p w14:paraId="4B936329">
      <w:pPr>
        <w:widowControl w:val="0"/>
        <w:snapToGrid w:val="0"/>
        <w:spacing w:line="360" w:lineRule="auto"/>
        <w:jc w:val="center"/>
        <w:rPr>
          <w:b/>
          <w:color w:val="auto"/>
          <w:sz w:val="28"/>
        </w:rPr>
      </w:pPr>
    </w:p>
    <w:p w14:paraId="1033824E">
      <w:pPr>
        <w:widowControl w:val="0"/>
        <w:snapToGrid w:val="0"/>
        <w:spacing w:line="360" w:lineRule="auto"/>
        <w:ind w:firstLine="422" w:firstLineChars="150"/>
        <w:jc w:val="left"/>
        <w:outlineLvl w:val="1"/>
        <w:rPr>
          <w:rFonts w:ascii="黑体" w:hAnsi="黑体" w:eastAsia="黑体"/>
          <w:b/>
          <w:color w:val="auto"/>
          <w:sz w:val="28"/>
          <w:szCs w:val="20"/>
        </w:rPr>
      </w:pPr>
      <w:bookmarkStart w:id="8" w:name="_Toc106792502"/>
      <w:r>
        <w:rPr>
          <w:rFonts w:ascii="黑体" w:hAnsi="黑体" w:eastAsia="黑体"/>
          <w:b/>
          <w:color w:val="auto"/>
          <w:sz w:val="28"/>
          <w:szCs w:val="20"/>
        </w:rPr>
        <w:t xml:space="preserve">1. </w:t>
      </w:r>
      <w:r>
        <w:rPr>
          <w:rFonts w:hint="eastAsia" w:ascii="黑体" w:hAnsi="黑体" w:eastAsia="黑体"/>
          <w:b/>
          <w:color w:val="auto"/>
          <w:sz w:val="28"/>
          <w:szCs w:val="20"/>
        </w:rPr>
        <w:t>采购项目、标段（包）划分、</w:t>
      </w:r>
      <w:r>
        <w:rPr>
          <w:rFonts w:hint="eastAsia" w:ascii="黑体" w:hAnsi="黑体" w:eastAsia="黑体"/>
          <w:b/>
          <w:color w:val="auto"/>
          <w:sz w:val="28"/>
          <w:szCs w:val="20"/>
          <w:lang w:eastAsia="zh-CN"/>
        </w:rPr>
        <w:t>谈判</w:t>
      </w:r>
      <w:r>
        <w:rPr>
          <w:rFonts w:hint="eastAsia" w:ascii="黑体" w:hAnsi="黑体" w:eastAsia="黑体"/>
          <w:b/>
          <w:color w:val="auto"/>
          <w:sz w:val="28"/>
          <w:szCs w:val="20"/>
        </w:rPr>
        <w:t>报价</w:t>
      </w:r>
      <w:bookmarkEnd w:id="8"/>
    </w:p>
    <w:p w14:paraId="26D39749">
      <w:pPr>
        <w:widowControl w:val="0"/>
        <w:adjustRightInd w:val="0"/>
        <w:snapToGrid w:val="0"/>
        <w:spacing w:line="360" w:lineRule="auto"/>
        <w:ind w:firstLine="542" w:firstLineChars="225"/>
        <w:jc w:val="left"/>
        <w:rPr>
          <w:rFonts w:hint="eastAsia" w:ascii="宋体" w:hAnsi="宋体" w:eastAsia="宋体"/>
          <w:color w:val="auto"/>
          <w:sz w:val="24"/>
          <w:szCs w:val="24"/>
          <w:lang w:eastAsia="zh-CN"/>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ascii="宋体" w:hAnsi="宋体"/>
          <w:color w:val="auto"/>
          <w:sz w:val="24"/>
          <w:szCs w:val="24"/>
          <w:lang w:val="en-US" w:eastAsia="zh-CN"/>
        </w:rPr>
        <w:t>安阳市殷都区机关事务中心缔盛广场物业项目</w:t>
      </w:r>
    </w:p>
    <w:p w14:paraId="54A23929">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标段（包）划分及其交验期交验地点</w:t>
      </w:r>
      <w:r>
        <w:rPr>
          <w:rFonts w:hint="eastAsia"/>
          <w:color w:val="auto"/>
          <w:sz w:val="24"/>
          <w:szCs w:val="24"/>
        </w:rPr>
        <w:t>：本次采购项目划分为</w:t>
      </w:r>
      <w:r>
        <w:rPr>
          <w:color w:val="auto"/>
          <w:sz w:val="24"/>
          <w:szCs w:val="24"/>
        </w:rPr>
        <w:t>1</w:t>
      </w:r>
      <w:r>
        <w:rPr>
          <w:rFonts w:hint="eastAsia"/>
          <w:color w:val="auto"/>
          <w:sz w:val="24"/>
          <w:szCs w:val="24"/>
        </w:rPr>
        <w:t>个标段（包）。</w:t>
      </w:r>
    </w:p>
    <w:tbl>
      <w:tblPr>
        <w:tblStyle w:val="2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43"/>
        <w:gridCol w:w="3119"/>
        <w:gridCol w:w="1701"/>
        <w:gridCol w:w="1275"/>
      </w:tblGrid>
      <w:tr w14:paraId="766A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5"/>
            <w:vAlign w:val="center"/>
          </w:tcPr>
          <w:p w14:paraId="1BCBADC3">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14:paraId="246F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F37B68F">
            <w:pPr>
              <w:widowControl w:val="0"/>
              <w:snapToGrid w:val="0"/>
              <w:spacing w:line="240" w:lineRule="auto"/>
              <w:jc w:val="center"/>
              <w:rPr>
                <w:b/>
                <w:color w:val="auto"/>
                <w:sz w:val="24"/>
                <w:szCs w:val="24"/>
              </w:rPr>
            </w:pPr>
            <w:r>
              <w:rPr>
                <w:rFonts w:hint="eastAsia"/>
                <w:b/>
                <w:color w:val="auto"/>
                <w:sz w:val="24"/>
                <w:szCs w:val="24"/>
              </w:rPr>
              <w:t>项目名称</w:t>
            </w:r>
          </w:p>
        </w:tc>
        <w:tc>
          <w:tcPr>
            <w:tcW w:w="1843" w:type="dxa"/>
            <w:vAlign w:val="center"/>
          </w:tcPr>
          <w:p w14:paraId="77055986">
            <w:pPr>
              <w:widowControl w:val="0"/>
              <w:snapToGrid w:val="0"/>
              <w:spacing w:line="240" w:lineRule="auto"/>
              <w:jc w:val="center"/>
              <w:rPr>
                <w:b/>
                <w:color w:val="auto"/>
                <w:sz w:val="24"/>
                <w:szCs w:val="24"/>
              </w:rPr>
            </w:pPr>
            <w:r>
              <w:rPr>
                <w:rFonts w:hint="eastAsia"/>
                <w:b/>
                <w:color w:val="auto"/>
                <w:sz w:val="24"/>
                <w:szCs w:val="24"/>
              </w:rPr>
              <w:t>标段（包）名称</w:t>
            </w:r>
          </w:p>
        </w:tc>
        <w:tc>
          <w:tcPr>
            <w:tcW w:w="3119" w:type="dxa"/>
            <w:vAlign w:val="center"/>
          </w:tcPr>
          <w:p w14:paraId="1CBEC487">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1701" w:type="dxa"/>
            <w:vAlign w:val="center"/>
          </w:tcPr>
          <w:p w14:paraId="6C59DB1B">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14:paraId="51C67A16">
            <w:pPr>
              <w:widowControl w:val="0"/>
              <w:snapToGrid w:val="0"/>
              <w:spacing w:line="240" w:lineRule="auto"/>
              <w:jc w:val="center"/>
              <w:rPr>
                <w:b/>
                <w:color w:val="auto"/>
                <w:sz w:val="24"/>
                <w:szCs w:val="24"/>
              </w:rPr>
            </w:pPr>
            <w:r>
              <w:rPr>
                <w:rFonts w:hint="eastAsia" w:ascii="宋体" w:hAnsi="宋体"/>
                <w:b/>
                <w:color w:val="auto"/>
                <w:sz w:val="24"/>
                <w:szCs w:val="24"/>
              </w:rPr>
              <w:t>（交验期）</w:t>
            </w:r>
          </w:p>
        </w:tc>
        <w:tc>
          <w:tcPr>
            <w:tcW w:w="1275" w:type="dxa"/>
            <w:vAlign w:val="center"/>
          </w:tcPr>
          <w:p w14:paraId="0BC3FFAC">
            <w:pPr>
              <w:widowControl w:val="0"/>
              <w:snapToGrid w:val="0"/>
              <w:spacing w:line="240" w:lineRule="auto"/>
              <w:jc w:val="center"/>
              <w:rPr>
                <w:b/>
                <w:color w:val="auto"/>
                <w:sz w:val="24"/>
                <w:szCs w:val="24"/>
              </w:rPr>
            </w:pPr>
            <w:r>
              <w:rPr>
                <w:rFonts w:hint="eastAsia" w:ascii="宋体" w:hAnsi="宋体"/>
                <w:b/>
                <w:color w:val="auto"/>
                <w:sz w:val="24"/>
                <w:szCs w:val="24"/>
                <w:lang w:eastAsia="zh-CN"/>
              </w:rPr>
              <w:t>实施</w:t>
            </w:r>
            <w:r>
              <w:rPr>
                <w:rFonts w:hint="eastAsia" w:ascii="宋体" w:hAnsi="宋体"/>
                <w:b/>
                <w:color w:val="auto"/>
                <w:sz w:val="24"/>
                <w:szCs w:val="24"/>
              </w:rPr>
              <w:t>地点</w:t>
            </w:r>
          </w:p>
        </w:tc>
      </w:tr>
      <w:tr w14:paraId="0F9D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538B762">
            <w:pPr>
              <w:widowControl w:val="0"/>
              <w:adjustRightInd w:val="0"/>
              <w:snapToGrid w:val="0"/>
              <w:spacing w:line="240" w:lineRule="auto"/>
              <w:rPr>
                <w:rFonts w:hint="eastAsia" w:eastAsia="宋体"/>
                <w:color w:val="auto"/>
                <w:sz w:val="24"/>
                <w:szCs w:val="24"/>
                <w:lang w:eastAsia="zh-CN"/>
              </w:rPr>
            </w:pPr>
            <w:r>
              <w:rPr>
                <w:rFonts w:hint="eastAsia"/>
                <w:color w:val="auto"/>
                <w:sz w:val="24"/>
                <w:szCs w:val="24"/>
              </w:rPr>
              <w:t>同项目名称</w:t>
            </w:r>
          </w:p>
        </w:tc>
        <w:tc>
          <w:tcPr>
            <w:tcW w:w="1843" w:type="dxa"/>
            <w:vAlign w:val="center"/>
          </w:tcPr>
          <w:p w14:paraId="60EEBB20">
            <w:pPr>
              <w:widowControl w:val="0"/>
              <w:adjustRightInd w:val="0"/>
              <w:snapToGrid w:val="0"/>
              <w:spacing w:line="240" w:lineRule="auto"/>
              <w:ind w:firstLine="240" w:firstLineChars="100"/>
              <w:rPr>
                <w:color w:val="auto"/>
                <w:sz w:val="24"/>
                <w:szCs w:val="24"/>
              </w:rPr>
            </w:pPr>
            <w:r>
              <w:rPr>
                <w:rFonts w:hint="eastAsia"/>
                <w:color w:val="auto"/>
                <w:sz w:val="24"/>
                <w:szCs w:val="24"/>
              </w:rPr>
              <w:t>同项目名称</w:t>
            </w:r>
          </w:p>
        </w:tc>
        <w:tc>
          <w:tcPr>
            <w:tcW w:w="3119" w:type="dxa"/>
            <w:vAlign w:val="center"/>
          </w:tcPr>
          <w:p w14:paraId="5BB41485">
            <w:pPr>
              <w:widowControl w:val="0"/>
              <w:adjustRightInd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条：标段（包）内容（范围）及基本技术要求”</w:t>
            </w:r>
          </w:p>
        </w:tc>
        <w:tc>
          <w:tcPr>
            <w:tcW w:w="1701" w:type="dxa"/>
            <w:vAlign w:val="center"/>
          </w:tcPr>
          <w:p w14:paraId="182196FB">
            <w:pPr>
              <w:widowControl w:val="0"/>
              <w:adjustRightInd w:val="0"/>
              <w:snapToGrid w:val="0"/>
              <w:spacing w:line="240" w:lineRule="auto"/>
              <w:rPr>
                <w:color w:val="auto"/>
                <w:sz w:val="24"/>
                <w:szCs w:val="24"/>
              </w:rPr>
            </w:pPr>
            <w:r>
              <w:rPr>
                <w:rFonts w:hint="eastAsia"/>
                <w:color w:val="auto"/>
                <w:sz w:val="24"/>
                <w:szCs w:val="24"/>
              </w:rPr>
              <w:t>见竞争性</w:t>
            </w:r>
            <w:r>
              <w:rPr>
                <w:rFonts w:hint="eastAsia"/>
                <w:color w:val="auto"/>
                <w:sz w:val="24"/>
                <w:szCs w:val="24"/>
                <w:lang w:eastAsia="zh-CN"/>
              </w:rPr>
              <w:t>谈判</w:t>
            </w:r>
            <w:r>
              <w:rPr>
                <w:rFonts w:hint="eastAsia"/>
                <w:color w:val="auto"/>
                <w:sz w:val="24"/>
                <w:szCs w:val="24"/>
              </w:rPr>
              <w:t>公告</w:t>
            </w:r>
            <w:r>
              <w:rPr>
                <w:color w:val="auto"/>
                <w:sz w:val="24"/>
                <w:szCs w:val="24"/>
              </w:rPr>
              <w:t>1.6</w:t>
            </w:r>
          </w:p>
        </w:tc>
        <w:tc>
          <w:tcPr>
            <w:tcW w:w="1275" w:type="dxa"/>
            <w:vAlign w:val="center"/>
          </w:tcPr>
          <w:p w14:paraId="00C4EC67">
            <w:pPr>
              <w:widowControl w:val="0"/>
              <w:adjustRightInd w:val="0"/>
              <w:snapToGrid w:val="0"/>
              <w:spacing w:line="240" w:lineRule="auto"/>
              <w:rPr>
                <w:color w:val="auto"/>
                <w:sz w:val="24"/>
                <w:szCs w:val="24"/>
              </w:rPr>
            </w:pPr>
            <w:r>
              <w:rPr>
                <w:rFonts w:hint="eastAsia"/>
                <w:color w:val="auto"/>
                <w:sz w:val="24"/>
                <w:szCs w:val="24"/>
              </w:rPr>
              <w:t>采购人指定地点</w:t>
            </w:r>
          </w:p>
        </w:tc>
      </w:tr>
    </w:tbl>
    <w:p w14:paraId="5FE2F843">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lang w:eastAsia="zh-CN"/>
        </w:rPr>
        <w:t>谈判</w:t>
      </w:r>
      <w:r>
        <w:rPr>
          <w:rFonts w:hint="eastAsia" w:ascii="黑体" w:hAnsi="黑体" w:eastAsia="黑体"/>
          <w:b/>
          <w:color w:val="auto"/>
          <w:sz w:val="24"/>
          <w:szCs w:val="24"/>
        </w:rPr>
        <w:t>报价（价格构成）</w:t>
      </w:r>
    </w:p>
    <w:p w14:paraId="2B5A47DD">
      <w:pPr>
        <w:widowControl w:val="0"/>
        <w:snapToGrid w:val="0"/>
        <w:spacing w:line="360" w:lineRule="auto"/>
        <w:ind w:firstLine="480" w:firstLineChars="200"/>
        <w:jc w:val="left"/>
        <w:rPr>
          <w:rFonts w:hint="eastAsia"/>
          <w:color w:val="auto"/>
          <w:sz w:val="24"/>
          <w:szCs w:val="24"/>
        </w:rPr>
      </w:pPr>
      <w:r>
        <w:rPr>
          <w:rFonts w:hint="eastAsia"/>
          <w:color w:val="auto"/>
          <w:sz w:val="24"/>
          <w:szCs w:val="24"/>
          <w:lang w:val="en-US" w:eastAsia="zh-CN"/>
        </w:rPr>
        <w:t>1.3.1 供应商应按标包（包）进行投标，各标包（包）的报价均应为达到服务要求下的总包价格，包括：管理费、人员费用（含工资、奖金、劳保福利、工伤和人身意外等保险、教育培训、事故善后处理等）、设备投资、工具材料费、相关税费、知识产权（如有）、保险（如需）等与采购项目（标包（包））相关的、必须的款项及费用（包括未列明而完成交验所必须的所有费用、材料、工具、设施）。成交价格在成交合同范围内固定不变。</w:t>
      </w:r>
    </w:p>
    <w:p w14:paraId="0E112EE9">
      <w:pPr>
        <w:widowControl w:val="0"/>
        <w:snapToGrid w:val="0"/>
        <w:spacing w:line="360" w:lineRule="auto"/>
        <w:ind w:firstLine="480" w:firstLineChars="200"/>
        <w:jc w:val="left"/>
        <w:rPr>
          <w:color w:val="auto"/>
          <w:sz w:val="24"/>
          <w:szCs w:val="24"/>
        </w:rPr>
      </w:pPr>
      <w:r>
        <w:rPr>
          <w:rFonts w:hint="eastAsia"/>
          <w:color w:val="auto"/>
          <w:sz w:val="24"/>
          <w:szCs w:val="24"/>
        </w:rPr>
        <w:t>1.3.2本次竞争性</w:t>
      </w:r>
      <w:r>
        <w:rPr>
          <w:rFonts w:hint="eastAsia"/>
          <w:color w:val="auto"/>
          <w:sz w:val="24"/>
          <w:szCs w:val="24"/>
          <w:lang w:eastAsia="zh-CN"/>
        </w:rPr>
        <w:t>谈判</w:t>
      </w:r>
      <w:r>
        <w:rPr>
          <w:rFonts w:hint="eastAsia"/>
          <w:color w:val="auto"/>
          <w:sz w:val="24"/>
          <w:szCs w:val="24"/>
        </w:rPr>
        <w:t>共二次报价（含系统中开标一览表报价共二次价格</w:t>
      </w:r>
      <w:r>
        <w:rPr>
          <w:rFonts w:hint="eastAsia"/>
          <w:color w:val="auto"/>
          <w:sz w:val="24"/>
          <w:szCs w:val="24"/>
          <w:lang w:eastAsia="zh-CN"/>
        </w:rPr>
        <w:t>谈判</w:t>
      </w:r>
      <w:r>
        <w:rPr>
          <w:rFonts w:hint="eastAsia"/>
          <w:color w:val="auto"/>
          <w:sz w:val="24"/>
          <w:szCs w:val="24"/>
        </w:rPr>
        <w:t>）。</w:t>
      </w:r>
      <w:r>
        <w:rPr>
          <w:rFonts w:hint="eastAsia"/>
          <w:color w:val="auto"/>
          <w:sz w:val="24"/>
          <w:szCs w:val="24"/>
          <w:lang w:eastAsia="zh-CN"/>
        </w:rPr>
        <w:t>谈判</w:t>
      </w:r>
      <w:r>
        <w:rPr>
          <w:rFonts w:hint="eastAsia"/>
          <w:color w:val="auto"/>
          <w:sz w:val="24"/>
          <w:szCs w:val="24"/>
        </w:rPr>
        <w:t>小组未对《</w:t>
      </w:r>
      <w:r>
        <w:rPr>
          <w:rFonts w:hint="eastAsia"/>
          <w:color w:val="auto"/>
          <w:sz w:val="24"/>
          <w:szCs w:val="24"/>
          <w:lang w:eastAsia="zh-CN"/>
        </w:rPr>
        <w:t>谈判</w:t>
      </w:r>
      <w:r>
        <w:rPr>
          <w:rFonts w:hint="eastAsia"/>
          <w:color w:val="auto"/>
          <w:sz w:val="24"/>
          <w:szCs w:val="24"/>
        </w:rPr>
        <w:t>文件》作优化变更增加的，</w:t>
      </w:r>
      <w:r>
        <w:rPr>
          <w:rFonts w:hint="eastAsia"/>
          <w:color w:val="auto"/>
          <w:sz w:val="24"/>
          <w:szCs w:val="24"/>
          <w:lang w:eastAsia="zh-CN"/>
        </w:rPr>
        <w:t>谈判</w:t>
      </w:r>
      <w:r>
        <w:rPr>
          <w:rFonts w:hint="eastAsia"/>
          <w:color w:val="auto"/>
          <w:sz w:val="24"/>
          <w:szCs w:val="24"/>
        </w:rPr>
        <w:t>中的报价均不应超过前次报价，供应商擅自调高报价的，</w:t>
      </w:r>
      <w:r>
        <w:rPr>
          <w:rFonts w:hint="eastAsia"/>
          <w:color w:val="auto"/>
          <w:sz w:val="24"/>
          <w:szCs w:val="24"/>
          <w:lang w:eastAsia="zh-CN"/>
        </w:rPr>
        <w:t>谈判</w:t>
      </w:r>
      <w:r>
        <w:rPr>
          <w:rFonts w:hint="eastAsia"/>
          <w:color w:val="auto"/>
          <w:sz w:val="24"/>
          <w:szCs w:val="24"/>
        </w:rPr>
        <w:t>小组将按二次报价中的最低报价作为有效报价。供应商拒绝接受上述意见的，</w:t>
      </w:r>
      <w:r>
        <w:rPr>
          <w:rFonts w:hint="eastAsia"/>
          <w:color w:val="auto"/>
          <w:sz w:val="24"/>
          <w:szCs w:val="24"/>
          <w:lang w:eastAsia="zh-CN"/>
        </w:rPr>
        <w:t>谈判</w:t>
      </w:r>
      <w:r>
        <w:rPr>
          <w:rFonts w:hint="eastAsia"/>
          <w:color w:val="auto"/>
          <w:sz w:val="24"/>
          <w:szCs w:val="24"/>
        </w:rPr>
        <w:t>小组将视为变相在提交《响应文件》截止时间后撤回《响应文件》，并评定其为无效投标，</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7B1DF935">
      <w:pPr>
        <w:keepNext w:val="0"/>
        <w:keepLines w:val="0"/>
        <w:pageBreakBefore w:val="0"/>
        <w:kinsoku/>
        <w:wordWrap/>
        <w:overflowPunct/>
        <w:topLinePunct w:val="0"/>
        <w:autoSpaceDE w:val="0"/>
        <w:autoSpaceDN w:val="0"/>
        <w:bidi w:val="0"/>
        <w:adjustRightInd w:val="0"/>
        <w:snapToGrid w:val="0"/>
        <w:spacing w:beforeLines="50" w:line="360" w:lineRule="auto"/>
        <w:ind w:firstLine="569" w:firstLineChars="236"/>
        <w:jc w:val="left"/>
        <w:textAlignment w:val="baseline"/>
        <w:rPr>
          <w:b/>
          <w:color w:val="auto"/>
          <w:sz w:val="24"/>
          <w:szCs w:val="24"/>
        </w:rPr>
      </w:pPr>
      <w:r>
        <w:rPr>
          <w:rFonts w:hint="eastAsia"/>
          <w:b/>
          <w:color w:val="auto"/>
          <w:sz w:val="24"/>
          <w:szCs w:val="24"/>
        </w:rPr>
        <w:t>价</w:t>
      </w:r>
      <w:r>
        <w:rPr>
          <w:b/>
          <w:color w:val="auto"/>
          <w:sz w:val="24"/>
          <w:szCs w:val="24"/>
        </w:rPr>
        <w:t>格</w:t>
      </w:r>
      <w:r>
        <w:rPr>
          <w:rFonts w:hint="eastAsia"/>
          <w:b/>
          <w:color w:val="auto"/>
          <w:sz w:val="24"/>
          <w:szCs w:val="24"/>
          <w:lang w:eastAsia="zh-CN"/>
        </w:rPr>
        <w:t>谈判</w:t>
      </w:r>
      <w:r>
        <w:rPr>
          <w:b/>
          <w:color w:val="auto"/>
          <w:sz w:val="24"/>
          <w:szCs w:val="24"/>
        </w:rPr>
        <w:t>规</w:t>
      </w:r>
      <w:r>
        <w:rPr>
          <w:rFonts w:hint="eastAsia"/>
          <w:b/>
          <w:color w:val="auto"/>
          <w:sz w:val="24"/>
          <w:szCs w:val="24"/>
        </w:rPr>
        <w:t>则</w:t>
      </w:r>
      <w:r>
        <w:rPr>
          <w:b/>
          <w:color w:val="auto"/>
          <w:sz w:val="24"/>
          <w:szCs w:val="24"/>
        </w:rPr>
        <w:t>详见第四章</w:t>
      </w:r>
      <w:r>
        <w:rPr>
          <w:rFonts w:hint="eastAsia"/>
          <w:b/>
          <w:color w:val="auto"/>
          <w:sz w:val="24"/>
          <w:szCs w:val="24"/>
        </w:rPr>
        <w:t>“评审办法”</w:t>
      </w:r>
      <w:r>
        <w:rPr>
          <w:b/>
          <w:color w:val="auto"/>
          <w:sz w:val="24"/>
          <w:szCs w:val="24"/>
        </w:rPr>
        <w:t>第</w:t>
      </w:r>
      <w:r>
        <w:rPr>
          <w:rFonts w:hint="eastAsia"/>
          <w:b/>
          <w:color w:val="auto"/>
          <w:sz w:val="24"/>
          <w:szCs w:val="24"/>
        </w:rPr>
        <w:t>“</w:t>
      </w:r>
      <w:r>
        <w:rPr>
          <w:b/>
          <w:color w:val="auto"/>
          <w:sz w:val="24"/>
          <w:szCs w:val="24"/>
        </w:rPr>
        <w:t>3.</w:t>
      </w:r>
      <w:r>
        <w:rPr>
          <w:rFonts w:hint="eastAsia"/>
          <w:b/>
          <w:color w:val="auto"/>
          <w:sz w:val="24"/>
          <w:szCs w:val="24"/>
        </w:rPr>
        <w:t>4</w:t>
      </w:r>
      <w:r>
        <w:rPr>
          <w:b/>
          <w:color w:val="auto"/>
          <w:sz w:val="24"/>
          <w:szCs w:val="24"/>
        </w:rPr>
        <w:t xml:space="preserve">.7 </w:t>
      </w:r>
      <w:r>
        <w:rPr>
          <w:rFonts w:hint="eastAsia"/>
          <w:b/>
          <w:color w:val="auto"/>
          <w:sz w:val="24"/>
          <w:szCs w:val="24"/>
        </w:rPr>
        <w:t>价格</w:t>
      </w:r>
      <w:r>
        <w:rPr>
          <w:rFonts w:hint="eastAsia"/>
          <w:b/>
          <w:color w:val="auto"/>
          <w:sz w:val="24"/>
          <w:szCs w:val="24"/>
          <w:lang w:eastAsia="zh-CN"/>
        </w:rPr>
        <w:t>谈判</w:t>
      </w:r>
      <w:r>
        <w:rPr>
          <w:rFonts w:hint="eastAsia"/>
          <w:b/>
          <w:color w:val="auto"/>
          <w:sz w:val="24"/>
          <w:szCs w:val="24"/>
        </w:rPr>
        <w:t>”</w:t>
      </w:r>
      <w:r>
        <w:rPr>
          <w:b/>
          <w:color w:val="auto"/>
          <w:sz w:val="24"/>
          <w:szCs w:val="24"/>
        </w:rPr>
        <w:t>条款</w:t>
      </w:r>
      <w:r>
        <w:rPr>
          <w:rFonts w:hint="eastAsia"/>
          <w:b/>
          <w:color w:val="auto"/>
          <w:sz w:val="24"/>
          <w:szCs w:val="24"/>
        </w:rPr>
        <w:t>。</w:t>
      </w:r>
    </w:p>
    <w:p w14:paraId="5542E89D">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color w:val="auto"/>
          <w:sz w:val="24"/>
          <w:szCs w:val="24"/>
        </w:rPr>
      </w:pPr>
      <w:r>
        <w:rPr>
          <w:color w:val="auto"/>
          <w:sz w:val="24"/>
          <w:szCs w:val="24"/>
        </w:rPr>
        <w:t xml:space="preserve">1.3.3 </w:t>
      </w:r>
      <w:r>
        <w:rPr>
          <w:rFonts w:hint="eastAsia"/>
          <w:color w:val="auto"/>
          <w:sz w:val="24"/>
          <w:szCs w:val="24"/>
        </w:rPr>
        <w:t>如供应商的</w:t>
      </w:r>
      <w:r>
        <w:rPr>
          <w:rFonts w:hint="eastAsia"/>
          <w:color w:val="auto"/>
          <w:sz w:val="24"/>
          <w:szCs w:val="24"/>
          <w:lang w:eastAsia="zh-CN"/>
        </w:rPr>
        <w:t>谈判</w:t>
      </w:r>
      <w:r>
        <w:rPr>
          <w:rFonts w:hint="eastAsia"/>
          <w:color w:val="auto"/>
          <w:sz w:val="24"/>
          <w:szCs w:val="24"/>
        </w:rPr>
        <w:t>报价未超过</w:t>
      </w:r>
      <w:r>
        <w:rPr>
          <w:rFonts w:hint="eastAsia" w:ascii="宋体" w:hAnsi="宋体" w:cs="楷体_GB2312"/>
          <w:bCs/>
          <w:color w:val="auto"/>
          <w:sz w:val="24"/>
          <w:lang w:val="zh-CN"/>
        </w:rPr>
        <w:t>预算金额</w:t>
      </w:r>
      <w:r>
        <w:rPr>
          <w:rFonts w:hint="eastAsia"/>
          <w:color w:val="auto"/>
          <w:sz w:val="24"/>
          <w:szCs w:val="24"/>
        </w:rPr>
        <w:t>（见竞争性</w:t>
      </w:r>
      <w:r>
        <w:rPr>
          <w:rFonts w:hint="eastAsia"/>
          <w:color w:val="auto"/>
          <w:sz w:val="24"/>
          <w:szCs w:val="24"/>
          <w:lang w:eastAsia="zh-CN"/>
        </w:rPr>
        <w:t>谈判</w:t>
      </w:r>
      <w:r>
        <w:rPr>
          <w:rFonts w:hint="eastAsia"/>
          <w:color w:val="auto"/>
          <w:sz w:val="24"/>
          <w:szCs w:val="24"/>
        </w:rPr>
        <w:t>公告</w:t>
      </w:r>
      <w:r>
        <w:rPr>
          <w:color w:val="auto"/>
          <w:sz w:val="24"/>
          <w:szCs w:val="24"/>
        </w:rPr>
        <w:t>1.</w:t>
      </w:r>
      <w:r>
        <w:rPr>
          <w:rFonts w:hint="eastAsia"/>
          <w:color w:val="auto"/>
          <w:sz w:val="24"/>
          <w:szCs w:val="24"/>
        </w:rPr>
        <w:t>4）的供应商不足三家的，该标段（包）做废标处理。</w:t>
      </w:r>
    </w:p>
    <w:p w14:paraId="40CFE02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color w:val="auto"/>
          <w:sz w:val="24"/>
          <w:szCs w:val="24"/>
        </w:rPr>
      </w:pPr>
      <w:r>
        <w:rPr>
          <w:color w:val="auto"/>
          <w:sz w:val="24"/>
          <w:szCs w:val="24"/>
        </w:rPr>
        <w:t>1.3.4</w:t>
      </w:r>
      <w:r>
        <w:rPr>
          <w:rFonts w:hint="eastAsia"/>
          <w:color w:val="auto"/>
          <w:sz w:val="24"/>
          <w:szCs w:val="24"/>
        </w:rPr>
        <w:t>遵循第三章供应商须知</w:t>
      </w:r>
      <w:r>
        <w:rPr>
          <w:color w:val="auto"/>
          <w:sz w:val="24"/>
          <w:szCs w:val="24"/>
        </w:rPr>
        <w:t>3.7.</w:t>
      </w:r>
      <w:r>
        <w:rPr>
          <w:rFonts w:hint="eastAsia"/>
          <w:color w:val="auto"/>
          <w:sz w:val="24"/>
          <w:szCs w:val="24"/>
        </w:rPr>
        <w:t>5项规定。</w:t>
      </w:r>
    </w:p>
    <w:p w14:paraId="3C53B73A">
      <w:pPr>
        <w:keepNext w:val="0"/>
        <w:keepLines w:val="0"/>
        <w:pageBreakBefore w:val="0"/>
        <w:kinsoku/>
        <w:wordWrap/>
        <w:overflowPunct/>
        <w:topLinePunct w:val="0"/>
        <w:bidi w:val="0"/>
        <w:spacing w:line="360" w:lineRule="auto"/>
        <w:ind w:firstLine="482" w:firstLineChars="200"/>
        <w:textAlignment w:val="baseline"/>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14:paraId="349F56DD">
      <w:pPr>
        <w:keepNext w:val="0"/>
        <w:keepLines w:val="0"/>
        <w:pageBreakBefore w:val="0"/>
        <w:kinsoku/>
        <w:wordWrap/>
        <w:overflowPunct/>
        <w:topLinePunct w:val="0"/>
        <w:bidi w:val="0"/>
        <w:adjustRightInd w:val="0"/>
        <w:snapToGrid w:val="0"/>
        <w:spacing w:beforeLines="50" w:line="360" w:lineRule="auto"/>
        <w:ind w:firstLine="482" w:firstLineChars="200"/>
        <w:textAlignment w:val="baseline"/>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w:t>
      </w:r>
      <w:r>
        <w:rPr>
          <w:rFonts w:ascii="黑体" w:hAnsi="黑体" w:eastAsia="黑体"/>
          <w:b/>
          <w:color w:val="auto"/>
          <w:sz w:val="24"/>
          <w:szCs w:val="24"/>
        </w:rPr>
        <w:t xml:space="preserve"> </w:t>
      </w:r>
      <w:r>
        <w:rPr>
          <w:rFonts w:hint="eastAsia" w:ascii="黑体" w:hAnsi="黑体" w:eastAsia="黑体"/>
          <w:b/>
          <w:color w:val="auto"/>
          <w:sz w:val="24"/>
          <w:szCs w:val="24"/>
        </w:rPr>
        <w:t>项目落实的政府采购政策（法规标准条款）</w:t>
      </w:r>
    </w:p>
    <w:p w14:paraId="6B8BDD4A">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响应</w:t>
      </w:r>
      <w:r>
        <w:rPr>
          <w:rFonts w:ascii="宋体" w:hAnsi="宋体" w:cs="宋体"/>
          <w:color w:val="auto"/>
          <w:sz w:val="24"/>
          <w:szCs w:val="24"/>
        </w:rPr>
        <w:t>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，响应</w:t>
      </w:r>
      <w:r>
        <w:rPr>
          <w:rFonts w:ascii="宋体" w:hAnsi="宋体" w:cs="宋体"/>
          <w:color w:val="auto"/>
          <w:sz w:val="24"/>
          <w:szCs w:val="24"/>
        </w:rPr>
        <w:t>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14:paraId="31D31794">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14:paraId="6574ECC3">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.2</w:t>
      </w:r>
      <w:r>
        <w:rPr>
          <w:rFonts w:hint="eastAsia"/>
          <w:color w:val="auto"/>
          <w:sz w:val="24"/>
          <w:szCs w:val="24"/>
        </w:rPr>
        <w:t>同等条件下，获得节能产品认证证书或环境标志产品认证证书的产品</w:t>
      </w:r>
      <w:r>
        <w:rPr>
          <w:rFonts w:hint="eastAsia" w:ascii="宋体" w:hAnsi="宋体" w:cs="宋体"/>
          <w:color w:val="auto"/>
          <w:sz w:val="24"/>
          <w:szCs w:val="24"/>
        </w:rPr>
        <w:t>或贫困地区产品</w:t>
      </w:r>
      <w:r>
        <w:rPr>
          <w:rFonts w:hint="eastAsia"/>
          <w:color w:val="auto"/>
          <w:sz w:val="24"/>
          <w:szCs w:val="24"/>
        </w:rPr>
        <w:t>优先采购。</w:t>
      </w:r>
    </w:p>
    <w:p w14:paraId="26638C4A">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color w:val="auto"/>
          <w:sz w:val="24"/>
          <w:szCs w:val="24"/>
        </w:rPr>
      </w:pPr>
      <w:r>
        <w:rPr>
          <w:color w:val="auto"/>
          <w:sz w:val="24"/>
          <w:szCs w:val="24"/>
        </w:rPr>
        <w:t>2.</w:t>
      </w:r>
      <w:r>
        <w:rPr>
          <w:rFonts w:hint="eastAsia"/>
          <w:color w:val="auto"/>
          <w:sz w:val="24"/>
          <w:szCs w:val="24"/>
        </w:rPr>
        <w:t>2</w:t>
      </w:r>
      <w:r>
        <w:rPr>
          <w:color w:val="auto"/>
          <w:sz w:val="24"/>
          <w:szCs w:val="24"/>
        </w:rPr>
        <w:t xml:space="preserve">.3 </w:t>
      </w:r>
      <w:r>
        <w:rPr>
          <w:rFonts w:hint="eastAsia"/>
          <w:color w:val="auto"/>
          <w:sz w:val="24"/>
          <w:szCs w:val="24"/>
        </w:rPr>
        <w:t>本次采购不允许进口产品参加。</w:t>
      </w:r>
    </w:p>
    <w:p w14:paraId="10452491">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color w:val="auto"/>
          <w:sz w:val="24"/>
          <w:szCs w:val="24"/>
        </w:rPr>
      </w:pPr>
      <w:r>
        <w:rPr>
          <w:color w:val="auto"/>
          <w:sz w:val="24"/>
          <w:szCs w:val="24"/>
        </w:rPr>
        <w:t>2.</w:t>
      </w:r>
      <w:r>
        <w:rPr>
          <w:rFonts w:hint="eastAsia"/>
          <w:color w:val="auto"/>
          <w:sz w:val="24"/>
          <w:szCs w:val="24"/>
        </w:rPr>
        <w:t>2</w:t>
      </w:r>
      <w:r>
        <w:rPr>
          <w:color w:val="auto"/>
          <w:sz w:val="24"/>
          <w:szCs w:val="24"/>
        </w:rPr>
        <w:t>.4</w:t>
      </w:r>
      <w:r>
        <w:rPr>
          <w:rFonts w:hint="eastAsia"/>
          <w:color w:val="auto"/>
          <w:sz w:val="24"/>
          <w:szCs w:val="24"/>
        </w:rPr>
        <w:t>信息安全产品须通过国家信息安全认证中心认证，计算机产品须预装正版操作系统软件。</w:t>
      </w:r>
    </w:p>
    <w:p w14:paraId="52D61A86">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color w:val="auto"/>
          <w:sz w:val="24"/>
          <w:szCs w:val="24"/>
        </w:rPr>
      </w:pPr>
      <w:r>
        <w:rPr>
          <w:color w:val="auto"/>
          <w:sz w:val="24"/>
          <w:szCs w:val="24"/>
        </w:rPr>
        <w:t>2.</w:t>
      </w:r>
      <w:r>
        <w:rPr>
          <w:rFonts w:hint="eastAsia"/>
          <w:color w:val="auto"/>
          <w:sz w:val="24"/>
          <w:szCs w:val="24"/>
        </w:rPr>
        <w:t>2</w:t>
      </w:r>
      <w:r>
        <w:rPr>
          <w:color w:val="auto"/>
          <w:sz w:val="24"/>
          <w:szCs w:val="24"/>
        </w:rPr>
        <w:t xml:space="preserve">.5 </w:t>
      </w:r>
      <w:r>
        <w:rPr>
          <w:rFonts w:hint="eastAsia"/>
          <w:color w:val="auto"/>
          <w:sz w:val="24"/>
          <w:szCs w:val="24"/>
        </w:rPr>
        <w:t>促进中小企业发展扶持政策：见第四章“评审办法”第</w:t>
      </w:r>
      <w:r>
        <w:rPr>
          <w:color w:val="auto"/>
          <w:sz w:val="24"/>
          <w:szCs w:val="24"/>
        </w:rPr>
        <w:t>4</w:t>
      </w:r>
      <w:r>
        <w:rPr>
          <w:rFonts w:hint="eastAsia"/>
          <w:color w:val="auto"/>
          <w:sz w:val="24"/>
          <w:szCs w:val="24"/>
        </w:rPr>
        <w:t>条。</w:t>
      </w:r>
    </w:p>
    <w:p w14:paraId="4C5A7914">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color w:val="auto"/>
          <w:sz w:val="24"/>
          <w:szCs w:val="24"/>
        </w:rPr>
      </w:pPr>
      <w:r>
        <w:rPr>
          <w:color w:val="auto"/>
          <w:sz w:val="24"/>
          <w:szCs w:val="24"/>
        </w:rPr>
        <w:t>2.</w:t>
      </w:r>
      <w:r>
        <w:rPr>
          <w:rFonts w:hint="eastAsia"/>
          <w:color w:val="auto"/>
          <w:sz w:val="24"/>
          <w:szCs w:val="24"/>
        </w:rPr>
        <w:t>2</w:t>
      </w:r>
      <w:r>
        <w:rPr>
          <w:color w:val="auto"/>
          <w:sz w:val="24"/>
          <w:szCs w:val="24"/>
        </w:rPr>
        <w:t xml:space="preserve">.6 </w:t>
      </w:r>
      <w:r>
        <w:rPr>
          <w:rFonts w:hint="eastAsia"/>
          <w:color w:val="auto"/>
          <w:sz w:val="24"/>
          <w:szCs w:val="24"/>
        </w:rPr>
        <w:t>政府采购支持监狱企业发展</w:t>
      </w:r>
    </w:p>
    <w:p w14:paraId="7E002516">
      <w:pPr>
        <w:keepNext w:val="0"/>
        <w:keepLines w:val="0"/>
        <w:pageBreakBefore w:val="0"/>
        <w:kinsoku/>
        <w:wordWrap/>
        <w:overflowPunct/>
        <w:topLinePunct w:val="0"/>
        <w:autoSpaceDE/>
        <w:autoSpaceDN/>
        <w:bidi w:val="0"/>
        <w:adjustRightInd w:val="0"/>
        <w:snapToGrid w:val="0"/>
        <w:spacing w:beforeLines="50" w:line="360" w:lineRule="auto"/>
        <w:ind w:firstLine="480" w:firstLineChars="200"/>
        <w:textAlignment w:val="baseline"/>
        <w:rPr>
          <w:color w:val="auto"/>
          <w:sz w:val="24"/>
          <w:szCs w:val="24"/>
        </w:rPr>
      </w:pPr>
      <w:r>
        <w:rPr>
          <w:color w:val="auto"/>
          <w:sz w:val="24"/>
          <w:szCs w:val="24"/>
        </w:rPr>
        <w:t>2.</w:t>
      </w:r>
      <w:r>
        <w:rPr>
          <w:rFonts w:hint="eastAsia"/>
          <w:color w:val="auto"/>
          <w:sz w:val="24"/>
          <w:szCs w:val="24"/>
        </w:rPr>
        <w:t>2</w:t>
      </w:r>
      <w:r>
        <w:rPr>
          <w:color w:val="auto"/>
          <w:sz w:val="24"/>
          <w:szCs w:val="24"/>
        </w:rPr>
        <w:t>.</w:t>
      </w:r>
      <w:r>
        <w:rPr>
          <w:rFonts w:hint="eastAsia"/>
          <w:color w:val="auto"/>
          <w:sz w:val="24"/>
          <w:szCs w:val="24"/>
        </w:rPr>
        <w:t>7</w:t>
      </w:r>
      <w:r>
        <w:rPr>
          <w:color w:val="auto"/>
          <w:sz w:val="24"/>
          <w:szCs w:val="24"/>
        </w:rPr>
        <w:t xml:space="preserve"> </w:t>
      </w:r>
      <w:r>
        <w:rPr>
          <w:rFonts w:hint="eastAsia"/>
          <w:color w:val="auto"/>
          <w:sz w:val="24"/>
          <w:szCs w:val="24"/>
        </w:rPr>
        <w:t>促进残疾人就业：见第四章“评标办法”第</w:t>
      </w:r>
      <w:r>
        <w:rPr>
          <w:color w:val="auto"/>
          <w:sz w:val="24"/>
          <w:szCs w:val="24"/>
        </w:rPr>
        <w:t>4</w:t>
      </w:r>
      <w:r>
        <w:rPr>
          <w:rFonts w:hint="eastAsia"/>
          <w:color w:val="auto"/>
          <w:sz w:val="24"/>
          <w:szCs w:val="24"/>
        </w:rPr>
        <w:t>条。</w:t>
      </w:r>
    </w:p>
    <w:p w14:paraId="45B588CB">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2.2.8所供产品有环保政策要求的，应符合相关环保法律政策要求。</w:t>
      </w:r>
    </w:p>
    <w:p w14:paraId="050D3A93">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14:paraId="5BBA80F1">
      <w:pPr>
        <w:keepNext w:val="0"/>
        <w:keepLines w:val="0"/>
        <w:pageBreakBefore w:val="0"/>
        <w:widowControl w:val="0"/>
        <w:kinsoku/>
        <w:wordWrap/>
        <w:overflowPunct/>
        <w:topLinePunct w:val="0"/>
        <w:autoSpaceDE/>
        <w:autoSpaceDN/>
        <w:bidi w:val="0"/>
        <w:adjustRightInd w:val="0"/>
        <w:snapToGrid w:val="0"/>
        <w:spacing w:beforeLines="50" w:line="360" w:lineRule="auto"/>
        <w:ind w:left="22" w:firstLine="555"/>
        <w:textAlignment w:val="baseline"/>
        <w:rPr>
          <w:rFonts w:hint="eastAsia"/>
          <w:color w:val="auto"/>
          <w:sz w:val="24"/>
          <w:szCs w:val="24"/>
        </w:rPr>
      </w:pPr>
      <w:r>
        <w:rPr>
          <w:rFonts w:hint="eastAsia"/>
          <w:color w:val="auto"/>
          <w:sz w:val="24"/>
          <w:szCs w:val="24"/>
        </w:rPr>
        <w:t>供应商所报响应产品应为全新产品且符合国家质量标准、部颁标准及行业规范的要求，符合国家各项强制性规范及安全标准，响应产品不应与第三方存在知识产权权属问题；供应商应本着服务客户、为客户着想的宗旨，来完善产品及技术要求未尽事宜，不得以《</w:t>
      </w:r>
      <w:r>
        <w:rPr>
          <w:rFonts w:hint="eastAsia"/>
          <w:color w:val="auto"/>
          <w:sz w:val="24"/>
          <w:szCs w:val="24"/>
          <w:lang w:eastAsia="zh-CN"/>
        </w:rPr>
        <w:t>谈判</w:t>
      </w:r>
      <w:r>
        <w:rPr>
          <w:rFonts w:hint="eastAsia"/>
          <w:color w:val="auto"/>
          <w:sz w:val="24"/>
          <w:szCs w:val="24"/>
        </w:rPr>
        <w:t>文件》未列明事项为由，来降低响应产品的质量。</w:t>
      </w:r>
    </w:p>
    <w:p w14:paraId="2FD9C5AD">
      <w:pPr>
        <w:keepNext w:val="0"/>
        <w:keepLines w:val="0"/>
        <w:pageBreakBefore w:val="0"/>
        <w:kinsoku/>
        <w:wordWrap/>
        <w:overflowPunct/>
        <w:topLinePunct w:val="0"/>
        <w:autoSpaceDE/>
        <w:autoSpaceDN/>
        <w:bidi w:val="0"/>
        <w:spacing w:line="360" w:lineRule="auto"/>
        <w:ind w:firstLine="482" w:firstLineChars="200"/>
        <w:textAlignment w:val="baseline"/>
        <w:rPr>
          <w:rFonts w:hint="eastAsia" w:ascii="黑体" w:hAnsi="黑体" w:eastAsia="黑体"/>
          <w:b/>
          <w:color w:val="auto"/>
          <w:sz w:val="24"/>
          <w:szCs w:val="24"/>
          <w:highlight w:val="none"/>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具体技术要求及标段</w:t>
      </w:r>
      <w:r>
        <w:rPr>
          <w:rFonts w:hint="eastAsia" w:ascii="黑体" w:hAnsi="黑体" w:eastAsia="黑体"/>
          <w:b/>
          <w:color w:val="auto"/>
          <w:sz w:val="24"/>
          <w:szCs w:val="24"/>
          <w:highlight w:val="none"/>
        </w:rPr>
        <w:t>（包）内容（范围）</w:t>
      </w:r>
    </w:p>
    <w:p w14:paraId="63227964">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1、工作目标：</w:t>
      </w:r>
    </w:p>
    <w:p w14:paraId="2B3B43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rPr>
      </w:pPr>
      <w:r>
        <w:rPr>
          <w:rFonts w:hint="eastAsia"/>
          <w:color w:val="auto"/>
          <w:sz w:val="24"/>
          <w:szCs w:val="24"/>
          <w:lang w:val="en-US" w:eastAsia="zh-CN"/>
        </w:rPr>
        <w:t>充分运用政府购买服务的新理念，降低成本，提高物业服务效率，实现社会化、市场化的管理机制，把专业的事情交给专业的机构进行管理，提高殷都区物业形象，给广大干部职工营造一个舒适、干净、温馨的办公生活环境。</w:t>
      </w:r>
    </w:p>
    <w:p w14:paraId="03085C93">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2、物业服务地点：</w:t>
      </w:r>
    </w:p>
    <w:p w14:paraId="3CBAEF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安阳市殷都区钢花路与殷三路交叉口东南角（缔盛广场 1、2、3、4、5、6、8、9、14、15、18、19层 ；其中1-3层（便民服务中心）不含保洁和秩序维护。服务范围总建筑面积：14852.52平方米（其中1-3层（便民服务中心）建筑面积为3938.74平方米）。</w:t>
      </w:r>
    </w:p>
    <w:p w14:paraId="39981A01">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3、物业服务事项：</w:t>
      </w:r>
    </w:p>
    <w:p w14:paraId="175F83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2.1、共同事务与共用部分管理服务；</w:t>
      </w:r>
    </w:p>
    <w:p w14:paraId="0B201D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2.2、房屋建筑共用部位的日常维修、养护和管理；</w:t>
      </w:r>
    </w:p>
    <w:p w14:paraId="2F2D50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2.3、属于业主共用的设施设备的日常维修、养护、运行和管理；</w:t>
      </w:r>
    </w:p>
    <w:p w14:paraId="160B525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2.4、物业管理区域内的环境卫生、保洁服务；</w:t>
      </w:r>
    </w:p>
    <w:p w14:paraId="1B77B8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2.5、物业管理区域内的安全防范服务；</w:t>
      </w:r>
    </w:p>
    <w:p w14:paraId="656DB1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2.6、便民服务中心的日常维修。</w:t>
      </w:r>
    </w:p>
    <w:p w14:paraId="6C0FA8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2.7、其中1-3层不包含本项（“2.4、物业管理区域内的环境卫生、保洁服务”；“2.5、</w:t>
      </w:r>
    </w:p>
    <w:p w14:paraId="334A7F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物业管理区域内的安全防范服务；”）</w:t>
      </w:r>
    </w:p>
    <w:p w14:paraId="08FA5180">
      <w:pPr>
        <w:keepNext w:val="0"/>
        <w:keepLines w:val="0"/>
        <w:pageBreakBefore w:val="0"/>
        <w:numPr>
          <w:ilvl w:val="0"/>
          <w:numId w:val="1"/>
        </w:numPr>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物业服务要求：</w:t>
      </w:r>
    </w:p>
    <w:p w14:paraId="34424024">
      <w:pPr>
        <w:keepNext w:val="0"/>
        <w:keepLines w:val="0"/>
        <w:widowControl/>
        <w:suppressLineNumbers w:val="0"/>
        <w:ind w:firstLine="562" w:firstLineChars="200"/>
        <w:jc w:val="left"/>
      </w:pPr>
      <w:r>
        <w:rPr>
          <w:rFonts w:ascii="仿宋" w:hAnsi="仿宋" w:eastAsia="仿宋" w:cs="仿宋"/>
          <w:b/>
          <w:bCs/>
          <w:color w:val="000000"/>
          <w:kern w:val="0"/>
          <w:sz w:val="28"/>
          <w:szCs w:val="28"/>
          <w:u w:color="000000"/>
          <w:lang w:val="en-US" w:eastAsia="zh-CN" w:bidi="ar"/>
        </w:rPr>
        <w:t>人员配备：</w:t>
      </w:r>
    </w:p>
    <w:p w14:paraId="3C232B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安阳市殷都区机关事务中心缔盛广场物业项目要求服务总人数不少于8人。</w:t>
      </w:r>
    </w:p>
    <w:p w14:paraId="6A223F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（1）项目经理1人，具有相关专业的技术职称或培训证书或岗位证书。</w:t>
      </w:r>
    </w:p>
    <w:p w14:paraId="547A8B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（2）秩序维护员2人，需具有保安员上岗证或职业资格证。</w:t>
      </w:r>
    </w:p>
    <w:p w14:paraId="7087BF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（3）保洁服务人员3人。</w:t>
      </w:r>
    </w:p>
    <w:p w14:paraId="31C3D5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（4）水电维修人员2人，须具有岗位证。</w:t>
      </w:r>
    </w:p>
    <w:p w14:paraId="32BF08B8">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人员基本素质要求：</w:t>
      </w:r>
    </w:p>
    <w:p w14:paraId="4E5EF9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（1）年龄要求：所聘人员，女 18—55岁，男 18—55岁。</w:t>
      </w:r>
    </w:p>
    <w:p w14:paraId="4748D4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（2）健康要求：供应商所聘人员须身体健康，无劳动、职防等部门规定的与所从事行业相关的传染病、职业病和慢性病。</w:t>
      </w:r>
    </w:p>
    <w:p w14:paraId="3340B66A">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人员管理要求：</w:t>
      </w:r>
    </w:p>
    <w:p w14:paraId="54B373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（1）所聘从业人员的基本情况（性别、年龄、住址、籍贯、学历、岗位资质证书、健康状况等）须在采购人单位备案，并按相关要求做好人员信息登记等人事档案管理工作（中标后提供）。</w:t>
      </w:r>
    </w:p>
    <w:p w14:paraId="489F28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（2）要依法规范用工，自负员工的人身安全、财物安全、工伤事故、意外伤害等民事、劳动责任。</w:t>
      </w:r>
    </w:p>
    <w:p w14:paraId="3B5591E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（3）要加强对从业人员的教育管理，自觉遵守相关管理规定，严禁从业人员与其他人员发生冲突，严禁偷拿盗窃财物。</w:t>
      </w:r>
    </w:p>
    <w:p w14:paraId="4FC5D9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（4）要定期对员工进行岗位继续教育和培训，建立完善的人员管理制度、岗位职责、作业规范、质量管理目标、考核评估制度和奖惩办法。</w:t>
      </w:r>
    </w:p>
    <w:p w14:paraId="7C3F4B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（5）所聘从业人员工作期间要统一着装，佩戴上岗证或胸牌（服装和上岗证由中标单</w:t>
      </w:r>
    </w:p>
    <w:p w14:paraId="46D0AC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位自行统一提供并自负相关费用），不串岗，不脱岗，不做与工作无关的事情，有完整的值班、交接班记录。</w:t>
      </w:r>
    </w:p>
    <w:p w14:paraId="080C97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（6）员工要熟知岗位职责，熟悉操作流程和规范，严格按照规定的流程进行作业。</w:t>
      </w:r>
    </w:p>
    <w:p w14:paraId="11B8B9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（7）所聘从业人员在工作期间接受中标单位和采购单位的双重领导，要自觉接受采购人的领导和监督。</w:t>
      </w:r>
    </w:p>
    <w:p w14:paraId="06CF0B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（8）安排的工作应以采购人安排工作优先，特殊情况双方协商解决。</w:t>
      </w:r>
    </w:p>
    <w:p w14:paraId="34945A94">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注：以上人员管理要求供应商须在响应文件中提供承诺函。</w:t>
      </w:r>
    </w:p>
    <w:p w14:paraId="02144C70">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保洁工作要求</w:t>
      </w:r>
    </w:p>
    <w:p w14:paraId="56F2CE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3767AE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 xml:space="preserve">公共区域内的日常清洁，设立专职保洁人员负责，确保有一个清洁，舒适的工作环境。 </w:t>
      </w:r>
    </w:p>
    <w:p w14:paraId="02885C1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401DB2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）每天彻底清扫一次，垃圾及时清运。设置专职保洁员对区域内的卫生进行保洁维护。使区域内地面无杂物、无污渍。</w:t>
      </w:r>
    </w:p>
    <w:p w14:paraId="2462A7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）负责对灯具、开关、把手、楼梯扶手及时擦拭。走廊放置的痰桶及时清理。大楼玻璃门每周擦洗一次。</w:t>
      </w:r>
    </w:p>
    <w:p w14:paraId="435BE3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）大楼地面每周全面清洗一次。</w:t>
      </w:r>
    </w:p>
    <w:p w14:paraId="73718F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）每天清洁、擦拭电梯门、镜面、墙面。由卫生维护人员随时清理电梯间，以保持电梯清洁无杂物、无污渍。</w:t>
      </w:r>
    </w:p>
    <w:p w14:paraId="7A8277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5</w:t>
      </w:r>
      <w:r>
        <w:rPr>
          <w:rFonts w:hint="eastAsia"/>
          <w:color w:val="auto"/>
          <w:sz w:val="24"/>
          <w:szCs w:val="24"/>
          <w:lang w:val="en-US" w:eastAsia="zh-CN"/>
        </w:rPr>
        <w:t>）每天对卫生间进行彻底清洁一次。包括</w:t>
      </w:r>
      <w:r>
        <w:rPr>
          <w:rFonts w:hint="default"/>
          <w:color w:val="auto"/>
          <w:sz w:val="24"/>
          <w:szCs w:val="24"/>
          <w:lang w:val="en-US" w:eastAsia="zh-CN"/>
        </w:rPr>
        <w:t>:</w:t>
      </w:r>
      <w:r>
        <w:rPr>
          <w:rFonts w:hint="eastAsia"/>
          <w:color w:val="auto"/>
          <w:sz w:val="24"/>
          <w:szCs w:val="24"/>
          <w:lang w:val="en-US" w:eastAsia="zh-CN"/>
        </w:rPr>
        <w:t>墙面便器、洁具、墙瓷砖、地砖的洗刷，拖布和日用品要摆放整齐，每周对卫生间彻底冲刷一次，开水器每周放水、除垢一次，定时喷洒空气清新剂，保证无异味。</w:t>
      </w:r>
    </w:p>
    <w:p w14:paraId="228AFD9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6</w:t>
      </w:r>
      <w:r>
        <w:rPr>
          <w:rFonts w:hint="eastAsia"/>
          <w:color w:val="auto"/>
          <w:sz w:val="24"/>
          <w:szCs w:val="24"/>
          <w:lang w:val="en-US" w:eastAsia="zh-CN"/>
        </w:rPr>
        <w:t>）负责楼内生活垃圾的收集、清运。全年无休，垃圾日产日清，垃圾箱不能有垃圾裸露现象。</w:t>
      </w:r>
    </w:p>
    <w:p w14:paraId="3E46BF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7</w:t>
      </w:r>
      <w:r>
        <w:rPr>
          <w:rFonts w:hint="eastAsia"/>
          <w:color w:val="auto"/>
          <w:sz w:val="24"/>
          <w:szCs w:val="24"/>
          <w:lang w:val="en-US" w:eastAsia="zh-CN"/>
        </w:rPr>
        <w:t>）定时清理粪池，保证正常使用。</w:t>
      </w:r>
    </w:p>
    <w:p w14:paraId="5AA39CC2">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安全保卫要求</w:t>
      </w:r>
    </w:p>
    <w:p w14:paraId="0D5BDC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54208B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设立公共秩序维护员以保证大楼群众和工作人员的人身、财产等方面的安全。</w:t>
      </w:r>
    </w:p>
    <w:p w14:paraId="5DD63A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23AF8A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 xml:space="preserve">）公共秩序维护员按照职责坚持门岗执勤，服务区域实施 </w:t>
      </w:r>
      <w:r>
        <w:rPr>
          <w:rFonts w:hint="default"/>
          <w:color w:val="auto"/>
          <w:sz w:val="24"/>
          <w:szCs w:val="24"/>
          <w:lang w:val="en-US" w:eastAsia="zh-CN"/>
        </w:rPr>
        <w:t xml:space="preserve">24 </w:t>
      </w:r>
      <w:r>
        <w:rPr>
          <w:rFonts w:hint="eastAsia"/>
          <w:color w:val="auto"/>
          <w:sz w:val="24"/>
          <w:szCs w:val="24"/>
          <w:lang w:val="en-US" w:eastAsia="zh-CN"/>
        </w:rPr>
        <w:t xml:space="preserve">小时人防巡逻执勤。交接班要准时并做好交接班记录，加强日常巡视和监控，积极与公安部门配合，保证物业安全。 </w:t>
      </w:r>
    </w:p>
    <w:p w14:paraId="56BF11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）对外来人员要进行引导，懂得礼仪知识，讲究文明礼貌。对内工作人员要加强监督，促进办公秩序整洁、有序。</w:t>
      </w:r>
    </w:p>
    <w:p w14:paraId="1A2216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 xml:space="preserve">）监控室要实行 </w:t>
      </w:r>
      <w:r>
        <w:rPr>
          <w:rFonts w:hint="default"/>
          <w:color w:val="auto"/>
          <w:sz w:val="24"/>
          <w:szCs w:val="24"/>
          <w:lang w:val="en-US" w:eastAsia="zh-CN"/>
        </w:rPr>
        <w:t xml:space="preserve">24 </w:t>
      </w:r>
      <w:r>
        <w:rPr>
          <w:rFonts w:hint="eastAsia"/>
          <w:color w:val="auto"/>
          <w:sz w:val="24"/>
          <w:szCs w:val="24"/>
          <w:lang w:val="en-US" w:eastAsia="zh-CN"/>
        </w:rPr>
        <w:t>小时监控值班，做好值班记录，杜绝非工作人员进入，保证仪器和设备的安全，随时提供监控资料。</w:t>
      </w:r>
    </w:p>
    <w:p w14:paraId="3A90F6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）职工停车场的车辆要排列整齐，随时指导车辆停放位置，督促车辆锁闭情况严防偷盗和交通事故的发生。</w:t>
      </w:r>
    </w:p>
    <w:p w14:paraId="5DDDA6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5</w:t>
      </w:r>
      <w:r>
        <w:rPr>
          <w:rFonts w:hint="eastAsia"/>
          <w:color w:val="auto"/>
          <w:sz w:val="24"/>
          <w:szCs w:val="24"/>
          <w:lang w:val="en-US" w:eastAsia="zh-CN"/>
        </w:rPr>
        <w:t>）严防刑事案件和治安事件的发生，随时处理紧急情况和制止突发事件，维护大楼良好管理秩序。</w:t>
      </w:r>
    </w:p>
    <w:p w14:paraId="770361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6</w:t>
      </w:r>
      <w:r>
        <w:rPr>
          <w:rFonts w:hint="eastAsia"/>
          <w:color w:val="auto"/>
          <w:sz w:val="24"/>
          <w:szCs w:val="24"/>
          <w:lang w:val="en-US" w:eastAsia="zh-CN"/>
        </w:rPr>
        <w:t>）区域内的安全保卫工作要严格执行相关管理规定，杜绝任何安全隐患发生。</w:t>
      </w:r>
    </w:p>
    <w:p w14:paraId="1825735C">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日常维修要求</w:t>
      </w:r>
    </w:p>
    <w:p w14:paraId="1CD0E3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7431A4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FF0000"/>
          <w:sz w:val="24"/>
          <w:szCs w:val="24"/>
          <w:lang w:val="en-US" w:eastAsia="zh-CN"/>
        </w:rPr>
      </w:pPr>
      <w:r>
        <w:rPr>
          <w:rFonts w:hint="eastAsia"/>
          <w:color w:val="auto"/>
          <w:sz w:val="24"/>
          <w:szCs w:val="24"/>
          <w:lang w:val="en-US" w:eastAsia="zh-CN"/>
        </w:rPr>
        <w:t>设备、实施小损、小坏的维修，保持房屋原来完好等级为目的的日常养护工程。</w:t>
      </w:r>
    </w:p>
    <w:p w14:paraId="451363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1000CA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）随时更换和修复损坏的灯泡、灯具、开关等电器设备，保证各种电气设施和原件的完好。</w:t>
      </w:r>
    </w:p>
    <w:p w14:paraId="13A7A3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）上下水和暖气的保养，水暖设施跑、漏水的止水和补修，水阀、便器具、管道的检修和更换等。</w:t>
      </w:r>
    </w:p>
    <w:p w14:paraId="730F0D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）房屋的主体结构，各种墙、梁、板柱和门窗洞口的修复。</w:t>
      </w:r>
    </w:p>
    <w:p w14:paraId="5BE846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）各种机械设备和电器设备的简单修复。如：开水器。热水器、空调器、供电开关、盘柜、窗帘等。</w:t>
      </w:r>
    </w:p>
    <w:p w14:paraId="6DC85B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5</w:t>
      </w:r>
      <w:r>
        <w:rPr>
          <w:rFonts w:hint="eastAsia"/>
          <w:color w:val="auto"/>
          <w:sz w:val="24"/>
          <w:szCs w:val="24"/>
          <w:lang w:val="en-US" w:eastAsia="zh-CN"/>
        </w:rPr>
        <w:t>）甲方要求其他需要维修的项目。如：外购设备、室内要求安装其他设施等。维修及时率达到</w:t>
      </w:r>
      <w:r>
        <w:rPr>
          <w:rFonts w:hint="default"/>
          <w:color w:val="auto"/>
          <w:sz w:val="24"/>
          <w:szCs w:val="24"/>
          <w:lang w:val="en-US" w:eastAsia="zh-CN"/>
        </w:rPr>
        <w:t>100%</w:t>
      </w:r>
      <w:r>
        <w:rPr>
          <w:rFonts w:hint="eastAsia"/>
          <w:color w:val="auto"/>
          <w:sz w:val="24"/>
          <w:szCs w:val="24"/>
          <w:lang w:val="en-US" w:eastAsia="zh-CN"/>
        </w:rPr>
        <w:t>，人员</w:t>
      </w:r>
      <w:r>
        <w:rPr>
          <w:rFonts w:hint="default"/>
          <w:color w:val="auto"/>
          <w:sz w:val="24"/>
          <w:szCs w:val="24"/>
          <w:lang w:val="en-US" w:eastAsia="zh-CN"/>
        </w:rPr>
        <w:t>10</w:t>
      </w:r>
      <w:r>
        <w:rPr>
          <w:rFonts w:hint="eastAsia"/>
          <w:color w:val="auto"/>
          <w:sz w:val="24"/>
          <w:szCs w:val="24"/>
          <w:lang w:val="en-US" w:eastAsia="zh-CN"/>
        </w:rPr>
        <w:t>分钟到位。电气、水暖维修不超过</w:t>
      </w:r>
      <w:r>
        <w:rPr>
          <w:rFonts w:hint="default"/>
          <w:color w:val="auto"/>
          <w:sz w:val="24"/>
          <w:szCs w:val="24"/>
          <w:lang w:val="en-US" w:eastAsia="zh-CN"/>
        </w:rPr>
        <w:t xml:space="preserve">24 </w:t>
      </w:r>
      <w:r>
        <w:rPr>
          <w:rFonts w:hint="eastAsia"/>
          <w:color w:val="auto"/>
          <w:sz w:val="24"/>
          <w:szCs w:val="24"/>
          <w:lang w:val="en-US" w:eastAsia="zh-CN"/>
        </w:rPr>
        <w:t xml:space="preserve">小时，土建维修不超过 </w:t>
      </w:r>
      <w:r>
        <w:rPr>
          <w:rFonts w:hint="default"/>
          <w:color w:val="auto"/>
          <w:sz w:val="24"/>
          <w:szCs w:val="24"/>
          <w:lang w:val="en-US" w:eastAsia="zh-CN"/>
        </w:rPr>
        <w:t xml:space="preserve">3 </w:t>
      </w:r>
      <w:r>
        <w:rPr>
          <w:rFonts w:hint="eastAsia"/>
          <w:color w:val="auto"/>
          <w:sz w:val="24"/>
          <w:szCs w:val="24"/>
          <w:lang w:val="en-US" w:eastAsia="zh-CN"/>
        </w:rPr>
        <w:t>天。</w:t>
      </w:r>
    </w:p>
    <w:p w14:paraId="76A75615">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电梯、高压水泵要求</w:t>
      </w:r>
    </w:p>
    <w:p w14:paraId="3ACF19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697567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负责电梯日常巡检，协助维保单位做好电梯维修及日常保养工作；对高压水泵进行日常维护、保养、检修、处理随机问题。</w:t>
      </w:r>
    </w:p>
    <w:p w14:paraId="3C99D5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24C61F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 xml:space="preserve">）按有关规定及时维护，处理随时发生的问题，使机械始终处于最佳运行状态。保证设备运行率达 </w:t>
      </w:r>
      <w:r>
        <w:rPr>
          <w:rFonts w:hint="default"/>
          <w:color w:val="auto"/>
          <w:sz w:val="24"/>
          <w:szCs w:val="24"/>
          <w:lang w:val="en-US" w:eastAsia="zh-CN"/>
        </w:rPr>
        <w:t>98%</w:t>
      </w:r>
      <w:r>
        <w:rPr>
          <w:rFonts w:hint="eastAsia"/>
          <w:color w:val="auto"/>
          <w:sz w:val="24"/>
          <w:szCs w:val="24"/>
          <w:lang w:val="en-US" w:eastAsia="zh-CN"/>
        </w:rPr>
        <w:t>以上。</w:t>
      </w:r>
    </w:p>
    <w:p w14:paraId="112215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）乙方应定期对电梯和高压水泵进行保养。如：管道刷防腐漆、电梯抹润滑油等。</w:t>
      </w:r>
    </w:p>
    <w:p w14:paraId="01FC8E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）按照设备说明书规定实际和操作规程进行检修，消除各类事故隐患。</w:t>
      </w:r>
    </w:p>
    <w:p w14:paraId="4251D8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）设备因停电、机械故障或其它原因造成停运、损坏时，应有紧急处置措施。</w:t>
      </w:r>
    </w:p>
    <w:p w14:paraId="270D96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5</w:t>
      </w:r>
      <w:r>
        <w:rPr>
          <w:rFonts w:hint="eastAsia"/>
          <w:color w:val="auto"/>
          <w:sz w:val="24"/>
          <w:szCs w:val="24"/>
          <w:lang w:val="en-US" w:eastAsia="zh-CN"/>
        </w:rPr>
        <w:t>）值班人员安排及时间，安全责任及规章制度，运行记录，检修记录，保养记录等要详细完备。</w:t>
      </w:r>
    </w:p>
    <w:p w14:paraId="0A613B6A">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供电、给排水系统、空调系统要求</w:t>
      </w:r>
    </w:p>
    <w:p w14:paraId="1826E4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377AB1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对供电、供水、供暖设备进行日常巡检，协助专业维保公司定期对各种设备进行检修，保证设备的正常运行，并做到“业主叫，人员到”，及时搞好服务。</w:t>
      </w:r>
    </w:p>
    <w:p w14:paraId="107DA7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0F79FD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）做好人员安排、工作职责和交接班记录，设备正常运行的各项数据，计划停电、停水、停气应提前</w:t>
      </w:r>
      <w:r>
        <w:rPr>
          <w:rFonts w:hint="default"/>
          <w:color w:val="auto"/>
          <w:sz w:val="24"/>
          <w:szCs w:val="24"/>
          <w:lang w:val="en-US" w:eastAsia="zh-CN"/>
        </w:rPr>
        <w:t>12</w:t>
      </w:r>
      <w:r>
        <w:rPr>
          <w:rFonts w:hint="eastAsia"/>
          <w:color w:val="auto"/>
          <w:sz w:val="24"/>
          <w:szCs w:val="24"/>
          <w:lang w:val="en-US" w:eastAsia="zh-CN"/>
        </w:rPr>
        <w:t>小时通知甲方，确保设备正常运行。</w:t>
      </w:r>
    </w:p>
    <w:p w14:paraId="739542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）依据设备规定要求及操作规程按时检修并做好记录工作，定期对系统进行测试、检查，消除事故隐患，确保系统安全，可靠。</w:t>
      </w:r>
    </w:p>
    <w:p w14:paraId="36B0EE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）定期对破损和老化设施进行更换和修补，定期擦拭灰尘、污渍和刷防腐漆等。</w:t>
      </w:r>
    </w:p>
    <w:p w14:paraId="659249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）发生设备事故造成停电、停水、停气的，要提交事故报告，说明事故原因、事故处理意见、当事人的责任及受教育情况。</w:t>
      </w:r>
    </w:p>
    <w:p w14:paraId="690503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5</w:t>
      </w:r>
      <w:r>
        <w:rPr>
          <w:rFonts w:hint="eastAsia"/>
          <w:color w:val="auto"/>
          <w:sz w:val="24"/>
          <w:szCs w:val="24"/>
          <w:lang w:val="en-US" w:eastAsia="zh-CN"/>
        </w:rPr>
        <w:t xml:space="preserve">）接到紧急情况报告时，维修人员应 </w:t>
      </w:r>
      <w:r>
        <w:rPr>
          <w:rFonts w:hint="default"/>
          <w:color w:val="auto"/>
          <w:sz w:val="24"/>
          <w:szCs w:val="24"/>
          <w:lang w:val="en-US" w:eastAsia="zh-CN"/>
        </w:rPr>
        <w:t xml:space="preserve">10 </w:t>
      </w:r>
      <w:r>
        <w:rPr>
          <w:rFonts w:hint="eastAsia"/>
          <w:color w:val="auto"/>
          <w:sz w:val="24"/>
          <w:szCs w:val="24"/>
          <w:lang w:val="en-US" w:eastAsia="zh-CN"/>
        </w:rPr>
        <w:t xml:space="preserve">分钟内到位并立即修复，在最短实际内处理突发性影响，做到小修 </w:t>
      </w:r>
      <w:r>
        <w:rPr>
          <w:rFonts w:hint="default"/>
          <w:color w:val="auto"/>
          <w:sz w:val="24"/>
          <w:szCs w:val="24"/>
          <w:lang w:val="en-US" w:eastAsia="zh-CN"/>
        </w:rPr>
        <w:t xml:space="preserve">12 </w:t>
      </w:r>
      <w:r>
        <w:rPr>
          <w:rFonts w:hint="eastAsia"/>
          <w:color w:val="auto"/>
          <w:sz w:val="24"/>
          <w:szCs w:val="24"/>
          <w:lang w:val="en-US" w:eastAsia="zh-CN"/>
        </w:rPr>
        <w:t xml:space="preserve">小时内完毕，大修要连续修复并安排工程人员 </w:t>
      </w:r>
      <w:r>
        <w:rPr>
          <w:rFonts w:hint="default"/>
          <w:color w:val="auto"/>
          <w:sz w:val="24"/>
          <w:szCs w:val="24"/>
          <w:lang w:val="en-US" w:eastAsia="zh-CN"/>
        </w:rPr>
        <w:t xml:space="preserve">24 </w:t>
      </w:r>
      <w:r>
        <w:rPr>
          <w:rFonts w:hint="eastAsia"/>
          <w:color w:val="auto"/>
          <w:sz w:val="24"/>
          <w:szCs w:val="24"/>
          <w:lang w:val="en-US" w:eastAsia="zh-CN"/>
        </w:rPr>
        <w:t>小时值班，对在时限内不能完成的，要说明原因。</w:t>
      </w:r>
    </w:p>
    <w:p w14:paraId="616D09BB">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消防、智能化要求</w:t>
      </w:r>
    </w:p>
    <w:p w14:paraId="1A01FA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732C5F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对大楼进行</w:t>
      </w:r>
      <w:r>
        <w:rPr>
          <w:rFonts w:hint="default"/>
          <w:color w:val="auto"/>
          <w:sz w:val="24"/>
          <w:szCs w:val="24"/>
          <w:lang w:val="en-US" w:eastAsia="zh-CN"/>
        </w:rPr>
        <w:t>24</w:t>
      </w:r>
      <w:r>
        <w:rPr>
          <w:rFonts w:hint="eastAsia"/>
          <w:color w:val="auto"/>
          <w:sz w:val="24"/>
          <w:szCs w:val="24"/>
          <w:lang w:val="en-US" w:eastAsia="zh-CN"/>
        </w:rPr>
        <w:t>小时消防管理，负责消防、智能化设备的日常巡检，协助专业维保单位做好消防、智能化设备维修及日常保养工作。避免消防安全事故的发生，确保大楼各项功能正常运转。</w:t>
      </w:r>
    </w:p>
    <w:p w14:paraId="33E967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3466DB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）消防管理人员</w:t>
      </w:r>
      <w:r>
        <w:rPr>
          <w:rFonts w:hint="default"/>
          <w:color w:val="auto"/>
          <w:sz w:val="24"/>
          <w:szCs w:val="24"/>
          <w:lang w:val="en-US" w:eastAsia="zh-CN"/>
        </w:rPr>
        <w:t>24</w:t>
      </w:r>
      <w:r>
        <w:rPr>
          <w:rFonts w:hint="eastAsia"/>
          <w:color w:val="auto"/>
          <w:sz w:val="24"/>
          <w:szCs w:val="24"/>
          <w:lang w:val="en-US" w:eastAsia="zh-CN"/>
        </w:rPr>
        <w:t>小时实施消防监控管理。</w:t>
      </w:r>
    </w:p>
    <w:p w14:paraId="28A2D1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）建立消防组织，实施消防安全责任制，完善消防档案。</w:t>
      </w:r>
    </w:p>
    <w:p w14:paraId="76B25C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）加强消防安全教育，及时配合专业维保单位维护保养消防设施，保证消防设备始终处于良好状态，发现火灾事故或隐患，及时处理并上报有关部门。</w:t>
      </w:r>
    </w:p>
    <w:p w14:paraId="2F703E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）做好大楼各项设施设备运行情况的进行日常维护维修，确保大楼安防、照明、监控等系统正常运转。</w:t>
      </w:r>
    </w:p>
    <w:p w14:paraId="229D3F8C">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lang w:val="en-US" w:eastAsia="zh-CN"/>
        </w:rPr>
      </w:pPr>
      <w:r>
        <w:rPr>
          <w:rFonts w:hint="eastAsia" w:ascii="黑体" w:hAnsi="黑体" w:eastAsia="黑体"/>
          <w:b/>
          <w:color w:val="auto"/>
          <w:sz w:val="24"/>
          <w:szCs w:val="24"/>
          <w:lang w:val="en-US" w:eastAsia="zh-CN"/>
        </w:rPr>
        <w:t>其他服务要求</w:t>
      </w:r>
    </w:p>
    <w:p w14:paraId="10401D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、服务内容：</w:t>
      </w:r>
    </w:p>
    <w:p w14:paraId="293FF4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eastAsia"/>
          <w:color w:val="auto"/>
          <w:sz w:val="24"/>
          <w:szCs w:val="24"/>
          <w:lang w:val="en-US" w:eastAsia="zh-CN"/>
        </w:rPr>
        <w:t>为公共场所、公共设备用房等提供清扫、保洁、电力保障等服务，以及采购人临时指定的其他服务等。</w:t>
      </w:r>
    </w:p>
    <w:p w14:paraId="5AA912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、服务标准：</w:t>
      </w:r>
    </w:p>
    <w:p w14:paraId="061FEE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1</w:t>
      </w:r>
      <w:r>
        <w:rPr>
          <w:rFonts w:hint="eastAsia"/>
          <w:color w:val="auto"/>
          <w:sz w:val="24"/>
          <w:szCs w:val="24"/>
          <w:lang w:val="en-US" w:eastAsia="zh-CN"/>
        </w:rPr>
        <w:t>）每天清扫一次，定期进行彻底保洁。</w:t>
      </w:r>
    </w:p>
    <w:p w14:paraId="0D096C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）随时擦拭桌椅、各种会议牌、装饰物、花卉等，要求无灰尘、无污渍，椅罩、沙发罩、布窗帘等要定期洗涤、更换。会前、会后要及时倾到垃圾、矿泉水瓶等。</w:t>
      </w:r>
    </w:p>
    <w:p w14:paraId="47C23D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3</w:t>
      </w:r>
      <w:r>
        <w:rPr>
          <w:rFonts w:hint="eastAsia"/>
          <w:color w:val="auto"/>
          <w:sz w:val="24"/>
          <w:szCs w:val="24"/>
          <w:lang w:val="en-US" w:eastAsia="zh-CN"/>
        </w:rPr>
        <w:t>）门窗和玻璃要随时擦拭，会前要打开门，会后要关闭好门窗，百叶帘要完好无灰尘，做到窗明几净。</w:t>
      </w:r>
    </w:p>
    <w:p w14:paraId="1FE6D9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default"/>
          <w:color w:val="auto"/>
          <w:sz w:val="24"/>
          <w:szCs w:val="24"/>
          <w:lang w:val="en-US" w:eastAsia="zh-CN"/>
        </w:rPr>
      </w:pPr>
      <w:r>
        <w:rPr>
          <w:rFonts w:hint="eastAsia"/>
          <w:color w:val="auto"/>
          <w:sz w:val="24"/>
          <w:szCs w:val="24"/>
          <w:lang w:val="en-US" w:eastAsia="zh-CN"/>
        </w:rPr>
        <w:t>（</w:t>
      </w:r>
      <w:r>
        <w:rPr>
          <w:rFonts w:hint="default"/>
          <w:color w:val="auto"/>
          <w:sz w:val="24"/>
          <w:szCs w:val="24"/>
          <w:lang w:val="en-US" w:eastAsia="zh-CN"/>
        </w:rPr>
        <w:t>4</w:t>
      </w:r>
      <w:r>
        <w:rPr>
          <w:rFonts w:hint="eastAsia"/>
          <w:color w:val="auto"/>
          <w:sz w:val="24"/>
          <w:szCs w:val="24"/>
          <w:lang w:val="en-US" w:eastAsia="zh-CN"/>
        </w:rPr>
        <w:t>）室内物品要排放整齐。</w:t>
      </w:r>
    </w:p>
    <w:p w14:paraId="6DEB64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w:t>
      </w:r>
      <w:r>
        <w:rPr>
          <w:rFonts w:hint="default"/>
          <w:color w:val="auto"/>
          <w:sz w:val="24"/>
          <w:szCs w:val="24"/>
          <w:highlight w:val="none"/>
          <w:lang w:val="en-US" w:eastAsia="zh-CN"/>
        </w:rPr>
        <w:t>5</w:t>
      </w:r>
      <w:r>
        <w:rPr>
          <w:rFonts w:hint="eastAsia"/>
          <w:color w:val="auto"/>
          <w:sz w:val="24"/>
          <w:szCs w:val="24"/>
          <w:highlight w:val="none"/>
          <w:lang w:val="en-US" w:eastAsia="zh-CN"/>
        </w:rPr>
        <w:t>）定期喷洒空气清新剂，保持室内环境整洁、空气清晰。</w:t>
      </w:r>
    </w:p>
    <w:p w14:paraId="7F8649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（6）供应商要按《劳动合同法》的相关规定与所聘用的员工签订劳动合同，执行国家和地方相关劳动法律和政策规定。如发生劳资纠纷，一切责任和后果由成交供应商自负，采购方不承担任何费用。</w:t>
      </w:r>
    </w:p>
    <w:p w14:paraId="16EEB9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（7）服务期内供应商派驻工作人员发生工伤、安全事故的，一切责任和后果由成交供应商自负，采购方不承担任何责任。</w:t>
      </w:r>
    </w:p>
    <w:p w14:paraId="5A1F9F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（8）成交供应商在本项目中不得以使用公益性岗位、劳务派遣人员等一切理由降低服务费用。</w:t>
      </w:r>
    </w:p>
    <w:p w14:paraId="075330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（9）服务期内，成交供应商有严重服务不到位的现象，经查实后根据情结轻重每次对成交供应商予以扣减 500-1000 元服务费的处罚；如超三次，采购单位有权单方面解除服务合同。</w:t>
      </w:r>
    </w:p>
    <w:p w14:paraId="562ABF68">
      <w:pPr>
        <w:keepNext w:val="0"/>
        <w:keepLines w:val="0"/>
        <w:pageBreakBefore w:val="0"/>
        <w:kinsoku/>
        <w:wordWrap/>
        <w:overflowPunct/>
        <w:topLinePunct w:val="0"/>
        <w:autoSpaceDE/>
        <w:autoSpaceDN/>
        <w:bidi w:val="0"/>
        <w:adjustRightInd/>
        <w:spacing w:line="360" w:lineRule="auto"/>
        <w:ind w:firstLine="482" w:firstLineChars="200"/>
        <w:textAlignment w:val="baseline"/>
        <w:rPr>
          <w:rFonts w:hint="eastAsia" w:ascii="黑体" w:hAnsi="黑体" w:eastAsia="黑体"/>
          <w:b/>
          <w:color w:val="auto"/>
          <w:sz w:val="24"/>
          <w:szCs w:val="24"/>
          <w:highlight w:val="none"/>
          <w:lang w:val="en-US" w:eastAsia="zh-CN"/>
        </w:rPr>
      </w:pPr>
      <w:r>
        <w:rPr>
          <w:rFonts w:hint="eastAsia" w:ascii="黑体" w:hAnsi="黑体" w:eastAsia="黑体"/>
          <w:b/>
          <w:color w:val="auto"/>
          <w:sz w:val="24"/>
          <w:szCs w:val="24"/>
          <w:highlight w:val="none"/>
          <w:lang w:val="en-US" w:eastAsia="zh-CN"/>
        </w:rPr>
        <w:t>报价要求</w:t>
      </w:r>
    </w:p>
    <w:p w14:paraId="166774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供应商的报价应包括采购文件中所有的要求，供应商应按采购文件要求的人员需求配置，合理安排人员工作时间和内容。</w:t>
      </w:r>
    </w:p>
    <w:p w14:paraId="55984F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供应商应充分考虑到合同履行期限内可能会产生的一切费用。</w:t>
      </w:r>
    </w:p>
    <w:p w14:paraId="7463094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baseline"/>
        <w:rPr>
          <w:rFonts w:hint="eastAsia"/>
          <w:b/>
          <w:bCs/>
          <w:color w:val="auto"/>
          <w:sz w:val="24"/>
          <w:szCs w:val="24"/>
          <w:highlight w:val="none"/>
          <w:lang w:val="en-US" w:eastAsia="zh-CN"/>
        </w:rPr>
      </w:pPr>
      <w:r>
        <w:rPr>
          <w:rFonts w:hint="eastAsia"/>
          <w:b/>
          <w:bCs/>
          <w:color w:val="auto"/>
          <w:sz w:val="24"/>
          <w:szCs w:val="24"/>
          <w:highlight w:val="none"/>
          <w:lang w:val="en-US" w:eastAsia="zh-CN"/>
        </w:rPr>
        <w:t>注：本次招标物业服务费除本项目所招楼层物业服务外，还应包含（缔盛广场整栋大楼的公摊服务内容，如消防控制室人员、消防维保、消防器材年检、垃圾清运、垃圾处置费、电梯日常维保、电梯大年检或小年检、电梯配件、公共区域维修、二供泵维修、监控维修、水质监测、化粪池清抽等）具体以实际产生费用为准，按照本次所招建筑面积（14852.52平方米）占整栋大楼建筑面积（29261.42平方米）的百分比进行实际结算（具体中标后与大楼总物业双方协商）。其中垃圾清运、垃圾处置费不包含1-3层（便民服务中心）的。</w:t>
      </w:r>
    </w:p>
    <w:p w14:paraId="78B9FA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采购单位在中标人提供保洁服务的的合同期限内，不承担中标价格以外的任何费用</w:t>
      </w:r>
    </w:p>
    <w:p w14:paraId="12C0E3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如供应商报价明显低于其他有效供应商报价,且评审小组认定有可能影响产品质量或者不能诚信履约的，应当要求其在合理的时间内提供书面说明，必要时提交相关证明材料；供应商不能证明其报价合理性的，评审小组应当将其作为无效响应处理。</w:t>
      </w:r>
    </w:p>
    <w:p w14:paraId="4BA3B0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采购单位不承担报价以外的任何费用。</w:t>
      </w:r>
    </w:p>
    <w:p w14:paraId="35515D6D">
      <w:pPr>
        <w:keepNext w:val="0"/>
        <w:keepLines w:val="0"/>
        <w:pageBreakBefore w:val="0"/>
        <w:widowControl/>
        <w:suppressLineNumbers w:val="0"/>
        <w:kinsoku/>
        <w:wordWrap/>
        <w:overflowPunct/>
        <w:topLinePunct w:val="0"/>
        <w:autoSpaceDE/>
        <w:autoSpaceDN/>
        <w:bidi w:val="0"/>
        <w:spacing w:line="360" w:lineRule="auto"/>
        <w:jc w:val="left"/>
      </w:pPr>
      <w:r>
        <w:rPr>
          <w:rFonts w:hint="eastAsia" w:cs="Times New Roman"/>
          <w:b/>
          <w:bCs/>
          <w:color w:val="auto"/>
          <w:sz w:val="24"/>
          <w:szCs w:val="24"/>
          <w:highlight w:val="none"/>
          <w:lang w:val="en-US" w:eastAsia="zh-CN"/>
        </w:rPr>
        <w:t>注：</w:t>
      </w:r>
      <w:r>
        <w:rPr>
          <w:rFonts w:hint="eastAsia" w:ascii="Times New Roman" w:hAnsi="Times New Roman" w:eastAsia="宋体" w:cs="Times New Roman"/>
          <w:b/>
          <w:bCs/>
          <w:color w:val="auto"/>
          <w:sz w:val="24"/>
          <w:szCs w:val="24"/>
          <w:highlight w:val="none"/>
          <w:lang w:val="en-US" w:eastAsia="zh-CN"/>
        </w:rPr>
        <w:t>本项目中小企业划分标准所属行业为：</w:t>
      </w:r>
      <w:r>
        <w:rPr>
          <w:rFonts w:hint="eastAsia" w:ascii="宋体" w:hAnsi="宋体" w:eastAsia="宋体" w:cs="宋体"/>
          <w:b/>
          <w:bCs/>
          <w:color w:val="000000"/>
          <w:kern w:val="0"/>
          <w:sz w:val="24"/>
          <w:szCs w:val="24"/>
          <w:u w:color="000000"/>
          <w:lang w:val="en-US" w:eastAsia="zh-CN" w:bidi="ar"/>
        </w:rPr>
        <w:t>物业管理</w:t>
      </w:r>
    </w:p>
    <w:p w14:paraId="2A779BBC">
      <w:pPr>
        <w:snapToGrid w:val="0"/>
        <w:spacing w:line="380" w:lineRule="exact"/>
        <w:ind w:firstLine="480"/>
        <w:rPr>
          <w:rFonts w:hint="default" w:ascii="Times New Roman" w:hAnsi="Times New Roman" w:eastAsia="宋体" w:cs="Times New Roman"/>
          <w:b/>
          <w:bCs/>
          <w:color w:val="auto"/>
          <w:sz w:val="24"/>
          <w:szCs w:val="24"/>
          <w:highlight w:val="none"/>
          <w:lang w:val="en-US" w:eastAsia="zh-CN"/>
        </w:rPr>
      </w:pPr>
    </w:p>
    <w:p w14:paraId="619A7FEF">
      <w:pPr>
        <w:adjustRightInd w:val="0"/>
        <w:snapToGrid w:val="0"/>
        <w:spacing w:beforeLines="50" w:line="300" w:lineRule="auto"/>
        <w:ind w:firstLine="482" w:firstLineChars="200"/>
        <w:rPr>
          <w:rFonts w:ascii="黑体" w:hAnsi="黑体" w:eastAsia="黑体"/>
          <w:b/>
          <w:color w:val="000000" w:themeColor="text1"/>
          <w:sz w:val="24"/>
          <w:szCs w:val="24"/>
          <w14:textFill>
            <w14:solidFill>
              <w14:schemeClr w14:val="tx1"/>
            </w14:solidFill>
          </w14:textFill>
        </w:rPr>
      </w:pPr>
      <w:r>
        <w:rPr>
          <w:rFonts w:ascii="黑体" w:hAnsi="黑体" w:eastAsia="黑体"/>
          <w:b/>
          <w:color w:val="000000" w:themeColor="text1"/>
          <w:sz w:val="24"/>
          <w:szCs w:val="24"/>
          <w14:textFill>
            <w14:solidFill>
              <w14:schemeClr w14:val="tx1"/>
            </w14:solidFill>
          </w14:textFill>
        </w:rPr>
        <w:t>2.</w:t>
      </w:r>
      <w:r>
        <w:rPr>
          <w:rFonts w:hint="eastAsia" w:ascii="黑体" w:hAnsi="黑体" w:eastAsia="黑体"/>
          <w:b/>
          <w:color w:val="000000" w:themeColor="text1"/>
          <w:sz w:val="24"/>
          <w:szCs w:val="24"/>
          <w14:textFill>
            <w14:solidFill>
              <w14:schemeClr w14:val="tx1"/>
            </w14:solidFill>
          </w14:textFill>
        </w:rPr>
        <w:t>5安</w:t>
      </w:r>
      <w:r>
        <w:rPr>
          <w:rFonts w:ascii="黑体" w:hAnsi="黑体" w:eastAsia="黑体"/>
          <w:b/>
          <w:color w:val="000000" w:themeColor="text1"/>
          <w:sz w:val="24"/>
          <w:szCs w:val="24"/>
          <w14:textFill>
            <w14:solidFill>
              <w14:schemeClr w14:val="tx1"/>
            </w14:solidFill>
          </w14:textFill>
        </w:rPr>
        <w:t>全</w:t>
      </w:r>
    </w:p>
    <w:p w14:paraId="7205680E">
      <w:pPr>
        <w:widowControl w:val="0"/>
        <w:adjustRightInd w:val="0"/>
        <w:snapToGrid w:val="0"/>
        <w:spacing w:beforeLines="50" w:line="300" w:lineRule="auto"/>
        <w:ind w:left="22" w:firstLine="555"/>
        <w:jc w:val="left"/>
        <w:rPr>
          <w:color w:val="auto"/>
          <w:sz w:val="24"/>
          <w:szCs w:val="24"/>
        </w:rPr>
      </w:pPr>
      <w:r>
        <w:rPr>
          <w:rFonts w:hint="eastAsia"/>
          <w:color w:val="000000" w:themeColor="text1"/>
          <w:sz w:val="24"/>
          <w:szCs w:val="24"/>
          <w14:textFill>
            <w14:solidFill>
              <w14:schemeClr w14:val="tx1"/>
            </w14:solidFill>
          </w14:textFill>
        </w:rPr>
        <w:t>响应产品应符合国家、行业的各</w:t>
      </w:r>
      <w:r>
        <w:rPr>
          <w:color w:val="000000" w:themeColor="text1"/>
          <w:sz w:val="24"/>
          <w:szCs w:val="24"/>
          <w14:textFill>
            <w14:solidFill>
              <w14:schemeClr w14:val="tx1"/>
            </w14:solidFill>
          </w14:textFill>
        </w:rPr>
        <w:t>项</w:t>
      </w:r>
      <w:r>
        <w:rPr>
          <w:rFonts w:hint="eastAsia"/>
          <w:color w:val="000000" w:themeColor="text1"/>
          <w:sz w:val="24"/>
          <w:szCs w:val="24"/>
          <w14:textFill>
            <w14:solidFill>
              <w14:schemeClr w14:val="tx1"/>
            </w14:solidFill>
          </w14:textFill>
        </w:rPr>
        <w:t>安全标准，供应商</w:t>
      </w:r>
      <w:r>
        <w:rPr>
          <w:color w:val="000000" w:themeColor="text1"/>
          <w:sz w:val="24"/>
          <w:szCs w:val="24"/>
          <w14:textFill>
            <w14:solidFill>
              <w14:schemeClr w14:val="tx1"/>
            </w14:solidFill>
          </w14:textFill>
        </w:rPr>
        <w:t>对</w:t>
      </w:r>
      <w:r>
        <w:rPr>
          <w:rFonts w:hint="eastAsia"/>
          <w:color w:val="000000" w:themeColor="text1"/>
          <w:sz w:val="24"/>
          <w:szCs w:val="24"/>
          <w14:textFill>
            <w14:solidFill>
              <w14:schemeClr w14:val="tx1"/>
            </w14:solidFill>
          </w14:textFill>
        </w:rPr>
        <w:t>响应产品的</w:t>
      </w:r>
      <w:r>
        <w:rPr>
          <w:color w:val="000000" w:themeColor="text1"/>
          <w:sz w:val="24"/>
          <w:szCs w:val="24"/>
          <w14:textFill>
            <w14:solidFill>
              <w14:schemeClr w14:val="tx1"/>
            </w14:solidFill>
          </w14:textFill>
        </w:rPr>
        <w:t>安全性承担全部责任。</w:t>
      </w:r>
      <w:r>
        <w:rPr>
          <w:rFonts w:hint="eastAsia"/>
          <w:color w:val="000000" w:themeColor="text1"/>
          <w:sz w:val="24"/>
          <w:szCs w:val="24"/>
          <w14:textFill>
            <w14:solidFill>
              <w14:schemeClr w14:val="tx1"/>
            </w14:solidFill>
          </w14:textFill>
        </w:rPr>
        <w:t>生产或销售不符合保障人身、财产安全的国家标准、行业标准的产品，将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14:paraId="3A84F59F">
      <w:pPr>
        <w:widowControl w:val="0"/>
        <w:adjustRightInd w:val="0"/>
        <w:snapToGrid w:val="0"/>
        <w:spacing w:beforeLines="50" w:line="300" w:lineRule="auto"/>
        <w:ind w:left="22" w:firstLine="555"/>
        <w:jc w:val="left"/>
        <w:rPr>
          <w:color w:val="auto"/>
          <w:sz w:val="24"/>
          <w:szCs w:val="24"/>
        </w:rPr>
      </w:pPr>
    </w:p>
    <w:p w14:paraId="6B861019">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响应</w:t>
      </w:r>
      <w:r>
        <w:rPr>
          <w:rFonts w:ascii="黑体" w:hAnsi="黑体" w:eastAsia="黑体"/>
          <w:b/>
          <w:color w:val="auto"/>
          <w:sz w:val="24"/>
          <w:szCs w:val="24"/>
        </w:rPr>
        <w:t>文件</w:t>
      </w:r>
      <w:r>
        <w:rPr>
          <w:rFonts w:hint="eastAsia" w:ascii="黑体" w:hAnsi="黑体" w:eastAsia="黑体"/>
          <w:b/>
          <w:color w:val="auto"/>
          <w:sz w:val="24"/>
          <w:szCs w:val="24"/>
        </w:rPr>
        <w:t>对“基本技术要求”的</w:t>
      </w:r>
      <w:r>
        <w:rPr>
          <w:rFonts w:ascii="黑体" w:hAnsi="黑体" w:eastAsia="黑体"/>
          <w:b/>
          <w:color w:val="auto"/>
          <w:sz w:val="24"/>
          <w:szCs w:val="24"/>
        </w:rPr>
        <w:t>响应</w:t>
      </w:r>
    </w:p>
    <w:p w14:paraId="11766C35">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“基本技术要求”为采购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要求，响应</w:t>
      </w:r>
      <w:r>
        <w:rPr>
          <w:color w:val="auto"/>
          <w:sz w:val="24"/>
          <w:szCs w:val="24"/>
        </w:rPr>
        <w:t>产品应当明确，</w:t>
      </w:r>
      <w:r>
        <w:rPr>
          <w:rFonts w:hint="eastAsia"/>
          <w:color w:val="auto"/>
          <w:sz w:val="24"/>
          <w:szCs w:val="24"/>
        </w:rPr>
        <w:t>响应技术参数应最</w:t>
      </w:r>
      <w:r>
        <w:rPr>
          <w:color w:val="auto"/>
          <w:sz w:val="24"/>
          <w:szCs w:val="24"/>
        </w:rPr>
        <w:t>终指向具体明确的产</w:t>
      </w:r>
      <w:r>
        <w:rPr>
          <w:rFonts w:hint="eastAsia"/>
          <w:color w:val="auto"/>
          <w:sz w:val="24"/>
          <w:szCs w:val="24"/>
        </w:rPr>
        <w:t>品。响应文</w:t>
      </w:r>
      <w:r>
        <w:rPr>
          <w:color w:val="auto"/>
          <w:sz w:val="24"/>
          <w:szCs w:val="24"/>
        </w:rPr>
        <w:t>件</w:t>
      </w:r>
      <w:r>
        <w:rPr>
          <w:rFonts w:hint="eastAsia"/>
          <w:color w:val="auto"/>
          <w:sz w:val="24"/>
          <w:szCs w:val="24"/>
        </w:rPr>
        <w:t>技术参数抄袭</w:t>
      </w:r>
      <w:r>
        <w:rPr>
          <w:rFonts w:hint="eastAsia"/>
          <w:color w:val="auto"/>
          <w:sz w:val="24"/>
          <w:szCs w:val="24"/>
          <w:lang w:eastAsia="zh-CN"/>
        </w:rPr>
        <w:t>谈判</w:t>
      </w:r>
      <w:r>
        <w:rPr>
          <w:rFonts w:hint="eastAsia"/>
          <w:color w:val="auto"/>
          <w:sz w:val="24"/>
          <w:szCs w:val="24"/>
        </w:rPr>
        <w:t>文件“基本技术要求”，响应</w:t>
      </w:r>
      <w:r>
        <w:rPr>
          <w:color w:val="auto"/>
          <w:sz w:val="24"/>
          <w:szCs w:val="24"/>
        </w:rPr>
        <w:t>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与响应</w:t>
      </w:r>
      <w:r>
        <w:rPr>
          <w:color w:val="auto"/>
          <w:sz w:val="24"/>
          <w:szCs w:val="24"/>
        </w:rPr>
        <w:t>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lang w:eastAsia="zh-CN"/>
        </w:rPr>
        <w:t>谈判</w:t>
      </w:r>
      <w:r>
        <w:rPr>
          <w:rFonts w:hint="eastAsia"/>
          <w:color w:val="auto"/>
          <w:sz w:val="24"/>
          <w:szCs w:val="24"/>
        </w:rPr>
        <w:t>小组有权按照实质性判断原则评定其为无效投标。</w:t>
      </w:r>
    </w:p>
    <w:p w14:paraId="00B968C3">
      <w:pPr>
        <w:widowControl w:val="0"/>
        <w:adjustRightInd w:val="0"/>
        <w:snapToGrid w:val="0"/>
        <w:spacing w:beforeLines="50" w:line="300" w:lineRule="auto"/>
        <w:ind w:left="22" w:firstLine="555"/>
        <w:jc w:val="left"/>
        <w:rPr>
          <w:color w:val="auto"/>
          <w:sz w:val="24"/>
          <w:szCs w:val="24"/>
        </w:rPr>
      </w:pPr>
    </w:p>
    <w:p w14:paraId="4192D8D7">
      <w:pPr>
        <w:adjustRightInd w:val="0"/>
        <w:snapToGrid w:val="0"/>
        <w:spacing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14:paraId="3C203E9C">
      <w:pPr>
        <w:spacing w:before="100" w:line="260" w:lineRule="auto"/>
        <w:ind w:left="12" w:right="1" w:firstLine="556"/>
        <w:rPr>
          <w:rFonts w:ascii="宋体" w:hAnsi="宋体" w:eastAsia="宋体" w:cs="宋体"/>
          <w:sz w:val="24"/>
          <w:szCs w:val="24"/>
        </w:rPr>
      </w:pPr>
      <w:r>
        <w:rPr>
          <w:rFonts w:hint="default" w:asciiTheme="minorEastAsia" w:hAnsiTheme="minorEastAsia" w:eastAsiaTheme="minorEastAsia" w:cstheme="minorEastAsia"/>
          <w:b w:val="0"/>
          <w:bCs/>
          <w:sz w:val="24"/>
          <w:szCs w:val="24"/>
          <w:lang w:val="en-US" w:eastAsia="zh-CN"/>
        </w:rPr>
        <w:t>2.7.1 服务所涉货物材料设施的</w:t>
      </w:r>
      <w:r>
        <w:rPr>
          <w:rFonts w:ascii="宋体" w:hAnsi="宋体" w:eastAsia="宋体" w:cs="宋体"/>
          <w:b/>
          <w:bCs/>
          <w:spacing w:val="-5"/>
          <w:sz w:val="24"/>
          <w:szCs w:val="24"/>
        </w:rPr>
        <w:t>不接受负偏差，低于“具体服务（</w:t>
      </w:r>
      <w:r>
        <w:rPr>
          <w:rFonts w:ascii="宋体" w:hAnsi="宋体" w:eastAsia="宋体" w:cs="宋体"/>
          <w:b/>
          <w:bCs/>
          <w:spacing w:val="-6"/>
          <w:sz w:val="24"/>
          <w:szCs w:val="24"/>
        </w:rPr>
        <w:t>技术）要求</w:t>
      </w:r>
      <w:r>
        <w:rPr>
          <w:rFonts w:ascii="宋体" w:hAnsi="宋体" w:eastAsia="宋体" w:cs="宋体"/>
          <w:spacing w:val="-87"/>
          <w:sz w:val="24"/>
          <w:szCs w:val="24"/>
        </w:rPr>
        <w:t xml:space="preserve"> </w:t>
      </w:r>
      <w:r>
        <w:rPr>
          <w:rFonts w:ascii="宋体" w:hAnsi="宋体" w:eastAsia="宋体" w:cs="宋体"/>
          <w:b/>
          <w:bCs/>
          <w:spacing w:val="-6"/>
          <w:sz w:val="24"/>
          <w:szCs w:val="24"/>
        </w:rPr>
        <w:t>”的、</w:t>
      </w:r>
      <w:r>
        <w:rPr>
          <w:rFonts w:ascii="宋体" w:hAnsi="宋体" w:eastAsia="宋体" w:cs="宋体"/>
          <w:sz w:val="24"/>
          <w:szCs w:val="24"/>
        </w:rPr>
        <w:t xml:space="preserve"> </w:t>
      </w:r>
      <w:r>
        <w:rPr>
          <w:rFonts w:ascii="宋体" w:hAnsi="宋体" w:eastAsia="宋体" w:cs="宋体"/>
          <w:b/>
          <w:bCs/>
          <w:spacing w:val="-4"/>
          <w:sz w:val="24"/>
          <w:szCs w:val="24"/>
        </w:rPr>
        <w:t>为无效投标。</w:t>
      </w:r>
    </w:p>
    <w:p w14:paraId="5047EBAD">
      <w:pPr>
        <w:spacing w:before="101" w:line="220" w:lineRule="auto"/>
        <w:ind w:left="569"/>
        <w:rPr>
          <w:rFonts w:ascii="宋体" w:hAnsi="宋体" w:eastAsia="宋体" w:cs="宋体"/>
          <w:sz w:val="24"/>
          <w:szCs w:val="24"/>
        </w:rPr>
      </w:pPr>
      <w:r>
        <w:rPr>
          <w:rFonts w:hint="default" w:asciiTheme="minorEastAsia" w:hAnsiTheme="minorEastAsia" w:eastAsiaTheme="minorEastAsia" w:cstheme="minorEastAsia"/>
          <w:b w:val="0"/>
          <w:bCs/>
          <w:sz w:val="24"/>
          <w:szCs w:val="24"/>
          <w:lang w:val="en-US" w:eastAsia="zh-CN"/>
        </w:rPr>
        <w:t>2.7.2  除服务所涉货物材料设施的</w:t>
      </w:r>
      <w:r>
        <w:rPr>
          <w:rFonts w:ascii="宋体" w:hAnsi="宋体" w:eastAsia="宋体" w:cs="宋体"/>
          <w:b/>
          <w:bCs/>
          <w:spacing w:val="-1"/>
          <w:sz w:val="24"/>
          <w:szCs w:val="24"/>
        </w:rPr>
        <w:t>技术偏离外，其他内容不接受负偏差。</w:t>
      </w:r>
    </w:p>
    <w:p w14:paraId="37D3126A">
      <w:pPr>
        <w:spacing w:before="101" w:line="220" w:lineRule="auto"/>
        <w:ind w:left="569"/>
        <w:rPr>
          <w:rFonts w:hint="default" w:asciiTheme="minorEastAsia" w:hAnsiTheme="minorEastAsia" w:eastAsiaTheme="minorEastAsia" w:cstheme="minorEastAsia"/>
          <w:b w:val="0"/>
          <w:bCs/>
          <w:sz w:val="24"/>
          <w:szCs w:val="24"/>
          <w:lang w:val="en-US" w:eastAsia="zh-CN"/>
        </w:rPr>
      </w:pPr>
      <w:r>
        <w:rPr>
          <w:rFonts w:hint="default" w:asciiTheme="minorEastAsia" w:hAnsiTheme="minorEastAsia" w:eastAsiaTheme="minorEastAsia" w:cstheme="minorEastAsia"/>
          <w:b w:val="0"/>
          <w:bCs/>
          <w:sz w:val="24"/>
          <w:szCs w:val="24"/>
          <w:lang w:val="en-US" w:eastAsia="zh-CN"/>
        </w:rPr>
        <w:t>2.7.3  投标文件对技术偏差的描述要求：见第三章投标人须知 3.7.3 项。</w:t>
      </w:r>
    </w:p>
    <w:p w14:paraId="5E75F2CA">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lang w:val="en-US" w:eastAsia="zh-CN"/>
        </w:rPr>
        <w:t>8</w:t>
      </w:r>
      <w:r>
        <w:rPr>
          <w:rFonts w:hint="eastAsia" w:ascii="黑体" w:hAnsi="黑体" w:eastAsia="黑体"/>
          <w:b/>
          <w:color w:val="auto"/>
          <w:sz w:val="24"/>
          <w:szCs w:val="24"/>
        </w:rPr>
        <w:t>采购标的的验收标准</w:t>
      </w:r>
    </w:p>
    <w:p w14:paraId="1C0C572C">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投标人须知”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14:paraId="59ACF7DF">
      <w:pPr>
        <w:adjustRightInd w:val="0"/>
        <w:snapToGrid w:val="0"/>
        <w:spacing w:line="300" w:lineRule="auto"/>
        <w:ind w:firstLine="566" w:firstLineChars="235"/>
        <w:jc w:val="left"/>
        <w:rPr>
          <w:rFonts w:ascii="黑体" w:hAnsi="黑体" w:eastAsia="黑体"/>
          <w:b/>
          <w:color w:val="auto"/>
          <w:sz w:val="24"/>
          <w:szCs w:val="24"/>
        </w:rPr>
      </w:pPr>
    </w:p>
    <w:p w14:paraId="49E15F03">
      <w:pPr>
        <w:adjustRightInd w:val="0"/>
        <w:snapToGrid w:val="0"/>
        <w:spacing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lang w:val="en-US" w:eastAsia="zh-CN"/>
        </w:rPr>
        <w:t>9</w:t>
      </w:r>
      <w:r>
        <w:rPr>
          <w:rFonts w:hint="eastAsia" w:ascii="黑体" w:hAnsi="黑体" w:eastAsia="黑体"/>
          <w:b/>
          <w:color w:val="auto"/>
          <w:sz w:val="24"/>
          <w:szCs w:val="24"/>
        </w:rPr>
        <w:t>采购标的的其他技术、服务等要求</w:t>
      </w:r>
    </w:p>
    <w:p w14:paraId="50A8644B">
      <w:pPr>
        <w:adjustRightInd w:val="0"/>
        <w:snapToGrid w:val="0"/>
        <w:spacing w:line="300" w:lineRule="auto"/>
        <w:ind w:firstLine="564" w:firstLineChars="235"/>
        <w:jc w:val="left"/>
        <w:rPr>
          <w:rFonts w:hint="eastAsia" w:ascii="宋体" w:hAnsi="宋体" w:eastAsia="宋体" w:cs="楷体_GB2312"/>
          <w:color w:val="auto"/>
          <w:sz w:val="24"/>
          <w:lang w:val="zh-CN"/>
        </w:rPr>
      </w:pPr>
      <w:r>
        <w:rPr>
          <w:rFonts w:hint="eastAsia" w:ascii="宋体" w:hAnsi="宋体" w:eastAsia="宋体" w:cs="楷体_GB2312"/>
          <w:color w:val="auto"/>
          <w:sz w:val="24"/>
          <w:lang w:val="zh-CN"/>
        </w:rPr>
        <w:t>无</w:t>
      </w:r>
    </w:p>
    <w:p w14:paraId="432B7FAA">
      <w:pPr>
        <w:adjustRightInd w:val="0"/>
        <w:snapToGrid w:val="0"/>
        <w:spacing w:beforeLines="50" w:line="300" w:lineRule="auto"/>
        <w:ind w:firstLine="562" w:firstLineChars="200"/>
        <w:outlineLvl w:val="1"/>
        <w:rPr>
          <w:rFonts w:ascii="黑体" w:hAnsi="黑体" w:eastAsia="黑体"/>
          <w:b/>
          <w:color w:val="auto"/>
          <w:sz w:val="28"/>
        </w:rPr>
      </w:pPr>
      <w:bookmarkStart w:id="9" w:name="_Toc76224312"/>
      <w:bookmarkStart w:id="10" w:name="_Toc65574702"/>
      <w:bookmarkStart w:id="11" w:name="_Toc106792505"/>
      <w:r>
        <w:rPr>
          <w:rFonts w:ascii="黑体" w:hAnsi="黑体" w:eastAsia="黑体"/>
          <w:b/>
          <w:color w:val="auto"/>
          <w:sz w:val="28"/>
        </w:rPr>
        <w:t xml:space="preserve">3. </w:t>
      </w:r>
      <w:r>
        <w:rPr>
          <w:rFonts w:hint="eastAsia" w:ascii="黑体" w:hAnsi="黑体" w:eastAsia="黑体"/>
          <w:b/>
          <w:color w:val="auto"/>
          <w:sz w:val="28"/>
        </w:rPr>
        <w:t>项目其他要求</w:t>
      </w:r>
      <w:bookmarkEnd w:id="9"/>
      <w:bookmarkEnd w:id="10"/>
      <w:bookmarkEnd w:id="11"/>
    </w:p>
    <w:p w14:paraId="76A0156F">
      <w:pPr>
        <w:adjustRightInd w:val="0"/>
        <w:snapToGrid w:val="0"/>
        <w:spacing w:beforeLines="50" w:line="300" w:lineRule="auto"/>
        <w:ind w:firstLine="480" w:firstLineChars="200"/>
        <w:rPr>
          <w:rFonts w:eastAsia="黑体"/>
          <w:b/>
          <w:color w:val="auto"/>
          <w:spacing w:val="36"/>
          <w:sz w:val="36"/>
          <w:szCs w:val="36"/>
        </w:rPr>
      </w:pPr>
      <w:r>
        <w:rPr>
          <w:rFonts w:hint="eastAsia" w:ascii="宋体" w:hAnsi="宋体" w:eastAsia="宋体" w:cs="楷体_GB2312"/>
          <w:color w:val="auto"/>
          <w:sz w:val="24"/>
          <w:lang w:val="zh-CN"/>
        </w:rPr>
        <w:t>无</w:t>
      </w:r>
      <w:r>
        <w:rPr>
          <w:rFonts w:eastAsia="黑体"/>
          <w:b/>
          <w:color w:val="auto"/>
          <w:spacing w:val="36"/>
          <w:sz w:val="36"/>
          <w:szCs w:val="36"/>
        </w:rPr>
        <w:br w:type="page"/>
      </w:r>
    </w:p>
    <w:p w14:paraId="0C31406B">
      <w:pPr>
        <w:spacing w:line="360" w:lineRule="auto"/>
        <w:ind w:right="238"/>
        <w:jc w:val="center"/>
        <w:outlineLvl w:val="0"/>
        <w:rPr>
          <w:rFonts w:eastAsia="黑体"/>
          <w:b/>
          <w:color w:val="auto"/>
          <w:sz w:val="36"/>
          <w:szCs w:val="36"/>
        </w:rPr>
      </w:pPr>
      <w:bookmarkStart w:id="12" w:name="_Toc106792506"/>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供应商须知</w:t>
      </w:r>
      <w:bookmarkEnd w:id="12"/>
    </w:p>
    <w:p w14:paraId="3B0F30C7">
      <w:pPr>
        <w:spacing w:line="360" w:lineRule="auto"/>
        <w:ind w:right="238"/>
        <w:jc w:val="left"/>
        <w:outlineLvl w:val="1"/>
        <w:rPr>
          <w:rFonts w:eastAsia="黑体"/>
          <w:b/>
          <w:color w:val="auto"/>
          <w:sz w:val="28"/>
          <w:szCs w:val="28"/>
        </w:rPr>
      </w:pPr>
      <w:bookmarkStart w:id="13" w:name="_Toc106792507"/>
      <w:r>
        <w:rPr>
          <w:rFonts w:hint="eastAsia" w:eastAsia="黑体"/>
          <w:b/>
          <w:color w:val="auto"/>
          <w:sz w:val="28"/>
          <w:szCs w:val="28"/>
        </w:rPr>
        <w:t>供应商须知前附表</w:t>
      </w:r>
      <w:bookmarkEnd w:id="13"/>
    </w:p>
    <w:tbl>
      <w:tblPr>
        <w:tblStyle w:val="22"/>
        <w:tblW w:w="9753" w:type="dxa"/>
        <w:jc w:val="center"/>
        <w:tblLayout w:type="fixed"/>
        <w:tblCellMar>
          <w:top w:w="0" w:type="dxa"/>
          <w:left w:w="108" w:type="dxa"/>
          <w:bottom w:w="0" w:type="dxa"/>
          <w:right w:w="108" w:type="dxa"/>
        </w:tblCellMar>
      </w:tblPr>
      <w:tblGrid>
        <w:gridCol w:w="508"/>
        <w:gridCol w:w="699"/>
        <w:gridCol w:w="1893"/>
        <w:gridCol w:w="6653"/>
      </w:tblGrid>
      <w:tr w14:paraId="367C60BF">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10623903">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7C15EC65">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42B31497">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22091D8B">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7F63AB4F">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6E05B8ED">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5DD7C379">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14:paraId="65CE17A6">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0A981353">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14:paraId="6CBB227A">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2ACF7796">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476EF7D">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14:paraId="7B6067F9">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68B16B47">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14:paraId="68C5FCCE">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29017D16">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9F32C54">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3" w:type="dxa"/>
            <w:tcBorders>
              <w:top w:val="single" w:color="auto" w:sz="6" w:space="0"/>
              <w:left w:val="single" w:color="auto" w:sz="6" w:space="0"/>
              <w:bottom w:val="single" w:color="auto" w:sz="6" w:space="0"/>
              <w:right w:val="single" w:color="auto" w:sz="6" w:space="0"/>
            </w:tcBorders>
            <w:vAlign w:val="center"/>
          </w:tcPr>
          <w:p w14:paraId="2BA3BED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649054AF">
            <w:pPr>
              <w:autoSpaceDE w:val="0"/>
              <w:autoSpaceDN w:val="0"/>
              <w:adjustRightInd w:val="0"/>
              <w:snapToGrid w:val="0"/>
              <w:spacing w:beforeLines="50" w:line="240" w:lineRule="auto"/>
              <w:rPr>
                <w:rFonts w:hint="eastAsia" w:ascii="宋体" w:eastAsia="宋体" w:cs="楷体_GB2312"/>
                <w:color w:val="auto"/>
                <w:sz w:val="24"/>
                <w:lang w:val="zh-CN" w:eastAsia="zh-CN"/>
              </w:rPr>
            </w:pPr>
            <w:r>
              <w:rPr>
                <w:rFonts w:hint="eastAsia"/>
                <w:color w:val="auto"/>
                <w:sz w:val="24"/>
                <w:szCs w:val="24"/>
              </w:rPr>
              <w:t>竞争性</w:t>
            </w:r>
            <w:r>
              <w:rPr>
                <w:rFonts w:hint="eastAsia"/>
                <w:color w:val="auto"/>
                <w:sz w:val="24"/>
                <w:szCs w:val="24"/>
                <w:lang w:eastAsia="zh-CN"/>
              </w:rPr>
              <w:t>谈判</w:t>
            </w:r>
          </w:p>
        </w:tc>
      </w:tr>
      <w:tr w14:paraId="0D8EF3CA">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vAlign w:val="center"/>
          </w:tcPr>
          <w:p w14:paraId="2BE753B6">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0A0A4CA">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0AB1AC4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70EE1BBD">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r>
              <w:rPr>
                <w:rFonts w:hint="eastAsia" w:ascii="宋体" w:hAnsi="宋体" w:cs="楷体_GB2312"/>
                <w:b/>
                <w:color w:val="auto"/>
                <w:sz w:val="24"/>
                <w:lang w:val="zh-CN"/>
              </w:rPr>
              <w:t>注：供应商的谈判报价未超过</w:t>
            </w:r>
            <w:r>
              <w:rPr>
                <w:rFonts w:hint="eastAsia" w:ascii="宋体" w:hAnsi="宋体" w:cs="楷体_GB2312"/>
                <w:b/>
                <w:bCs/>
                <w:color w:val="auto"/>
                <w:sz w:val="24"/>
                <w:lang w:val="zh-CN"/>
              </w:rPr>
              <w:t>预算金额</w:t>
            </w:r>
            <w:r>
              <w:rPr>
                <w:rFonts w:hint="eastAsia" w:ascii="宋体" w:hAnsi="宋体" w:cs="楷体_GB2312"/>
                <w:b/>
                <w:color w:val="auto"/>
                <w:sz w:val="24"/>
                <w:lang w:val="zh-CN"/>
              </w:rPr>
              <w:t>的不足三家时，该项目（标段&lt;包&gt;）终止。</w:t>
            </w:r>
          </w:p>
        </w:tc>
      </w:tr>
      <w:tr w14:paraId="6BBA8D9D">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6FEF0614">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225E1F4">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72B7F33C">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2AB5981B">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14:paraId="4E2896F6">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2EAE44BD">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4EBBAD5">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170253CD">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6584B897">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14:paraId="19A393A7">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vAlign w:val="center"/>
          </w:tcPr>
          <w:p w14:paraId="0D4FF1ED">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28EC05E">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72476BF2">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041F7424">
            <w:pPr>
              <w:autoSpaceDE w:val="0"/>
              <w:autoSpaceDN w:val="0"/>
              <w:adjustRightInd w:val="0"/>
              <w:snapToGrid w:val="0"/>
              <w:spacing w:beforeLines="50" w:line="240" w:lineRule="auto"/>
              <w:rPr>
                <w:color w:val="auto"/>
                <w:sz w:val="24"/>
                <w:szCs w:val="24"/>
              </w:rPr>
            </w:pPr>
            <w:r>
              <w:rPr>
                <w:rFonts w:hint="eastAsia"/>
                <w:color w:val="auto"/>
                <w:sz w:val="24"/>
                <w:szCs w:val="24"/>
              </w:rPr>
              <w:t>见“第一章竞争性</w:t>
            </w:r>
            <w:r>
              <w:rPr>
                <w:rFonts w:hint="eastAsia"/>
                <w:color w:val="auto"/>
                <w:sz w:val="24"/>
                <w:szCs w:val="24"/>
                <w:lang w:eastAsia="zh-CN"/>
              </w:rPr>
              <w:t>谈判</w:t>
            </w:r>
            <w:r>
              <w:rPr>
                <w:rFonts w:hint="eastAsia"/>
                <w:color w:val="auto"/>
                <w:sz w:val="24"/>
                <w:szCs w:val="24"/>
              </w:rPr>
              <w:t>公告”相应条款</w:t>
            </w:r>
          </w:p>
        </w:tc>
      </w:tr>
      <w:tr w14:paraId="121A6DF6">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043C089E">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6DDE45F8">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489EEC8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0CDAA779">
            <w:pPr>
              <w:autoSpaceDE w:val="0"/>
              <w:autoSpaceDN w:val="0"/>
              <w:adjustRightInd w:val="0"/>
              <w:snapToGrid w:val="0"/>
              <w:spacing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14:paraId="0F2382B6">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2E856B06">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96A48DE">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185CE60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交验</w:t>
            </w:r>
            <w:r>
              <w:rPr>
                <w:rFonts w:hint="eastAsia" w:ascii="宋体" w:hAnsi="宋体" w:cs="楷体_GB2312"/>
                <w:b/>
                <w:bCs/>
                <w:color w:val="auto"/>
                <w:sz w:val="24"/>
                <w:lang w:val="zh-CN"/>
              </w:rPr>
              <w:t>期</w:t>
            </w:r>
          </w:p>
        </w:tc>
        <w:tc>
          <w:tcPr>
            <w:tcW w:w="6653" w:type="dxa"/>
            <w:tcBorders>
              <w:top w:val="single" w:color="auto" w:sz="6" w:space="0"/>
              <w:left w:val="single" w:color="auto" w:sz="6" w:space="0"/>
              <w:bottom w:val="single" w:color="auto" w:sz="6" w:space="0"/>
              <w:right w:val="single" w:color="auto" w:sz="12" w:space="0"/>
            </w:tcBorders>
            <w:vAlign w:val="center"/>
          </w:tcPr>
          <w:p w14:paraId="02F590B1">
            <w:pPr>
              <w:autoSpaceDE w:val="0"/>
              <w:autoSpaceDN w:val="0"/>
              <w:adjustRightInd w:val="0"/>
              <w:snapToGrid w:val="0"/>
              <w:spacing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14:paraId="1CE90857">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5483AFE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5B9DAF4">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632203F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653" w:type="dxa"/>
            <w:tcBorders>
              <w:top w:val="single" w:color="auto" w:sz="6" w:space="0"/>
              <w:left w:val="single" w:color="auto" w:sz="6" w:space="0"/>
              <w:bottom w:val="single" w:color="auto" w:sz="6" w:space="0"/>
              <w:right w:val="single" w:color="auto" w:sz="12" w:space="0"/>
            </w:tcBorders>
            <w:vAlign w:val="center"/>
          </w:tcPr>
          <w:p w14:paraId="32020C94">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04C48C8E">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3B3433DC">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47EA2D9">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323A08A7">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lang w:eastAsia="zh-CN"/>
              </w:rPr>
              <w:t>谈判</w:t>
            </w:r>
            <w:r>
              <w:rPr>
                <w:rFonts w:hint="eastAsia" w:ascii="宋体" w:hAnsi="宋体"/>
                <w:b/>
                <w:color w:val="auto"/>
                <w:sz w:val="24"/>
                <w:szCs w:val="24"/>
              </w:rPr>
              <w:t>报价</w:t>
            </w:r>
          </w:p>
        </w:tc>
        <w:tc>
          <w:tcPr>
            <w:tcW w:w="6653" w:type="dxa"/>
            <w:tcBorders>
              <w:top w:val="single" w:color="auto" w:sz="6" w:space="0"/>
              <w:left w:val="single" w:color="auto" w:sz="6" w:space="0"/>
              <w:bottom w:val="single" w:color="auto" w:sz="6" w:space="0"/>
              <w:right w:val="single" w:color="auto" w:sz="12" w:space="0"/>
            </w:tcBorders>
            <w:vAlign w:val="center"/>
          </w:tcPr>
          <w:p w14:paraId="6C04EF0B">
            <w:pPr>
              <w:autoSpaceDE w:val="0"/>
              <w:autoSpaceDN w:val="0"/>
              <w:adjustRightInd w:val="0"/>
              <w:snapToGrid w:val="0"/>
              <w:spacing w:beforeLines="50" w:line="240" w:lineRule="auto"/>
              <w:rPr>
                <w:color w:val="auto"/>
                <w:sz w:val="24"/>
                <w:szCs w:val="24"/>
              </w:rPr>
            </w:pPr>
            <w:r>
              <w:rPr>
                <w:rFonts w:hint="eastAsia"/>
                <w:color w:val="auto"/>
                <w:sz w:val="24"/>
                <w:szCs w:val="24"/>
              </w:rPr>
              <w:t>见“第二章采购项目及技术服务要求”相应条款</w:t>
            </w:r>
          </w:p>
        </w:tc>
      </w:tr>
      <w:tr w14:paraId="1B2A79AC">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vAlign w:val="center"/>
          </w:tcPr>
          <w:p w14:paraId="746CA3F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6AB86AA">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192DCCB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653" w:type="dxa"/>
            <w:tcBorders>
              <w:top w:val="single" w:color="auto" w:sz="6" w:space="0"/>
              <w:left w:val="single" w:color="auto" w:sz="6" w:space="0"/>
              <w:bottom w:val="single" w:color="auto" w:sz="6" w:space="0"/>
              <w:right w:val="single" w:color="auto" w:sz="12" w:space="0"/>
            </w:tcBorders>
            <w:vAlign w:val="center"/>
          </w:tcPr>
          <w:p w14:paraId="5ACB0E85">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7F9C1A10">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vAlign w:val="center"/>
          </w:tcPr>
          <w:p w14:paraId="081CBEBE">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95EE702">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1893" w:type="dxa"/>
            <w:tcBorders>
              <w:top w:val="single" w:color="auto" w:sz="6" w:space="0"/>
              <w:left w:val="single" w:color="auto" w:sz="6" w:space="0"/>
              <w:bottom w:val="single" w:color="auto" w:sz="6" w:space="0"/>
              <w:right w:val="single" w:color="auto" w:sz="6" w:space="0"/>
            </w:tcBorders>
            <w:vAlign w:val="center"/>
          </w:tcPr>
          <w:p w14:paraId="22C86E9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653" w:type="dxa"/>
            <w:tcBorders>
              <w:top w:val="single" w:color="auto" w:sz="6" w:space="0"/>
              <w:left w:val="single" w:color="auto" w:sz="6" w:space="0"/>
              <w:bottom w:val="single" w:color="auto" w:sz="6" w:space="0"/>
              <w:right w:val="single" w:color="auto" w:sz="12" w:space="0"/>
            </w:tcBorders>
            <w:vAlign w:val="center"/>
          </w:tcPr>
          <w:p w14:paraId="65928338">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0294573A">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vAlign w:val="center"/>
          </w:tcPr>
          <w:p w14:paraId="120363A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24E640F3">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3153DC4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506264AA">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14:paraId="759EC9AB">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6B7B80BB">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DF87F7B">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93" w:type="dxa"/>
            <w:tcBorders>
              <w:top w:val="single" w:color="auto" w:sz="6" w:space="0"/>
              <w:left w:val="single" w:color="auto" w:sz="6" w:space="0"/>
              <w:bottom w:val="single" w:color="auto" w:sz="6" w:space="0"/>
              <w:right w:val="single" w:color="auto" w:sz="6" w:space="0"/>
            </w:tcBorders>
            <w:vAlign w:val="center"/>
          </w:tcPr>
          <w:p w14:paraId="04BBC7D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63C5F3E0">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14:paraId="525376BB">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0B58522E">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BD5CC6D">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14:paraId="6AB471EE">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4699C493">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0953F64E">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49091A97">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3E580A4">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14:paraId="1C9571B9">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1ABBB419">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14:paraId="45477E44">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1C4AB25C">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7FA799E">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3" w:type="dxa"/>
            <w:tcBorders>
              <w:top w:val="single" w:color="auto" w:sz="6" w:space="0"/>
              <w:left w:val="single" w:color="auto" w:sz="6" w:space="0"/>
              <w:bottom w:val="single" w:color="auto" w:sz="6" w:space="0"/>
              <w:right w:val="single" w:color="auto" w:sz="6" w:space="0"/>
            </w:tcBorders>
            <w:vAlign w:val="center"/>
          </w:tcPr>
          <w:p w14:paraId="76F8883D">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lang w:val="zh-CN"/>
              </w:rPr>
              <w:t>构成《谈判文件》的其他材料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34FF234A">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7BD896AF">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vAlign w:val="center"/>
          </w:tcPr>
          <w:p w14:paraId="7CA1CDA1">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989544A">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r>
              <w:rPr>
                <w:rFonts w:hint="eastAsia" w:ascii="宋体" w:hAnsi="宋体" w:cs="楷体_GB2312"/>
                <w:b/>
                <w:bCs/>
                <w:color w:val="auto"/>
                <w:szCs w:val="21"/>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015D22E7">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651765B5">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14:paraId="5961D976">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vAlign w:val="center"/>
          </w:tcPr>
          <w:p w14:paraId="52EFC03D">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9AEE7D5">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lang w:val="zh-CN"/>
              </w:rPr>
              <w:t>2.3</w:t>
            </w:r>
          </w:p>
        </w:tc>
        <w:tc>
          <w:tcPr>
            <w:tcW w:w="1893" w:type="dxa"/>
            <w:tcBorders>
              <w:top w:val="single" w:color="auto" w:sz="6" w:space="0"/>
              <w:left w:val="single" w:color="auto" w:sz="6" w:space="0"/>
              <w:bottom w:val="single" w:color="auto" w:sz="6" w:space="0"/>
              <w:right w:val="single" w:color="auto" w:sz="6" w:space="0"/>
            </w:tcBorders>
            <w:vAlign w:val="center"/>
          </w:tcPr>
          <w:p w14:paraId="72B75475">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《谈判文件》澄清修改补充时间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0ABBDA1D">
            <w:pPr>
              <w:autoSpaceDE w:val="0"/>
              <w:autoSpaceDN w:val="0"/>
              <w:adjustRightInd w:val="0"/>
              <w:snapToGrid w:val="0"/>
              <w:spacing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hint="eastAsia" w:ascii="宋体" w:hAnsi="宋体" w:cs="楷体_GB2312"/>
                <w:color w:val="auto"/>
                <w:sz w:val="24"/>
                <w:lang w:val="en-US" w:eastAsia="zh-CN"/>
              </w:rPr>
              <w:t>3个工作日</w:t>
            </w:r>
            <w:r>
              <w:rPr>
                <w:rFonts w:hint="eastAsia" w:ascii="宋体" w:hAnsi="宋体" w:cs="楷体_GB2312"/>
                <w:color w:val="auto"/>
                <w:sz w:val="24"/>
                <w:lang w:val="zh-CN"/>
              </w:rPr>
              <w:t>前</w:t>
            </w:r>
          </w:p>
        </w:tc>
      </w:tr>
      <w:tr w14:paraId="78A987D7">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vAlign w:val="center"/>
          </w:tcPr>
          <w:p w14:paraId="61DD447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B93AC17">
            <w:pPr>
              <w:autoSpaceDE w:val="0"/>
              <w:autoSpaceDN w:val="0"/>
              <w:adjustRightInd w:val="0"/>
              <w:snapToGrid w:val="0"/>
              <w:spacing w:line="240" w:lineRule="auto"/>
              <w:ind w:right="-88" w:rightChars="-42"/>
              <w:rPr>
                <w:rFonts w:ascii="宋体" w:cs="楷体_GB2312"/>
                <w:b/>
                <w:bCs/>
                <w:color w:val="auto"/>
                <w:szCs w:val="21"/>
              </w:rPr>
            </w:pPr>
            <w:r>
              <w:rPr>
                <w:rFonts w:ascii="宋体" w:hAnsi="宋体" w:cs="楷体_GB2312"/>
                <w:b/>
                <w:bCs/>
                <w:color w:val="auto"/>
                <w:szCs w:val="21"/>
                <w:lang w:val="zh-CN"/>
              </w:rPr>
              <w:t>2.</w:t>
            </w:r>
            <w:r>
              <w:rPr>
                <w:rFonts w:hint="eastAsia" w:ascii="宋体" w:hAnsi="宋体" w:cs="楷体_GB2312"/>
                <w:b/>
                <w:bCs/>
                <w:color w:val="auto"/>
                <w:szCs w:val="21"/>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36661874">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w:t>
            </w:r>
            <w:r>
              <w:rPr>
                <w:rFonts w:hint="eastAsia" w:ascii="宋体" w:hAnsi="宋体" w:cs="楷体_GB2312"/>
                <w:b/>
                <w:bCs/>
                <w:color w:val="auto"/>
                <w:sz w:val="24"/>
                <w:lang w:eastAsia="zh-CN"/>
              </w:rPr>
              <w:t>谈判</w:t>
            </w:r>
            <w:r>
              <w:rPr>
                <w:rFonts w:hint="eastAsia" w:ascii="宋体" w:hAnsi="宋体" w:cs="楷体_GB2312"/>
                <w:b/>
                <w:bCs/>
                <w:color w:val="auto"/>
                <w:sz w:val="24"/>
              </w:rPr>
              <w:t>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31CC193B">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607FB73E">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vAlign w:val="center"/>
          </w:tcPr>
          <w:p w14:paraId="05E5FFEE">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12A22FF">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0129E70E">
            <w:pPr>
              <w:autoSpaceDE w:val="0"/>
              <w:autoSpaceDN w:val="0"/>
              <w:adjustRightInd w:val="0"/>
              <w:snapToGrid w:val="0"/>
              <w:spacing w:line="240" w:lineRule="auto"/>
              <w:jc w:val="center"/>
              <w:rPr>
                <w:rFonts w:ascii="宋体" w:hAnsi="宋体" w:cs="楷体_GB2312"/>
                <w:b/>
                <w:bCs/>
                <w:color w:val="auto"/>
                <w:sz w:val="24"/>
              </w:rPr>
            </w:pPr>
            <w:r>
              <w:rPr>
                <w:rFonts w:hint="eastAsia" w:ascii="宋体" w:hAnsi="宋体" w:cs="楷体_GB2312"/>
                <w:b/>
                <w:bCs/>
                <w:color w:val="auto"/>
                <w:sz w:val="24"/>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3DE114DA">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6C2473AE">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vAlign w:val="center"/>
          </w:tcPr>
          <w:p w14:paraId="398F1D3B">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5CAA3C1F">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45B2508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0702BED6">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从《响应文件》开启之日起，响应有效期为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68B8C96A">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vAlign w:val="center"/>
          </w:tcPr>
          <w:p w14:paraId="5F077627">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right w:val="single" w:color="auto" w:sz="6" w:space="0"/>
            </w:tcBorders>
            <w:vAlign w:val="center"/>
          </w:tcPr>
          <w:p w14:paraId="3884984E">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93" w:type="dxa"/>
            <w:tcBorders>
              <w:top w:val="single" w:color="auto" w:sz="6" w:space="0"/>
              <w:left w:val="single" w:color="auto" w:sz="6" w:space="0"/>
              <w:right w:val="single" w:color="auto" w:sz="6" w:space="0"/>
            </w:tcBorders>
            <w:vAlign w:val="center"/>
          </w:tcPr>
          <w:p w14:paraId="1676956B">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投标承诺函（替代投标保证金）</w:t>
            </w:r>
          </w:p>
        </w:tc>
        <w:tc>
          <w:tcPr>
            <w:tcW w:w="6653" w:type="dxa"/>
            <w:tcBorders>
              <w:top w:val="single" w:color="auto" w:sz="6" w:space="0"/>
              <w:left w:val="single" w:color="auto" w:sz="6" w:space="0"/>
              <w:right w:val="single" w:color="auto" w:sz="12" w:space="0"/>
            </w:tcBorders>
            <w:vAlign w:val="center"/>
          </w:tcPr>
          <w:p w14:paraId="265FBCE6">
            <w:pPr>
              <w:adjustRightInd w:val="0"/>
              <w:snapToGrid w:val="0"/>
              <w:spacing w:beforeLines="50" w:line="240" w:lineRule="auto"/>
              <w:rPr>
                <w:rFonts w:ascii="宋体" w:hAnsi="宋体"/>
                <w:color w:val="auto"/>
                <w:sz w:val="24"/>
              </w:rPr>
            </w:pPr>
            <w:r>
              <w:rPr>
                <w:rFonts w:hint="eastAsia" w:ascii="宋体" w:hAnsi="宋体"/>
                <w:color w:val="auto"/>
                <w:sz w:val="24"/>
              </w:rPr>
              <w:t>以投标承诺函形式替代投标保证金。</w:t>
            </w:r>
          </w:p>
          <w:p w14:paraId="727AF6E8">
            <w:pPr>
              <w:adjustRightInd w:val="0"/>
              <w:snapToGrid w:val="0"/>
              <w:spacing w:beforeLines="50" w:line="240" w:lineRule="auto"/>
              <w:rPr>
                <w:color w:val="auto"/>
                <w:sz w:val="24"/>
                <w:szCs w:val="24"/>
              </w:rPr>
            </w:pPr>
            <w:r>
              <w:rPr>
                <w:rFonts w:hint="eastAsia" w:ascii="宋体" w:hAnsi="宋体"/>
                <w:color w:val="auto"/>
                <w:sz w:val="24"/>
              </w:rPr>
              <w:t>供应商应按附件格式进行投标承诺、违背承诺的责任追究。</w:t>
            </w:r>
          </w:p>
        </w:tc>
      </w:tr>
      <w:tr w14:paraId="2AD5234B">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vAlign w:val="center"/>
          </w:tcPr>
          <w:p w14:paraId="1CF42C11">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42E3A28F">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723C5DF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41B1BB5B">
            <w:pPr>
              <w:widowControl w:val="0"/>
              <w:snapToGrid w:val="0"/>
              <w:spacing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5D81617F">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vAlign w:val="center"/>
          </w:tcPr>
          <w:p w14:paraId="439FDD25">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A3F6187">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0F4A267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30B248BD">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7519EB4A">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vAlign w:val="center"/>
          </w:tcPr>
          <w:p w14:paraId="012333DA">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FA5E687">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237BE76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315FF091">
            <w:pPr>
              <w:autoSpaceDE w:val="0"/>
              <w:autoSpaceDN w:val="0"/>
              <w:adjustRightInd w:val="0"/>
              <w:snapToGrid w:val="0"/>
              <w:spacing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14:paraId="331C2C95">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vAlign w:val="center"/>
          </w:tcPr>
          <w:p w14:paraId="088695BC">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52DBB3B">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93" w:type="dxa"/>
            <w:tcBorders>
              <w:top w:val="single" w:color="auto" w:sz="6" w:space="0"/>
              <w:left w:val="single" w:color="auto" w:sz="6" w:space="0"/>
              <w:bottom w:val="single" w:color="auto" w:sz="6" w:space="0"/>
              <w:right w:val="single" w:color="auto" w:sz="6" w:space="0"/>
            </w:tcBorders>
            <w:vAlign w:val="center"/>
          </w:tcPr>
          <w:p w14:paraId="04C0383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谈判小组的组建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493786E8">
            <w:pPr>
              <w:autoSpaceDE w:val="0"/>
              <w:autoSpaceDN w:val="0"/>
              <w:adjustRightInd w:val="0"/>
              <w:snapToGrid w:val="0"/>
              <w:spacing w:beforeLines="50" w:line="240" w:lineRule="auto"/>
              <w:rPr>
                <w:rFonts w:ascii="宋体" w:cs="楷体_GB2312"/>
                <w:color w:val="auto"/>
                <w:sz w:val="24"/>
                <w:lang w:val="zh-CN"/>
              </w:rPr>
            </w:pPr>
            <w:r>
              <w:rPr>
                <w:rFonts w:hint="eastAsia" w:ascii="宋体" w:cs="楷体_GB2312"/>
                <w:color w:val="auto"/>
                <w:sz w:val="24"/>
                <w:lang w:val="en-US" w:eastAsia="zh-CN"/>
              </w:rPr>
              <w:t>谈判小组</w:t>
            </w:r>
            <w:r>
              <w:rPr>
                <w:rFonts w:hint="eastAsia" w:ascii="宋体" w:cs="楷体_GB2312"/>
                <w:color w:val="auto"/>
                <w:sz w:val="24"/>
                <w:lang w:val="zh-CN"/>
              </w:rPr>
              <w:t>构成：</w:t>
            </w:r>
            <w:r>
              <w:rPr>
                <w:rFonts w:hint="eastAsia" w:ascii="宋体" w:cs="楷体_GB2312"/>
                <w:color w:val="auto"/>
                <w:sz w:val="24"/>
                <w:lang w:val="en-US" w:eastAsia="zh-CN"/>
              </w:rPr>
              <w:t>3</w:t>
            </w:r>
            <w:r>
              <w:rPr>
                <w:rFonts w:hint="eastAsia" w:ascii="宋体" w:cs="楷体_GB2312"/>
                <w:color w:val="auto"/>
                <w:sz w:val="24"/>
                <w:lang w:val="zh-CN"/>
              </w:rPr>
              <w:t>人，技术、经济等方面专家</w:t>
            </w:r>
            <w:r>
              <w:rPr>
                <w:rFonts w:hint="eastAsia" w:ascii="宋体" w:cs="楷体_GB2312"/>
                <w:color w:val="auto"/>
                <w:sz w:val="24"/>
                <w:lang w:val="en-US" w:eastAsia="zh-CN"/>
              </w:rPr>
              <w:t>2</w:t>
            </w:r>
            <w:r>
              <w:rPr>
                <w:rFonts w:hint="eastAsia" w:ascii="宋体" w:cs="楷体_GB2312"/>
                <w:color w:val="auto"/>
                <w:sz w:val="24"/>
                <w:lang w:val="zh-CN"/>
              </w:rPr>
              <w:t>人,采购人代表1人，评审专家是在监督部门监督下从政府采购专家库中随机抽取产生。</w:t>
            </w:r>
          </w:p>
        </w:tc>
      </w:tr>
      <w:tr w14:paraId="75F66BA5">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vAlign w:val="center"/>
          </w:tcPr>
          <w:p w14:paraId="197B5C7B">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59ED97CE">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93" w:type="dxa"/>
            <w:tcBorders>
              <w:top w:val="single" w:color="auto" w:sz="6" w:space="0"/>
              <w:left w:val="single" w:color="auto" w:sz="6" w:space="0"/>
              <w:bottom w:val="single" w:color="auto" w:sz="6" w:space="0"/>
              <w:right w:val="single" w:color="auto" w:sz="6" w:space="0"/>
            </w:tcBorders>
            <w:vAlign w:val="center"/>
          </w:tcPr>
          <w:p w14:paraId="30342D0B">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w:t>
            </w:r>
            <w:r>
              <w:rPr>
                <w:rFonts w:hint="eastAsia" w:ascii="宋体" w:hAnsi="宋体"/>
                <w:b/>
                <w:color w:val="auto"/>
                <w:sz w:val="24"/>
                <w:lang w:eastAsia="zh-CN"/>
              </w:rPr>
              <w:t>谈判</w:t>
            </w:r>
            <w:r>
              <w:rPr>
                <w:rFonts w:hint="eastAsia" w:ascii="宋体" w:hAnsi="宋体"/>
                <w:b/>
                <w:color w:val="auto"/>
                <w:sz w:val="24"/>
              </w:rPr>
              <w:t>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4BB7AD8D">
            <w:pPr>
              <w:keepNext w:val="0"/>
              <w:keepLines w:val="0"/>
              <w:widowControl/>
              <w:suppressLineNumbers w:val="0"/>
              <w:jc w:val="left"/>
              <w:rPr>
                <w:rFonts w:ascii="宋体"/>
                <w:color w:val="auto"/>
                <w:sz w:val="24"/>
              </w:rPr>
            </w:pPr>
            <w:r>
              <w:rPr>
                <w:rFonts w:hint="eastAsia" w:ascii="宋体" w:hAnsi="宋体"/>
                <w:color w:val="auto"/>
                <w:sz w:val="24"/>
              </w:rPr>
              <w:t>是。</w:t>
            </w:r>
            <w:r>
              <w:rPr>
                <w:rFonts w:hint="eastAsia" w:ascii="宋体" w:hAnsi="宋体" w:eastAsia="宋体" w:cs="宋体"/>
                <w:color w:val="000000"/>
                <w:kern w:val="0"/>
                <w:sz w:val="24"/>
                <w:szCs w:val="24"/>
                <w:u w:color="000000"/>
                <w:lang w:val="en-US" w:eastAsia="zh-CN" w:bidi="ar"/>
              </w:rPr>
              <w:t>谈判小组按照最后报价由低到高的顺序提出 1~3 名成交候选人，并确定排名第一的成交候选人为成交供应商。</w:t>
            </w:r>
          </w:p>
        </w:tc>
      </w:tr>
      <w:tr w14:paraId="0EE34339">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C6F6C25">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2F55FE6">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7.2</w:t>
            </w:r>
          </w:p>
        </w:tc>
        <w:tc>
          <w:tcPr>
            <w:tcW w:w="1893" w:type="dxa"/>
            <w:tcBorders>
              <w:top w:val="single" w:color="auto" w:sz="6" w:space="0"/>
              <w:left w:val="single" w:color="auto" w:sz="6" w:space="0"/>
              <w:bottom w:val="single" w:color="auto" w:sz="6" w:space="0"/>
              <w:right w:val="single" w:color="auto" w:sz="6" w:space="0"/>
            </w:tcBorders>
            <w:vAlign w:val="center"/>
          </w:tcPr>
          <w:p w14:paraId="75A26F9D">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231362D3">
            <w:pPr>
              <w:jc w:val="left"/>
              <w:rPr>
                <w:rFonts w:ascii="宋体"/>
                <w:color w:val="auto"/>
                <w:sz w:val="24"/>
              </w:rPr>
            </w:pPr>
            <w:r>
              <w:rPr>
                <w:rFonts w:hint="eastAsia" w:ascii="宋体" w:hAnsi="宋体"/>
                <w:color w:val="auto"/>
                <w:sz w:val="24"/>
              </w:rPr>
              <w:t>本次竞争性</w:t>
            </w:r>
            <w:r>
              <w:rPr>
                <w:rFonts w:hint="eastAsia" w:ascii="宋体" w:hAnsi="宋体"/>
                <w:color w:val="auto"/>
                <w:sz w:val="24"/>
                <w:lang w:eastAsia="zh-CN"/>
              </w:rPr>
              <w:t>谈判</w:t>
            </w:r>
            <w:r>
              <w:rPr>
                <w:rFonts w:hint="eastAsia" w:ascii="宋体" w:hAnsi="宋体"/>
                <w:color w:val="auto"/>
                <w:sz w:val="24"/>
              </w:rPr>
              <w:t>的成交结果将</w:t>
            </w:r>
            <w:r>
              <w:rPr>
                <w:rFonts w:hint="eastAsia" w:ascii="宋体" w:hAnsi="宋体" w:cs="宋体"/>
                <w:sz w:val="24"/>
                <w:szCs w:val="24"/>
              </w:rPr>
              <w:t>在评审当日发布成交结果公告，当日向成交供应商发出成交通知书。</w:t>
            </w:r>
          </w:p>
        </w:tc>
      </w:tr>
      <w:tr w14:paraId="65A59F5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0599A9FD">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641B83B">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7.3</w:t>
            </w:r>
          </w:p>
        </w:tc>
        <w:tc>
          <w:tcPr>
            <w:tcW w:w="1893" w:type="dxa"/>
            <w:tcBorders>
              <w:top w:val="single" w:color="auto" w:sz="6" w:space="0"/>
              <w:left w:val="single" w:color="auto" w:sz="6" w:space="0"/>
              <w:bottom w:val="single" w:color="auto" w:sz="6" w:space="0"/>
              <w:right w:val="single" w:color="auto" w:sz="6" w:space="0"/>
            </w:tcBorders>
            <w:vAlign w:val="center"/>
          </w:tcPr>
          <w:p w14:paraId="18A339AE">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20230139">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w:t>
            </w:r>
            <w:r>
              <w:rPr>
                <w:rFonts w:hint="eastAsia" w:ascii="宋体" w:hAnsi="宋体"/>
                <w:color w:val="auto"/>
                <w:sz w:val="24"/>
                <w:lang w:eastAsia="zh-CN"/>
              </w:rPr>
              <w:t>谈判</w:t>
            </w:r>
            <w:r>
              <w:rPr>
                <w:rFonts w:hint="eastAsia" w:ascii="宋体" w:hAnsi="宋体"/>
                <w:color w:val="auto"/>
                <w:sz w:val="24"/>
              </w:rPr>
              <w:t>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14:paraId="17FDC776">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BE1CBDC">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13F544C">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7.4</w:t>
            </w:r>
          </w:p>
        </w:tc>
        <w:tc>
          <w:tcPr>
            <w:tcW w:w="1893" w:type="dxa"/>
            <w:tcBorders>
              <w:top w:val="single" w:color="auto" w:sz="6" w:space="0"/>
              <w:left w:val="single" w:color="auto" w:sz="6" w:space="0"/>
              <w:bottom w:val="single" w:color="auto" w:sz="6" w:space="0"/>
              <w:right w:val="single" w:color="auto" w:sz="6" w:space="0"/>
            </w:tcBorders>
            <w:vAlign w:val="center"/>
          </w:tcPr>
          <w:p w14:paraId="4B1D5C50">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531D50B8">
            <w:pPr>
              <w:jc w:val="left"/>
              <w:rPr>
                <w:rFonts w:ascii="宋体" w:cs="楷体_GB2312"/>
                <w:color w:val="auto"/>
                <w:sz w:val="24"/>
                <w:lang w:val="zh-CN"/>
              </w:rPr>
            </w:pPr>
            <w:r>
              <w:rPr>
                <w:rFonts w:hint="eastAsia" w:ascii="宋体" w:hAnsi="宋体" w:cs="宋体"/>
                <w:sz w:val="24"/>
                <w:szCs w:val="24"/>
              </w:rPr>
              <w:t>采购代理机构在评审当日发布成交结果公告，向成交供应商发出成交通知书。</w:t>
            </w:r>
          </w:p>
        </w:tc>
      </w:tr>
      <w:tr w14:paraId="65743713">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01594380">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7359E278">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4A87C009">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2AF4B513">
            <w:pPr>
              <w:widowControl w:val="0"/>
              <w:snapToGrid w:val="0"/>
              <w:spacing w:beforeLines="50" w:line="240" w:lineRule="auto"/>
              <w:rPr>
                <w:color w:val="auto"/>
                <w:sz w:val="24"/>
                <w:szCs w:val="24"/>
              </w:rPr>
            </w:pPr>
            <w:r>
              <w:rPr>
                <w:rFonts w:hint="eastAsia" w:asciiTheme="minorEastAsia" w:hAnsiTheme="minorEastAsia" w:eastAsiaTheme="minorEastAsia"/>
                <w:color w:val="auto"/>
                <w:sz w:val="24"/>
                <w:szCs w:val="24"/>
                <w:lang w:eastAsia="zh-CN"/>
              </w:rPr>
              <w:t>不需缴纳</w:t>
            </w:r>
          </w:p>
        </w:tc>
      </w:tr>
      <w:tr w14:paraId="369DC12F">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3F1A8BE6">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CDBE09E">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005FE8F8">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787E4AA7">
            <w:pPr>
              <w:widowControl w:val="0"/>
              <w:snapToGrid w:val="0"/>
              <w:spacing w:beforeLines="50" w:line="240" w:lineRule="auto"/>
              <w:rPr>
                <w:color w:val="auto"/>
                <w:sz w:val="24"/>
                <w:szCs w:val="24"/>
              </w:rPr>
            </w:pPr>
            <w:r>
              <w:rPr>
                <w:rFonts w:hint="eastAsia"/>
                <w:color w:val="auto"/>
                <w:sz w:val="24"/>
                <w:szCs w:val="24"/>
              </w:rPr>
              <w:t>见“第三章供应商须知”相应条款</w:t>
            </w:r>
          </w:p>
        </w:tc>
      </w:tr>
      <w:tr w14:paraId="5029AB41">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2F01461">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5A593AF">
            <w:pPr>
              <w:autoSpaceDE w:val="0"/>
              <w:autoSpaceDN w:val="0"/>
              <w:adjustRightInd w:val="0"/>
              <w:snapToGrid w:val="0"/>
              <w:spacing w:line="240" w:lineRule="auto"/>
              <w:jc w:val="center"/>
              <w:rPr>
                <w:rFonts w:ascii="宋体" w:hAnsi="宋体" w:cs="楷体_GB2312"/>
                <w:b/>
                <w:bCs/>
                <w:color w:val="auto"/>
                <w:sz w:val="24"/>
              </w:rPr>
            </w:pPr>
            <w:r>
              <w:rPr>
                <w:rFonts w:ascii="宋体" w:hAnsi="宋体" w:cs="楷体_GB2312"/>
                <w:b/>
                <w:bCs/>
                <w:color w:val="auto"/>
                <w:sz w:val="24"/>
              </w:rPr>
              <w:t>9</w:t>
            </w:r>
          </w:p>
        </w:tc>
        <w:tc>
          <w:tcPr>
            <w:tcW w:w="1893" w:type="dxa"/>
            <w:tcBorders>
              <w:top w:val="single" w:color="auto" w:sz="6" w:space="0"/>
              <w:left w:val="single" w:color="auto" w:sz="6" w:space="0"/>
              <w:bottom w:val="single" w:color="auto" w:sz="6" w:space="0"/>
              <w:right w:val="single" w:color="auto" w:sz="6" w:space="0"/>
            </w:tcBorders>
            <w:vAlign w:val="center"/>
          </w:tcPr>
          <w:p w14:paraId="6CED4F1B">
            <w:pPr>
              <w:jc w:val="left"/>
              <w:rPr>
                <w:rFonts w:hint="eastAsia" w:ascii="宋体" w:hAnsi="宋体" w:cs="宋体"/>
                <w:sz w:val="24"/>
                <w:szCs w:val="24"/>
                <w:lang w:val="zh-CN"/>
              </w:rPr>
            </w:pPr>
            <w:r>
              <w:rPr>
                <w:rFonts w:hint="eastAsia" w:ascii="宋体" w:hAnsi="宋体" w:cs="宋体"/>
                <w:sz w:val="24"/>
                <w:szCs w:val="24"/>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17AD625F">
            <w:pPr>
              <w:jc w:val="left"/>
              <w:rPr>
                <w:rFonts w:hint="eastAsia" w:ascii="宋体" w:hAnsi="宋体" w:cs="宋体"/>
                <w:sz w:val="24"/>
                <w:szCs w:val="24"/>
              </w:rPr>
            </w:pPr>
            <w:r>
              <w:rPr>
                <w:rFonts w:hint="eastAsia" w:ascii="宋体" w:hAnsi="宋体" w:cs="宋体"/>
                <w:sz w:val="24"/>
                <w:szCs w:val="24"/>
              </w:rPr>
              <w:t>为进一步优化营商环境，根据安财购﹝2022﹞8 号文件落实政府采购中小企业预付款的规定，采购人可在政府采购合同签订后，向中标人原则上预付不低于合同金额50%的预付款，中标人应向采购人提交预付款保函，未提供保函的，视同其放弃项目预付款的支付。</w:t>
            </w:r>
          </w:p>
          <w:p w14:paraId="0D5C9D72">
            <w:pPr>
              <w:jc w:val="left"/>
              <w:rPr>
                <w:rFonts w:hint="eastAsia" w:ascii="宋体" w:hAnsi="宋体" w:cs="宋体"/>
                <w:sz w:val="24"/>
                <w:szCs w:val="24"/>
                <w:lang w:eastAsia="zh-CN"/>
              </w:rPr>
            </w:pPr>
            <w:r>
              <w:rPr>
                <w:rFonts w:hint="eastAsia" w:ascii="宋体" w:hAnsi="宋体" w:cs="宋体"/>
                <w:sz w:val="24"/>
                <w:szCs w:val="24"/>
              </w:rPr>
              <w:t>付款方式：</w:t>
            </w:r>
            <w:r>
              <w:rPr>
                <w:rFonts w:hint="eastAsia" w:ascii="宋体" w:hAnsi="宋体" w:cs="宋体"/>
                <w:sz w:val="24"/>
                <w:szCs w:val="24"/>
                <w:lang w:eastAsia="zh-CN"/>
              </w:rPr>
              <w:t>每季度支付一次，物业公司需开具发票。</w:t>
            </w:r>
          </w:p>
        </w:tc>
      </w:tr>
      <w:tr w14:paraId="7AFFF727">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49F10F7B">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5E17A43">
            <w:pPr>
              <w:autoSpaceDE w:val="0"/>
              <w:autoSpaceDN w:val="0"/>
              <w:adjustRightInd w:val="0"/>
              <w:snapToGrid w:val="0"/>
              <w:spacing w:line="240" w:lineRule="auto"/>
              <w:jc w:val="center"/>
              <w:rPr>
                <w:rFonts w:ascii="宋体" w:hAnsi="宋体" w:cs="楷体_GB2312"/>
                <w:b/>
                <w:bCs/>
                <w:color w:val="auto"/>
                <w:sz w:val="24"/>
              </w:rPr>
            </w:pPr>
            <w:r>
              <w:rPr>
                <w:rFonts w:ascii="宋体" w:hAnsi="宋体" w:cs="楷体_GB2312"/>
                <w:b/>
                <w:bCs/>
                <w:color w:val="auto"/>
                <w:sz w:val="24"/>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16EE4718">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7EE0415B">
            <w:pPr>
              <w:jc w:val="left"/>
              <w:rPr>
                <w:rFonts w:hint="eastAsia" w:ascii="宋体" w:hAnsi="宋体" w:cs="宋体"/>
                <w:sz w:val="24"/>
                <w:szCs w:val="24"/>
              </w:rPr>
            </w:pPr>
            <w:r>
              <w:rPr>
                <w:rFonts w:hint="eastAsia" w:ascii="宋体" w:hAnsi="宋体" w:cs="宋体"/>
                <w:sz w:val="24"/>
                <w:szCs w:val="24"/>
                <w:lang w:val="en-US" w:eastAsia="zh-CN"/>
              </w:rPr>
              <w:t xml:space="preserve">参考国家计委《招标代理服务收费管理暂行办法》（计价格 </w:t>
            </w:r>
          </w:p>
          <w:p w14:paraId="196C1C1B">
            <w:pPr>
              <w:jc w:val="left"/>
              <w:rPr>
                <w:rFonts w:ascii="宋体" w:hAnsi="宋体"/>
                <w:color w:val="auto"/>
                <w:sz w:val="24"/>
              </w:rPr>
            </w:pPr>
            <w:r>
              <w:rPr>
                <w:rFonts w:hint="eastAsia" w:ascii="宋体" w:hAnsi="宋体" w:cs="宋体"/>
                <w:sz w:val="24"/>
                <w:szCs w:val="24"/>
                <w:lang w:val="en-US" w:eastAsia="zh-CN"/>
              </w:rPr>
              <w:t>【2002】1980 号）、《国家发展和改革委员会办公厅关于招标代理服务费有关问题的通知》（发改办价格【2003】857 号）及发改价格【2011】534 号文件的规定，</w:t>
            </w:r>
            <w:r>
              <w:rPr>
                <w:rFonts w:hint="eastAsia" w:ascii="宋体" w:hAnsi="宋体"/>
                <w:color w:val="000000"/>
                <w:sz w:val="24"/>
                <w:highlight w:val="none"/>
              </w:rPr>
              <w:t>中标（成交）供应商在领取中标通知书前向招标代理机构支付招标代理服务费</w:t>
            </w:r>
            <w:r>
              <w:rPr>
                <w:rFonts w:hint="eastAsia" w:ascii="宋体" w:hAnsi="宋体" w:cs="宋体"/>
                <w:sz w:val="24"/>
                <w:szCs w:val="24"/>
                <w:lang w:val="en-US" w:eastAsia="zh-CN"/>
              </w:rPr>
              <w:t>。</w:t>
            </w:r>
          </w:p>
        </w:tc>
      </w:tr>
    </w:tbl>
    <w:p w14:paraId="211A9EE8">
      <w:pPr>
        <w:autoSpaceDE w:val="0"/>
        <w:autoSpaceDN w:val="0"/>
        <w:adjustRightInd w:val="0"/>
        <w:spacing w:line="360" w:lineRule="auto"/>
        <w:ind w:firstLine="539"/>
        <w:rPr>
          <w:color w:val="auto"/>
        </w:rPr>
      </w:pPr>
      <w:r>
        <w:rPr>
          <w:color w:val="auto"/>
        </w:rPr>
        <w:br w:type="page"/>
      </w:r>
    </w:p>
    <w:p w14:paraId="09FD10F4">
      <w:pPr>
        <w:autoSpaceDE w:val="0"/>
        <w:autoSpaceDN w:val="0"/>
        <w:adjustRightInd w:val="0"/>
        <w:snapToGrid w:val="0"/>
        <w:spacing w:beforeLines="50" w:line="300" w:lineRule="auto"/>
        <w:ind w:firstLine="539"/>
        <w:outlineLvl w:val="1"/>
        <w:rPr>
          <w:rFonts w:ascii="黑体" w:hAnsi="黑体" w:eastAsia="黑体"/>
          <w:color w:val="auto"/>
          <w:sz w:val="28"/>
          <w:szCs w:val="28"/>
          <w:lang w:val="zh-CN"/>
        </w:rPr>
      </w:pPr>
      <w:bookmarkStart w:id="14" w:name="_Toc106792508"/>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4"/>
    </w:p>
    <w:p w14:paraId="28A6AAF8">
      <w:pPr>
        <w:autoSpaceDE w:val="0"/>
        <w:autoSpaceDN w:val="0"/>
        <w:adjustRightInd w:val="0"/>
        <w:snapToGrid w:val="0"/>
        <w:spacing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根据《中华人民共和国政府采购法》、《中华人民共和国政府采购法实施条例》、《政府采购竞争性</w:t>
      </w:r>
      <w:r>
        <w:rPr>
          <w:rFonts w:hint="eastAsia" w:ascii="宋体" w:hAnsi="宋体"/>
          <w:color w:val="auto"/>
          <w:sz w:val="24"/>
          <w:szCs w:val="24"/>
          <w:lang w:eastAsia="zh-CN"/>
        </w:rPr>
        <w:t>谈判</w:t>
      </w:r>
      <w:r>
        <w:rPr>
          <w:rFonts w:hint="eastAsia" w:ascii="宋体" w:hAnsi="宋体"/>
          <w:color w:val="auto"/>
          <w:sz w:val="24"/>
          <w:szCs w:val="24"/>
        </w:rPr>
        <w:t>采购方式管理暂行办法》及相关政府采购法律法规等制定本文件。</w:t>
      </w:r>
    </w:p>
    <w:p w14:paraId="0B5AFDBC">
      <w:pPr>
        <w:adjustRightInd w:val="0"/>
        <w:snapToGrid w:val="0"/>
        <w:spacing w:beforeLines="50" w:line="300" w:lineRule="auto"/>
        <w:ind w:right="240"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《谈判文件》的法律适用及法律效力</w:t>
      </w:r>
    </w:p>
    <w:p w14:paraId="7A391A99">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所述内容，仅适用于本次项目采购。</w:t>
      </w:r>
    </w:p>
    <w:p w14:paraId="211E8F56">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的修改性文件、补充文件、澄清文件或说明具有同等法律效力。</w:t>
      </w:r>
    </w:p>
    <w:p w14:paraId="275D2047">
      <w:pPr>
        <w:adjustRightInd w:val="0"/>
        <w:snapToGrid w:val="0"/>
        <w:spacing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适用于并执行《政府采购法》和其它相关的法律、法规。</w:t>
      </w:r>
    </w:p>
    <w:p w14:paraId="3A164667">
      <w:pPr>
        <w:adjustRightInd w:val="0"/>
        <w:snapToGrid w:val="0"/>
        <w:spacing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w:t>
      </w:r>
      <w:r>
        <w:rPr>
          <w:rFonts w:hint="eastAsia" w:ascii="宋体" w:hAnsi="宋体" w:cs="宋体"/>
          <w:color w:val="auto"/>
          <w:sz w:val="24"/>
          <w:szCs w:val="24"/>
          <w:lang w:eastAsia="zh-CN"/>
        </w:rPr>
        <w:t>谈判</w:t>
      </w:r>
      <w:r>
        <w:rPr>
          <w:rFonts w:hint="eastAsia" w:ascii="宋体" w:hAnsi="宋体" w:cs="宋体"/>
          <w:color w:val="auto"/>
          <w:sz w:val="24"/>
          <w:szCs w:val="24"/>
        </w:rPr>
        <w:t>文件》</w:t>
      </w:r>
      <w:r>
        <w:rPr>
          <w:rFonts w:hint="eastAsia" w:ascii="宋体" w:hAnsi="宋体"/>
          <w:color w:val="auto"/>
          <w:sz w:val="24"/>
          <w:szCs w:val="24"/>
        </w:rPr>
        <w:t>的解释权属采购人及代理机构。</w:t>
      </w:r>
    </w:p>
    <w:p w14:paraId="3B0DC23A">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合格的供应商</w:t>
      </w:r>
    </w:p>
    <w:p w14:paraId="335135F2">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凡符合《谈判文件》规定，承认本《谈判文件》所有内容的供应商为合格的供应商。</w:t>
      </w:r>
    </w:p>
    <w:p w14:paraId="596DA513">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4FD8E230">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1E7879B4">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供应商应遵守国家法律、法规和《谈判文件》的规定。</w:t>
      </w:r>
    </w:p>
    <w:p w14:paraId="3EC64B7F">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14:paraId="40487704">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14:paraId="7FF12966">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4FA133ED">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）两个以上供应商可以组成一个投标联合体，以一个供应商的身份投标，但必须确定其中一个单位为投标的全权代表参加投标活动，并承担投标及履约中应承担的全部责任和义务。</w:t>
      </w:r>
    </w:p>
    <w:p w14:paraId="38B3DC39">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3F4CAEE4">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14:paraId="5F560348">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）联合体各方之间应当签订联合投标协议，明确约定联合体各方承担的工作和相应的责任，并将联合投标协议连同《响应文件》一并提交采购代理机构。</w:t>
      </w:r>
    </w:p>
    <w:p w14:paraId="77DDAB50">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14:paraId="3A47282B">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14:paraId="7BB62AAE">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1962E3CC">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14:paraId="54D4B63E">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14:paraId="31361930">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6FA28F83">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46654DC5">
      <w:pPr>
        <w:spacing w:line="360" w:lineRule="auto"/>
        <w:ind w:firstLine="480" w:firstLineChars="200"/>
        <w:jc w:val="left"/>
        <w:rPr>
          <w:rFonts w:ascii="宋体" w:hAnsi="宋体"/>
          <w:color w:val="auto"/>
          <w:sz w:val="24"/>
        </w:rPr>
      </w:pPr>
      <w:r>
        <w:rPr>
          <w:rFonts w:hint="eastAsia" w:ascii="宋体" w:hAnsi="宋体"/>
          <w:color w:val="auto"/>
          <w:sz w:val="24"/>
        </w:rPr>
        <w:t>1.5.3 除非</w:t>
      </w:r>
      <w:r>
        <w:rPr>
          <w:rFonts w:hint="eastAsia" w:ascii="宋体" w:hAnsi="宋体"/>
          <w:color w:val="auto"/>
          <w:sz w:val="24"/>
          <w:lang w:eastAsia="zh-CN"/>
        </w:rPr>
        <w:t>谈判</w:t>
      </w:r>
      <w:r>
        <w:rPr>
          <w:rFonts w:hint="eastAsia" w:ascii="宋体" w:hAnsi="宋体"/>
          <w:color w:val="auto"/>
          <w:sz w:val="24"/>
        </w:rPr>
        <w:t>文件特别规定，采购人享有本项目实施过程中产生的知识成果及知识产权。</w:t>
      </w:r>
    </w:p>
    <w:p w14:paraId="42113A1F">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费用</w:t>
      </w:r>
    </w:p>
    <w:p w14:paraId="4B5B0AEF">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谈判过程中的做法和结果如何，无论何种原因的谈判失败或终止，供应商应自行承担所有与准备和参加谈判有关的全部费用（类比商业采购中的客户洽谈费用），采购代理机构在任何情况下均无义务和责任承担供应商的任何费用。</w:t>
      </w:r>
    </w:p>
    <w:p w14:paraId="4AD95C39">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14:paraId="34746641">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参与竞争性谈判活动的各方应对《谈判文件》和《响应文件》中的商业和技术等秘密保密，供应商应在《响应文件》中对需保密事项予以书面声明，否则视为非保密事项。</w:t>
      </w:r>
    </w:p>
    <w:p w14:paraId="337429D8">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0FA33A3A">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14:paraId="468095B3">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谈判有关的语言均使用中文。必要时专用术语应附有中文注释。如果《响应文件》或与投标有关的其它文件、信件及来往函电以其它语言书写，供应商应将其译成中文，并对中文译稿的真实、准确、完整承担责任。</w:t>
      </w:r>
    </w:p>
    <w:p w14:paraId="4A096A8B">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14:paraId="2F819B04">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14:paraId="436D630D">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14:paraId="454E729B">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供应商踏勘现场发生的费用自理，供应商自行负责在踏勘现场中所发生的人员伤亡和财产损失。</w:t>
      </w:r>
    </w:p>
    <w:p w14:paraId="44C3FDC5">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33439353">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供应商须知前附表规定不组织踏勘现场的，《谈判文件》不单独提供交验地自然环境、气候条件、交验安装条件等情况说明，供应商被视为熟悉前述与履行合同有关的一切情况，供应商可自行踏勘现场并自行了解相关情况。</w:t>
      </w:r>
    </w:p>
    <w:p w14:paraId="68B03E3B">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14:paraId="355D33CA">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供应商须知前附表规定召开投标预备会的，采购人及代理机构按供应商须知前附表规定的时间和地点召开投标预备会，澄清供应商提出的问题。</w:t>
      </w:r>
    </w:p>
    <w:p w14:paraId="54529CF6">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供应商应在供应商须知前附表规定的时间前，以书面形式将提出的问题送达采购人及代理机构，以便采购人及代理机构在会议期间澄清。</w:t>
      </w:r>
    </w:p>
    <w:p w14:paraId="536E0C6B">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投标预备会后，采购人及代理机构在供应商须知前附表规定的时间内，将对供应商所提问题的澄清，以本章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项方式通告潜在供应商。该澄清内容为《谈判文件》的组成部分。</w:t>
      </w:r>
    </w:p>
    <w:p w14:paraId="613C84B2">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14:paraId="0A60FEB9">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供应商拟在成交后将成交项目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的部分非主体、非关键性工作进行分包的，应符合供应商须知前附表规定的分包内容、分包金额和接受分包的第三人资质要求等限制性条件。</w:t>
      </w:r>
    </w:p>
    <w:p w14:paraId="08B5E5B5">
      <w:pPr>
        <w:autoSpaceDE w:val="0"/>
        <w:autoSpaceDN w:val="0"/>
        <w:adjustRightInd w:val="0"/>
        <w:snapToGrid w:val="0"/>
        <w:spacing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14:paraId="0B0F7122">
      <w:pPr>
        <w:autoSpaceDE w:val="0"/>
        <w:autoSpaceDN w:val="0"/>
        <w:adjustRightInd w:val="0"/>
        <w:snapToGrid w:val="0"/>
        <w:spacing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14:paraId="5B728B43">
      <w:pPr>
        <w:autoSpaceDE w:val="0"/>
        <w:autoSpaceDN w:val="0"/>
        <w:adjustRightInd w:val="0"/>
        <w:snapToGrid w:val="0"/>
        <w:spacing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2860D9E5">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highlight w:val="none"/>
          <w:lang w:val="zh-CN"/>
        </w:rPr>
        <w:t>《谈判文件》允许《响应文件》偏离《谈判文件》某些要求的，偏离应当符合《谈判文件》规定的偏离范围和幅度</w:t>
      </w:r>
      <w:r>
        <w:rPr>
          <w:rFonts w:hint="eastAsia" w:ascii="宋体" w:hAnsi="宋体" w:cs="楷体_GB2312"/>
          <w:color w:val="auto"/>
          <w:sz w:val="24"/>
          <w:lang w:val="zh-CN"/>
        </w:rPr>
        <w:t>。</w:t>
      </w:r>
    </w:p>
    <w:p w14:paraId="7D0477EB">
      <w:pPr>
        <w:autoSpaceDE w:val="0"/>
        <w:autoSpaceDN w:val="0"/>
        <w:adjustRightInd w:val="0"/>
        <w:snapToGrid w:val="0"/>
        <w:spacing w:beforeLines="50" w:line="300" w:lineRule="auto"/>
        <w:ind w:firstLine="539"/>
        <w:rPr>
          <w:rFonts w:ascii="黑体" w:hAnsi="黑体" w:eastAsia="黑体" w:cs="楷体_GB2312"/>
          <w:b/>
          <w:bCs/>
          <w:color w:val="auto"/>
          <w:sz w:val="28"/>
          <w:szCs w:val="28"/>
          <w:lang w:val="zh-CN"/>
        </w:rPr>
      </w:pPr>
    </w:p>
    <w:p w14:paraId="168C242F">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5" w:name="_Toc106792509"/>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《谈判文件》</w:t>
      </w:r>
      <w:bookmarkEnd w:id="15"/>
    </w:p>
    <w:p w14:paraId="19788AD4">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《谈判文件》的组成</w:t>
      </w:r>
      <w:r>
        <w:rPr>
          <w:rFonts w:hint="eastAsia" w:ascii="宋体" w:hAnsi="宋体" w:cs="楷体_GB2312"/>
          <w:color w:val="auto"/>
          <w:sz w:val="24"/>
          <w:lang w:val="zh-CN"/>
        </w:rPr>
        <w:t>：</w:t>
      </w:r>
    </w:p>
    <w:p w14:paraId="5CD4C1E6">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《谈判文件》用以阐明采购项目的内容、程序和合同主要条款。《谈判文件》由下述部分组成：</w:t>
      </w:r>
    </w:p>
    <w:p w14:paraId="0CD9ABC5">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）竞争性谈判公告</w:t>
      </w:r>
    </w:p>
    <w:p w14:paraId="7FA88108">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14:paraId="3A5432AB">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14:paraId="71455495">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14:paraId="00492478">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14:paraId="7187999A">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）《响应文件》格式</w:t>
      </w:r>
    </w:p>
    <w:p w14:paraId="09DC7367">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款、对《谈判文件》的澄清、修改、补充书构成《谈判文件》的组成部分，并取代《谈判文件》中被澄清、修改处，对所有供应商均有约束力。</w:t>
      </w:r>
    </w:p>
    <w:p w14:paraId="2CC67F1F">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当《谈判文件》、《谈判文件》的澄清、修改、补充等在同一内容的表述上不一致时，以最后发出（发布）的文件为准。</w:t>
      </w:r>
    </w:p>
    <w:p w14:paraId="0B8FA76B">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供应商与任何人的口头协议不影响《谈判文件》的任何条款和内容。</w:t>
      </w:r>
    </w:p>
    <w:p w14:paraId="03E3CD48">
      <w:pPr>
        <w:autoSpaceDE w:val="0"/>
        <w:autoSpaceDN w:val="0"/>
        <w:adjustRightInd w:val="0"/>
        <w:snapToGrid w:val="0"/>
        <w:spacing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供应商应仔细阅读和检查《</w:t>
      </w:r>
      <w:r>
        <w:rPr>
          <w:rFonts w:hint="eastAsia" w:ascii="宋体" w:hAnsi="宋体" w:cs="楷体_GB2312"/>
          <w:color w:val="auto"/>
          <w:sz w:val="24"/>
          <w:lang w:eastAsia="zh-CN"/>
        </w:rPr>
        <w:t>谈判</w:t>
      </w:r>
      <w:r>
        <w:rPr>
          <w:rFonts w:hint="eastAsia" w:ascii="宋体" w:hAnsi="宋体" w:cs="楷体_GB2312"/>
          <w:color w:val="auto"/>
          <w:sz w:val="24"/>
        </w:rPr>
        <w:t>文件》的全部内容是否齐全，如发现缺页或附件不全等遗漏，应及时向采购代理机构提出并索取补齐，否则责任及风险自负。</w:t>
      </w:r>
    </w:p>
    <w:p w14:paraId="57D3A057">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《谈判文件》的澄清</w:t>
      </w:r>
    </w:p>
    <w:p w14:paraId="3BB4B715">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谈判文件》的所有潜在供应商对《谈判文件》如有需澄清的疑问，应在供应商须知前附表规定的时间内按竞争性谈判公告中载明的地址以纸质书面形式通知到采购代理机构。在规定的时间内未提出疑问的，将视为对《谈判文件》的完全认可。</w:t>
      </w:r>
    </w:p>
    <w:p w14:paraId="7C39B794">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采购代理机构对潜在供应商在规定的时间内提出的疑问，将视情况以书面形式予以答复，并在其认为必要时，将不标明查询来源的书面答复，在“竞争性谈判公告”所述媒体通告所有潜在供应商。</w:t>
      </w:r>
    </w:p>
    <w:p w14:paraId="7C05A3E9">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谈判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71C315A4">
      <w:pPr>
        <w:adjustRightInd w:val="0"/>
        <w:snapToGrid w:val="0"/>
        <w:spacing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14:paraId="72A151A3">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《谈判文件》的澄清、修改、补充</w:t>
      </w:r>
    </w:p>
    <w:p w14:paraId="5846D888">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采购人、代理机构在投标截止时间前有权澄清修改、补充已发售的《谈判文件》。</w:t>
      </w:r>
    </w:p>
    <w:p w14:paraId="1A60667E">
      <w:pPr>
        <w:autoSpaceDE w:val="0"/>
        <w:autoSpaceDN w:val="0"/>
        <w:adjustRightInd w:val="0"/>
        <w:snapToGrid w:val="0"/>
        <w:spacing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lang w:eastAsia="zh-CN"/>
        </w:rPr>
        <w:t>谈判</w:t>
      </w:r>
      <w:r>
        <w:rPr>
          <w:rFonts w:hint="eastAsia" w:ascii="宋体" w:hAnsi="宋体"/>
          <w:color w:val="auto"/>
          <w:sz w:val="24"/>
        </w:rPr>
        <w:t>过程中对《</w:t>
      </w:r>
      <w:r>
        <w:rPr>
          <w:rFonts w:hint="eastAsia" w:ascii="宋体" w:hAnsi="宋体"/>
          <w:color w:val="auto"/>
          <w:sz w:val="24"/>
          <w:lang w:eastAsia="zh-CN"/>
        </w:rPr>
        <w:t>谈判</w:t>
      </w:r>
      <w:r>
        <w:rPr>
          <w:rFonts w:hint="eastAsia" w:ascii="宋体" w:hAnsi="宋体"/>
          <w:color w:val="auto"/>
          <w:sz w:val="24"/>
        </w:rPr>
        <w:t>文件》的变动见第四章评审办法</w:t>
      </w:r>
      <w:r>
        <w:rPr>
          <w:rFonts w:ascii="宋体" w:hAnsi="宋体"/>
          <w:color w:val="auto"/>
          <w:sz w:val="24"/>
        </w:rPr>
        <w:t>3.</w:t>
      </w:r>
      <w:r>
        <w:rPr>
          <w:rFonts w:hint="eastAsia" w:ascii="宋体" w:hAnsi="宋体"/>
          <w:color w:val="auto"/>
          <w:sz w:val="24"/>
        </w:rPr>
        <w:t>4款</w:t>
      </w:r>
      <w:r>
        <w:rPr>
          <w:rFonts w:hint="eastAsia" w:ascii="宋体" w:hAnsi="宋体"/>
          <w:color w:val="auto"/>
          <w:sz w:val="24"/>
          <w:lang w:eastAsia="zh-CN"/>
        </w:rPr>
        <w:t>谈判</w:t>
      </w:r>
      <w:r>
        <w:rPr>
          <w:rFonts w:hint="eastAsia" w:ascii="宋体" w:hAnsi="宋体"/>
          <w:color w:val="auto"/>
          <w:sz w:val="24"/>
        </w:rPr>
        <w:t>规则。</w:t>
      </w:r>
    </w:p>
    <w:p w14:paraId="0D4C989F">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《谈判文件》的澄清、修改、补充的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286C682E">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hAnsi="宋体" w:cs="楷体_GB2312"/>
          <w:color w:val="auto"/>
          <w:sz w:val="24"/>
          <w:lang w:val="zh-CN"/>
        </w:rPr>
        <w:t>在递交截止时间前的所有澄清、修改（包括时间变更等）、补充事项，均在“竞争性谈判公告”所述媒体予以公告。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0ADB907C">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无权限获知或通知潜在供应商，潜在供应商应随时关注“竞争性谈判公告”所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相关项目信息（为免各部门网站出现维护等情况，潜在供应商应对“竞争性谈判公告”所述媒体逐一查阅），如有遗漏，后果自负。</w:t>
      </w:r>
    </w:p>
    <w:p w14:paraId="601DBD14">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cs="楷体_GB2312"/>
          <w:color w:val="auto"/>
          <w:sz w:val="24"/>
          <w:lang w:val="zh-CN"/>
        </w:rPr>
        <w:t>的澄清、修改、补充书构成</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cs="楷体_GB2312"/>
          <w:color w:val="auto"/>
          <w:sz w:val="24"/>
          <w:lang w:val="zh-CN"/>
        </w:rPr>
        <w:t>的组成部分，并取代</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w:t>
      </w:r>
      <w:r>
        <w:rPr>
          <w:rFonts w:hint="eastAsia" w:ascii="宋体" w:cs="楷体_GB2312"/>
          <w:color w:val="auto"/>
          <w:sz w:val="24"/>
          <w:lang w:val="zh-CN"/>
        </w:rPr>
        <w:t>中被澄清、修改处，对所有供应商均有约束力。</w:t>
      </w:r>
    </w:p>
    <w:p w14:paraId="7D9B5A76">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谈判公告”所述媒体予以公告。</w:t>
      </w:r>
    </w:p>
    <w:p w14:paraId="25923D17">
      <w:pPr>
        <w:autoSpaceDE w:val="0"/>
        <w:autoSpaceDN w:val="0"/>
        <w:adjustRightInd w:val="0"/>
        <w:snapToGrid w:val="0"/>
        <w:spacing w:beforeLines="50" w:line="300" w:lineRule="auto"/>
        <w:rPr>
          <w:rFonts w:ascii="宋体" w:cs="楷体_GB2312"/>
          <w:color w:val="auto"/>
          <w:sz w:val="24"/>
        </w:rPr>
      </w:pPr>
    </w:p>
    <w:p w14:paraId="631C7904">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6" w:name="_Toc106792510"/>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《响应文件》</w:t>
      </w:r>
      <w:bookmarkEnd w:id="16"/>
    </w:p>
    <w:p w14:paraId="3CDF42B7">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供应商应仔细阅读《谈判文件》的所有内容，按《谈判文件》的要求提供《响应文件》，并保证所提供全部资料的真实性。《响应文件》应对《谈判文件》实质性要求作出实质性响应。谈判小组对《响应文件》的有效性、完整性和响应程度进行审查，不满足实质性要求的为</w:t>
      </w:r>
      <w:r>
        <w:rPr>
          <w:rFonts w:hint="eastAsia" w:ascii="宋体" w:hAnsi="宋体" w:cs="楷体_GB2312"/>
          <w:b/>
          <w:color w:val="auto"/>
          <w:sz w:val="24"/>
          <w:lang w:val="zh-CN"/>
        </w:rPr>
        <w:t>无效文件</w:t>
      </w:r>
      <w:r>
        <w:rPr>
          <w:rFonts w:hint="eastAsia" w:ascii="宋体" w:hAnsi="宋体" w:cs="楷体_GB2312"/>
          <w:color w:val="auto"/>
          <w:sz w:val="24"/>
          <w:lang w:val="zh-CN"/>
        </w:rPr>
        <w:t>。</w:t>
      </w:r>
    </w:p>
    <w:p w14:paraId="5035CD74">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14:paraId="2B00B8D2">
      <w:pPr>
        <w:adjustRightInd w:val="0"/>
        <w:snapToGrid w:val="0"/>
        <w:spacing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响应文件》组成如有缺项，谈判小组按照实质性判断原则（实质性要求和实质性响应两因素）、有权视情况将其作无效响应处理，供应商自负此项风险；《响应文件》组成内容未对《谈判文件》实质性要求作出实质性响应，谈判小组按照实质性判断原则、视情况将其作无效响应处理，供应商自负此项风险</w:t>
      </w:r>
    </w:p>
    <w:p w14:paraId="564D6947">
      <w:pPr>
        <w:adjustRightInd w:val="0"/>
        <w:snapToGrid w:val="0"/>
        <w:spacing w:beforeLines="50" w:line="300" w:lineRule="auto"/>
        <w:ind w:firstLine="539"/>
        <w:textAlignment w:val="top"/>
        <w:rPr>
          <w:color w:val="auto"/>
          <w:sz w:val="24"/>
          <w:szCs w:val="24"/>
        </w:rPr>
      </w:pPr>
      <w:r>
        <w:rPr>
          <w:color w:val="auto"/>
          <w:sz w:val="24"/>
          <w:szCs w:val="24"/>
        </w:rPr>
        <w:t>3.2.2</w:t>
      </w:r>
      <w:r>
        <w:rPr>
          <w:rFonts w:hint="eastAsia"/>
          <w:color w:val="auto"/>
          <w:sz w:val="24"/>
          <w:szCs w:val="24"/>
        </w:rPr>
        <w:t>《响应文件》应包括下列内容：</w:t>
      </w:r>
    </w:p>
    <w:p w14:paraId="595B5ED2">
      <w:pPr>
        <w:adjustRightInd w:val="0"/>
        <w:snapToGrid w:val="0"/>
        <w:spacing w:line="360" w:lineRule="auto"/>
        <w:ind w:firstLine="539"/>
        <w:textAlignment w:val="top"/>
        <w:rPr>
          <w:rFonts w:hint="eastAsia" w:ascii="宋体" w:hAnsi="宋体" w:eastAsia="宋体" w:cs="宋体"/>
          <w:b/>
          <w:bCs/>
          <w:sz w:val="24"/>
          <w:lang w:val="zh-CN"/>
        </w:rPr>
      </w:pPr>
      <w:r>
        <w:rPr>
          <w:rFonts w:hint="eastAsia" w:ascii="宋体" w:hAnsi="宋体" w:eastAsia="宋体" w:cs="宋体"/>
          <w:b/>
          <w:bCs/>
          <w:sz w:val="24"/>
          <w:lang w:val="zh-CN"/>
        </w:rPr>
        <w:t>符合性响应文件</w:t>
      </w:r>
    </w:p>
    <w:p w14:paraId="735E2904">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（1）投标书。</w:t>
      </w:r>
    </w:p>
    <w:p w14:paraId="44C92BAF">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（2）开标一览表</w:t>
      </w:r>
    </w:p>
    <w:p w14:paraId="128AE0A8">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（3）分项报价（即投标人的投标报价明细表）</w:t>
      </w:r>
    </w:p>
    <w:p w14:paraId="05D3D620">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（4）服务方案及服务质量承诺</w:t>
      </w:r>
    </w:p>
    <w:p w14:paraId="16A37D94">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（5）服务拟投入设备清单及其技术参数</w:t>
      </w:r>
    </w:p>
    <w:p w14:paraId="3CF86695">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（6）服务拟投入的人员情况表</w:t>
      </w:r>
    </w:p>
    <w:p w14:paraId="7BCDEFC6">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（7）偏差表</w:t>
      </w:r>
    </w:p>
    <w:p w14:paraId="2527E08D">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（8）反商业贿赂承诺书。</w:t>
      </w:r>
    </w:p>
    <w:p w14:paraId="6AE54E90">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（9）履约承诺书。</w:t>
      </w:r>
    </w:p>
    <w:p w14:paraId="63599719">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（10）招标项目要求及采购需求所需的其他材料（按条款需要）</w:t>
      </w:r>
    </w:p>
    <w:p w14:paraId="43628C4D">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（11）投标人须知所需的其他材料（按条款需要）</w:t>
      </w:r>
    </w:p>
    <w:p w14:paraId="69619006">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（12）评标办法所需的其他材料（按条款需要）</w:t>
      </w:r>
    </w:p>
    <w:p w14:paraId="17A3F694">
      <w:pPr>
        <w:adjustRightInd w:val="0"/>
        <w:snapToGrid w:val="0"/>
        <w:spacing w:line="360" w:lineRule="auto"/>
        <w:ind w:firstLine="539"/>
        <w:textAlignment w:val="top"/>
        <w:rPr>
          <w:rFonts w:hint="eastAsia" w:ascii="宋体" w:hAnsi="宋体" w:eastAsia="宋体" w:cs="宋体"/>
          <w:b w:val="0"/>
          <w:bCs w:val="0"/>
          <w:sz w:val="24"/>
          <w:lang w:val="zh-CN"/>
        </w:rPr>
      </w:pPr>
      <w:r>
        <w:rPr>
          <w:rFonts w:hint="eastAsia" w:ascii="宋体" w:hAnsi="宋体" w:eastAsia="宋体" w:cs="宋体"/>
          <w:b w:val="0"/>
          <w:bCs w:val="0"/>
          <w:sz w:val="24"/>
          <w:lang w:val="zh-CN"/>
        </w:rPr>
        <w:t>（13）投标人认为有必要提交的其它材料</w:t>
      </w:r>
    </w:p>
    <w:p w14:paraId="27B4E6AF">
      <w:pPr>
        <w:adjustRightInd w:val="0"/>
        <w:snapToGrid w:val="0"/>
        <w:spacing w:line="360" w:lineRule="auto"/>
        <w:ind w:firstLine="539"/>
        <w:textAlignment w:val="top"/>
        <w:rPr>
          <w:rFonts w:hint="eastAsia" w:ascii="宋体" w:hAnsi="宋体" w:eastAsia="宋体" w:cs="宋体"/>
          <w:b/>
          <w:bCs/>
          <w:sz w:val="24"/>
          <w:lang w:val="zh-CN"/>
        </w:rPr>
      </w:pPr>
      <w:r>
        <w:rPr>
          <w:rFonts w:hint="eastAsia" w:ascii="宋体" w:hAnsi="宋体" w:eastAsia="宋体" w:cs="宋体"/>
          <w:b/>
          <w:bCs/>
          <w:sz w:val="24"/>
          <w:lang w:val="zh-CN"/>
        </w:rPr>
        <w:t>资格性证明文件</w:t>
      </w:r>
    </w:p>
    <w:p w14:paraId="216EE54D">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（14）关于资格的声明函</w:t>
      </w:r>
    </w:p>
    <w:p w14:paraId="49023756">
      <w:pPr>
        <w:adjustRightInd w:val="0"/>
        <w:snapToGrid w:val="0"/>
        <w:spacing w:line="360" w:lineRule="auto"/>
        <w:ind w:firstLine="539"/>
        <w:textAlignment w:val="top"/>
        <w:rPr>
          <w:rFonts w:hint="eastAsia" w:ascii="宋体" w:hAnsi="宋体" w:eastAsia="宋体" w:cs="宋体"/>
          <w:sz w:val="24"/>
          <w:lang w:val="zh-CN"/>
        </w:rPr>
      </w:pPr>
      <w:r>
        <w:rPr>
          <w:rFonts w:hint="eastAsia" w:ascii="宋体" w:hAnsi="宋体" w:eastAsia="宋体" w:cs="宋体"/>
          <w:sz w:val="24"/>
          <w:lang w:val="zh-CN"/>
        </w:rPr>
        <w:t>（15）资格要求相关证明材料（文件）</w:t>
      </w:r>
    </w:p>
    <w:p w14:paraId="48BAA467">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款规定，对《响应文件》的补充、修改、澄清、说明或者更正构成《响应文件》的组成部分，</w:t>
      </w:r>
    </w:p>
    <w:p w14:paraId="4E3AE9AC">
      <w:pPr>
        <w:topLinePunct/>
        <w:adjustRightInd w:val="0"/>
        <w:snapToGrid w:val="0"/>
        <w:spacing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谈判报价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7490CF99">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响应有效期</w:t>
      </w:r>
    </w:p>
    <w:p w14:paraId="396E9859">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响应有效期见供应商须知前附表。《响应文件》在响应有效期内保持不变（包括价格等《响应文件》各项条款）。</w:t>
      </w:r>
    </w:p>
    <w:p w14:paraId="6977322D">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在响应有效期内，供应商撤销或修改其《响应文件》的，应承担《谈判文件》和法律规定的责任。</w:t>
      </w:r>
    </w:p>
    <w:p w14:paraId="2F4FE588">
      <w:pPr>
        <w:topLinePunct/>
        <w:adjustRightInd w:val="0"/>
        <w:snapToGrid w:val="0"/>
        <w:spacing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31CF0B34">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14:paraId="0050BA76">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未提供投标承诺函的为无效投标。</w:t>
      </w:r>
    </w:p>
    <w:p w14:paraId="6D23A419">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供应商的投标承诺函包含供应商承诺的事项及违背承诺的责任追究措施。</w:t>
      </w:r>
    </w:p>
    <w:p w14:paraId="5F6385BA">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14:paraId="161B22C3">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3.5.4.2、供应商在政府采购活动中应提供真实、准确、有效、合法的材料，不</w:t>
      </w:r>
      <w:r>
        <w:rPr>
          <w:rFonts w:hint="eastAsia" w:ascii="宋体" w:hAnsi="宋体"/>
          <w:color w:val="auto"/>
          <w:sz w:val="24"/>
          <w:szCs w:val="24"/>
          <w:lang w:val="zh-CN"/>
        </w:rPr>
        <w:t>提供虚假材料；</w:t>
      </w:r>
    </w:p>
    <w:p w14:paraId="4C90DDDA">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3.5.4.3、供应商</w:t>
      </w:r>
      <w:r>
        <w:rPr>
          <w:rFonts w:hint="eastAsia" w:ascii="宋体" w:hAnsi="宋体"/>
          <w:color w:val="auto"/>
          <w:sz w:val="24"/>
          <w:szCs w:val="24"/>
          <w:lang w:val="zh-CN"/>
        </w:rPr>
        <w:t>按照</w:t>
      </w:r>
      <w:r>
        <w:rPr>
          <w:rFonts w:hint="eastAsia" w:ascii="宋体" w:hAnsi="宋体"/>
          <w:color w:val="auto"/>
          <w:sz w:val="24"/>
          <w:szCs w:val="24"/>
          <w:lang w:eastAsia="zh-CN"/>
        </w:rPr>
        <w:t>谈判</w:t>
      </w:r>
      <w:r>
        <w:rPr>
          <w:rFonts w:hint="eastAsia" w:ascii="宋体" w:hAnsi="宋体"/>
          <w:color w:val="auto"/>
          <w:sz w:val="24"/>
          <w:szCs w:val="24"/>
          <w:lang w:val="zh-CN"/>
        </w:rPr>
        <w:t>文件规定，在提交响应文件截止时间后，在</w:t>
      </w:r>
      <w:r>
        <w:rPr>
          <w:rFonts w:hint="eastAsia" w:ascii="宋体" w:hAnsi="宋体"/>
          <w:color w:val="auto"/>
          <w:sz w:val="24"/>
          <w:szCs w:val="24"/>
          <w:lang w:eastAsia="zh-CN"/>
        </w:rPr>
        <w:t>谈判</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撤回响应文件；</w:t>
      </w:r>
    </w:p>
    <w:p w14:paraId="32696036">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与其他供应商、采购人或采购代理机构串通或恶意串通。</w:t>
      </w:r>
    </w:p>
    <w:p w14:paraId="1E7AE1F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w:t>
      </w:r>
      <w:r>
        <w:rPr>
          <w:rFonts w:hint="eastAsia" w:ascii="宋体" w:hAnsi="宋体"/>
          <w:color w:val="auto"/>
          <w:sz w:val="24"/>
          <w:szCs w:val="24"/>
          <w:lang w:eastAsia="zh-CN"/>
        </w:rPr>
        <w:t>谈判</w:t>
      </w:r>
      <w:r>
        <w:rPr>
          <w:rFonts w:hint="eastAsia" w:ascii="宋体" w:hAnsi="宋体"/>
          <w:color w:val="auto"/>
          <w:sz w:val="24"/>
          <w:szCs w:val="24"/>
          <w:lang w:val="zh-CN"/>
        </w:rPr>
        <w:t>文件认可的情形外</w:t>
      </w:r>
      <w:r>
        <w:rPr>
          <w:rFonts w:hint="eastAsia" w:ascii="宋体" w:hAnsi="宋体"/>
          <w:color w:val="auto"/>
          <w:sz w:val="24"/>
          <w:szCs w:val="24"/>
        </w:rPr>
        <w:t>，供应商应及时领取中标通知书，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3.5.4.6、供应商应</w:t>
      </w:r>
      <w:r>
        <w:rPr>
          <w:rFonts w:hint="eastAsia" w:ascii="宋体" w:hAnsi="宋体"/>
          <w:color w:val="auto"/>
          <w:sz w:val="24"/>
          <w:szCs w:val="24"/>
          <w:lang w:val="zh-CN"/>
        </w:rPr>
        <w:t>遵守法律法规及</w:t>
      </w:r>
      <w:r>
        <w:rPr>
          <w:rFonts w:hint="eastAsia" w:ascii="宋体" w:hAnsi="宋体"/>
          <w:color w:val="auto"/>
          <w:sz w:val="24"/>
          <w:szCs w:val="24"/>
          <w:lang w:eastAsia="zh-CN"/>
        </w:rPr>
        <w:t>谈判</w:t>
      </w:r>
      <w:r>
        <w:rPr>
          <w:rFonts w:hint="eastAsia" w:ascii="宋体" w:hAnsi="宋体"/>
          <w:color w:val="auto"/>
          <w:sz w:val="24"/>
          <w:szCs w:val="24"/>
          <w:lang w:val="zh-CN"/>
        </w:rPr>
        <w:t>文件规定的其他情况；</w:t>
      </w:r>
    </w:p>
    <w:p w14:paraId="581CCEE2">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3.5.4.7、供应商应按</w:t>
      </w:r>
      <w:r>
        <w:rPr>
          <w:rFonts w:hint="eastAsia" w:ascii="宋体" w:hAnsi="宋体"/>
          <w:color w:val="auto"/>
          <w:sz w:val="24"/>
          <w:szCs w:val="24"/>
          <w:lang w:eastAsia="zh-CN"/>
        </w:rPr>
        <w:t>谈判</w:t>
      </w:r>
      <w:r>
        <w:rPr>
          <w:rFonts w:hint="eastAsia" w:ascii="宋体" w:hAnsi="宋体"/>
          <w:color w:val="auto"/>
          <w:sz w:val="24"/>
          <w:szCs w:val="24"/>
        </w:rPr>
        <w:t>文件规定及时缴纳中标服务费。</w:t>
      </w:r>
    </w:p>
    <w:p w14:paraId="4725F3AB">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14:paraId="74AC5AE7">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供应商如违背上述承诺事项，应无条件接受以下责任追究：</w:t>
      </w:r>
    </w:p>
    <w:p w14:paraId="3DDAB702">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42D98656">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14:paraId="5637973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14:paraId="5418452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14:paraId="196B062B">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0445A348">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14:paraId="2B6115A3">
      <w:pPr>
        <w:autoSpaceDE w:val="0"/>
        <w:autoSpaceDN w:val="0"/>
        <w:adjustRightInd w:val="0"/>
        <w:spacing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要求见竞争性谈判公告</w:t>
      </w:r>
    </w:p>
    <w:p w14:paraId="6BCE5004">
      <w:pPr>
        <w:topLinePunct/>
        <w:adjustRightInd w:val="0"/>
        <w:snapToGrid w:val="0"/>
        <w:spacing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《响应文件》的编制</w:t>
      </w:r>
    </w:p>
    <w:p w14:paraId="20F33217">
      <w:pPr>
        <w:topLinePunct/>
        <w:adjustRightInd w:val="0"/>
        <w:snapToGrid w:val="0"/>
        <w:spacing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《响应文件》应按第六章“《响应文件》格式”进行编写，如有必要，可以增加附页，作为《响应文件》的组成部分。《谈判文件》中未列明格式的，由供应商按一般通用格式自行设计编写。</w:t>
      </w:r>
    </w:p>
    <w:p w14:paraId="4E6AC0F4">
      <w:pPr>
        <w:topLinePunct/>
        <w:adjustRightInd w:val="0"/>
        <w:snapToGrid w:val="0"/>
        <w:spacing w:beforeLines="50" w:line="300" w:lineRule="auto"/>
        <w:ind w:firstLine="566" w:firstLineChars="235"/>
        <w:rPr>
          <w:rFonts w:ascii="宋体" w:hAnsi="宋体" w:cs="楷体_GB2312"/>
          <w:b/>
          <w:color w:val="auto"/>
          <w:sz w:val="24"/>
          <w:lang w:val="zh-CN"/>
        </w:rPr>
      </w:pPr>
      <w:r>
        <w:rPr>
          <w:rFonts w:hint="eastAsia" w:ascii="宋体" w:hAnsi="宋体" w:cs="楷体_GB2312"/>
          <w:b/>
          <w:color w:val="auto"/>
          <w:sz w:val="24"/>
          <w:lang w:val="zh-CN"/>
        </w:rPr>
        <w:t>《响应文件》编制后</w:t>
      </w:r>
      <w:r>
        <w:rPr>
          <w:rFonts w:ascii="宋体" w:hAnsi="宋体" w:cs="楷体_GB2312"/>
          <w:b/>
          <w:color w:val="auto"/>
          <w:sz w:val="24"/>
          <w:lang w:val="zh-CN"/>
        </w:rPr>
        <w:t>，需录入导入</w:t>
      </w:r>
      <w:r>
        <w:rPr>
          <w:rFonts w:hint="eastAsia" w:ascii="宋体" w:hAnsi="宋体" w:cs="楷体_GB2312"/>
          <w:b/>
          <w:color w:val="auto"/>
          <w:sz w:val="24"/>
          <w:lang w:val="zh-CN"/>
        </w:rPr>
        <w:t>“竞争性谈判</w:t>
      </w:r>
      <w:r>
        <w:rPr>
          <w:rFonts w:ascii="宋体" w:hAnsi="宋体" w:cs="楷体_GB2312"/>
          <w:b/>
          <w:color w:val="auto"/>
          <w:sz w:val="24"/>
          <w:lang w:val="zh-CN"/>
        </w:rPr>
        <w:t>公告</w:t>
      </w:r>
      <w:r>
        <w:rPr>
          <w:rFonts w:hint="eastAsia" w:ascii="宋体" w:hAnsi="宋体" w:cs="楷体_GB2312"/>
          <w:b/>
          <w:color w:val="auto"/>
          <w:sz w:val="24"/>
          <w:lang w:val="zh-CN"/>
        </w:rPr>
        <w:t>”</w:t>
      </w:r>
      <w:r>
        <w:rPr>
          <w:rFonts w:ascii="宋体" w:hAnsi="宋体" w:cs="楷体_GB2312"/>
          <w:b/>
          <w:color w:val="auto"/>
          <w:sz w:val="24"/>
          <w:lang w:val="zh-CN"/>
        </w:rPr>
        <w:t>所述 “</w:t>
      </w:r>
      <w:r>
        <w:rPr>
          <w:rFonts w:hint="eastAsia" w:ascii="宋体" w:hAnsi="宋体" w:cs="楷体_GB2312"/>
          <w:b/>
          <w:color w:val="auto"/>
          <w:sz w:val="24"/>
          <w:lang w:val="zh-CN"/>
        </w:rPr>
        <w:t>安阳市政府采购投标文件编制系统</w:t>
      </w:r>
      <w:r>
        <w:rPr>
          <w:rFonts w:ascii="宋体" w:hAnsi="宋体" w:cs="楷体_GB2312"/>
          <w:b/>
          <w:color w:val="auto"/>
          <w:sz w:val="24"/>
          <w:lang w:val="zh-CN"/>
        </w:rPr>
        <w:t>”</w:t>
      </w:r>
      <w:r>
        <w:rPr>
          <w:rFonts w:hint="eastAsia" w:ascii="宋体" w:hAnsi="宋体" w:cs="楷体_GB2312"/>
          <w:b/>
          <w:color w:val="auto"/>
          <w:sz w:val="24"/>
          <w:lang w:val="zh-CN"/>
        </w:rPr>
        <w:t>，经电</w:t>
      </w:r>
      <w:r>
        <w:rPr>
          <w:rFonts w:ascii="宋体" w:hAnsi="宋体" w:cs="楷体_GB2312"/>
          <w:b/>
          <w:color w:val="auto"/>
          <w:sz w:val="24"/>
          <w:lang w:val="zh-CN"/>
        </w:rPr>
        <w:t>子签名并加密后、在</w:t>
      </w:r>
      <w:r>
        <w:rPr>
          <w:rFonts w:hint="eastAsia" w:ascii="宋体" w:hAnsi="宋体" w:cs="楷体_GB2312"/>
          <w:b/>
          <w:color w:val="auto"/>
          <w:sz w:val="24"/>
          <w:lang w:val="zh-CN"/>
        </w:rPr>
        <w:t>《响应文件》提交截止时间前，</w:t>
      </w:r>
      <w:r>
        <w:rPr>
          <w:rFonts w:ascii="宋体" w:hAnsi="宋体" w:cs="楷体_GB2312"/>
          <w:b/>
          <w:color w:val="auto"/>
          <w:sz w:val="24"/>
          <w:lang w:val="zh-CN"/>
        </w:rPr>
        <w:t>上</w:t>
      </w:r>
      <w:r>
        <w:rPr>
          <w:rFonts w:hint="eastAsia" w:ascii="宋体" w:hAnsi="宋体" w:cs="楷体_GB2312"/>
          <w:b/>
          <w:color w:val="auto"/>
          <w:sz w:val="24"/>
          <w:lang w:val="zh-CN"/>
        </w:rPr>
        <w:t>传至“竞争性谈判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14:paraId="3880D7EC">
      <w:pPr>
        <w:topLinePunct/>
        <w:adjustRightInd w:val="0"/>
        <w:snapToGrid w:val="0"/>
        <w:spacing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“《响应文件》格式”仅为对《响应文件》部分内容的格式化规范，并非《响应文件》所应具备的全部内容。供应商应按本章“</w:t>
      </w:r>
      <w:r>
        <w:rPr>
          <w:rFonts w:ascii="宋体" w:hAnsi="宋体" w:cs="楷体_GB2312"/>
          <w:color w:val="auto"/>
          <w:sz w:val="24"/>
          <w:lang w:val="zh-CN"/>
        </w:rPr>
        <w:t>3.2</w:t>
      </w:r>
      <w:r>
        <w:rPr>
          <w:rFonts w:hint="eastAsia" w:ascii="宋体" w:hAnsi="宋体" w:cs="楷体_GB2312"/>
          <w:color w:val="auto"/>
          <w:sz w:val="24"/>
          <w:lang w:val="zh-CN"/>
        </w:rPr>
        <w:t>《响应文件》的组成”列示内容编制《响应文件》。</w:t>
      </w:r>
    </w:p>
    <w:p w14:paraId="6FEF81BA">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响应文件》应当对《谈判文件》有关标段（包）内容（范围）、技术要求、售后服务、交验期、投标有效期等实质性内容作出响应。在满足《谈判文件》实质性要求的基础上，可以提出比《谈判文件》要求更有利于采购人的承诺。并符合《谈判文件》偏差规定。</w:t>
      </w:r>
    </w:p>
    <w:p w14:paraId="3DED967C">
      <w:pPr>
        <w:adjustRightInd w:val="0"/>
        <w:snapToGrid w:val="0"/>
        <w:spacing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响应文件》的所有条款与《谈判文件》要求有任何不同之处，应按《技术偏差表》、《其他偏差表》格式逐一填列。《响应文件》与《谈判文件》所有要求存在偏差而未填列的，谈判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。供应商应认真编制《响应文件》并自负此项风险。</w:t>
      </w:r>
    </w:p>
    <w:p w14:paraId="3636A1E8">
      <w:pPr>
        <w:autoSpaceDE w:val="0"/>
        <w:autoSpaceDN w:val="0"/>
        <w:adjustRightInd w:val="0"/>
        <w:snapToGrid w:val="0"/>
        <w:spacing w:beforeLines="50" w:line="300" w:lineRule="auto"/>
        <w:ind w:firstLine="539"/>
        <w:rPr>
          <w:rFonts w:ascii="宋体" w:cs="楷体_GB2312"/>
          <w:b/>
          <w:color w:val="auto"/>
          <w:sz w:val="24"/>
        </w:rPr>
      </w:pPr>
      <w:r>
        <w:rPr>
          <w:rFonts w:ascii="宋体" w:hAnsi="宋体" w:cs="楷体_GB2312"/>
          <w:b/>
          <w:color w:val="auto"/>
          <w:sz w:val="24"/>
          <w:lang w:val="zh-CN"/>
        </w:rPr>
        <w:t>3</w:t>
      </w:r>
      <w:r>
        <w:rPr>
          <w:rFonts w:ascii="宋体" w:hAnsi="宋体" w:cs="楷体_GB2312"/>
          <w:b/>
          <w:color w:val="auto"/>
          <w:sz w:val="24"/>
        </w:rPr>
        <w:t>.7.</w:t>
      </w:r>
      <w:r>
        <w:rPr>
          <w:rFonts w:hint="eastAsia" w:ascii="宋体" w:hAnsi="宋体" w:cs="楷体_GB2312"/>
          <w:b/>
          <w:color w:val="auto"/>
          <w:sz w:val="24"/>
        </w:rPr>
        <w:t>4</w:t>
      </w:r>
      <w:r>
        <w:rPr>
          <w:rFonts w:ascii="宋体" w:hAnsi="宋体" w:cs="楷体_GB2312"/>
          <w:b/>
          <w:color w:val="auto"/>
          <w:sz w:val="24"/>
        </w:rPr>
        <w:t xml:space="preserve"> </w:t>
      </w:r>
      <w:r>
        <w:rPr>
          <w:rFonts w:hint="eastAsia" w:ascii="宋体" w:hAnsi="宋体" w:cs="楷体_GB2312"/>
          <w:b/>
          <w:color w:val="auto"/>
          <w:sz w:val="24"/>
        </w:rPr>
        <w:t>《响应文件》应按《</w:t>
      </w:r>
      <w:r>
        <w:rPr>
          <w:rFonts w:hint="eastAsia" w:ascii="宋体" w:hAnsi="宋体" w:cs="楷体_GB2312"/>
          <w:b/>
          <w:color w:val="auto"/>
          <w:sz w:val="24"/>
          <w:lang w:eastAsia="zh-CN"/>
        </w:rPr>
        <w:t>谈判</w:t>
      </w:r>
      <w:r>
        <w:rPr>
          <w:rFonts w:hint="eastAsia" w:ascii="宋体" w:hAnsi="宋体" w:cs="楷体_GB2312"/>
          <w:b/>
          <w:color w:val="auto"/>
          <w:sz w:val="24"/>
        </w:rPr>
        <w:t>文件》</w:t>
      </w:r>
      <w:r>
        <w:rPr>
          <w:rFonts w:hint="eastAsia" w:ascii="宋体" w:hAnsi="宋体" w:cs="楷体_GB2312"/>
          <w:b/>
          <w:color w:val="auto"/>
          <w:sz w:val="24"/>
          <w:lang w:val="zh-CN"/>
        </w:rPr>
        <w:t>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签名并加密的《响应文件》，属于未按照《</w:t>
      </w:r>
      <w:r>
        <w:rPr>
          <w:rFonts w:hint="eastAsia" w:ascii="宋体" w:hAnsi="宋体" w:cs="楷体_GB2312"/>
          <w:b/>
          <w:color w:val="auto"/>
          <w:sz w:val="24"/>
          <w:lang w:eastAsia="zh-CN"/>
        </w:rPr>
        <w:t>谈判</w:t>
      </w:r>
      <w:r>
        <w:rPr>
          <w:rFonts w:hint="eastAsia" w:ascii="宋体" w:hAnsi="宋体" w:cs="楷体_GB2312"/>
          <w:b/>
          <w:color w:val="auto"/>
          <w:sz w:val="24"/>
        </w:rPr>
        <w:t>文件》要求进行签署。</w:t>
      </w:r>
    </w:p>
    <w:p w14:paraId="18FC3919">
      <w:pPr>
        <w:autoSpaceDE w:val="0"/>
        <w:autoSpaceDN w:val="0"/>
        <w:adjustRightInd w:val="0"/>
        <w:snapToGrid w:val="0"/>
        <w:spacing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rPr>
        <w:t>公</w:t>
      </w:r>
      <w:r>
        <w:rPr>
          <w:rFonts w:hint="eastAsia" w:ascii="宋体" w:hAnsi="宋体" w:cs="楷体_GB2312"/>
          <w:b/>
          <w:color w:val="auto"/>
          <w:sz w:val="24"/>
        </w:rPr>
        <w:t>章具有同等法律效力；供应商法定代表人使用有效的个人数字证书对《响应文件》进行签名与法人签章具有同等法律效力。</w:t>
      </w:r>
    </w:p>
    <w:p w14:paraId="4F68424C">
      <w:pPr>
        <w:adjustRightInd w:val="0"/>
        <w:snapToGrid w:val="0"/>
        <w:spacing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供应商可对本《谈判文件》“标段（包）一览表”中所列的所有标段（包）进行分别投标，也可选择其中一个标段（包）或几个标段（包）投标，但不得将《谈判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14:paraId="22F4CAC3">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《响应文件》因字迹或表述不清所引起的后果由供应商自行负责。</w:t>
      </w:r>
    </w:p>
    <w:p w14:paraId="3923DE8C">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未按上述要求提交的《响应文件》将视为</w:t>
      </w:r>
      <w:r>
        <w:rPr>
          <w:rFonts w:hint="eastAsia" w:ascii="宋体" w:hAnsi="宋体" w:cs="楷体_GB2312"/>
          <w:b/>
          <w:color w:val="auto"/>
          <w:sz w:val="24"/>
          <w:lang w:val="zh-CN"/>
        </w:rPr>
        <w:t>无效投标。</w:t>
      </w:r>
    </w:p>
    <w:p w14:paraId="6611F9D8">
      <w:pPr>
        <w:autoSpaceDE w:val="0"/>
        <w:autoSpaceDN w:val="0"/>
        <w:adjustRightInd w:val="0"/>
        <w:spacing w:line="360" w:lineRule="auto"/>
        <w:rPr>
          <w:rFonts w:ascii="黑体" w:hAnsi="黑体" w:eastAsia="黑体" w:cs="楷体_GB2312"/>
          <w:b/>
          <w:bCs/>
          <w:color w:val="auto"/>
          <w:sz w:val="28"/>
          <w:szCs w:val="28"/>
          <w:lang w:val="zh-CN"/>
        </w:rPr>
      </w:pPr>
    </w:p>
    <w:p w14:paraId="2E2F567C">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17" w:name="_Toc106792511"/>
      <w:r>
        <w:rPr>
          <w:rFonts w:ascii="黑体" w:hAnsi="黑体" w:eastAsia="黑体" w:cs="楷体_GB2312"/>
          <w:b/>
          <w:bCs/>
          <w:color w:val="auto"/>
          <w:sz w:val="28"/>
          <w:szCs w:val="28"/>
          <w:lang w:val="zh-CN"/>
        </w:rPr>
        <w:t>4.</w:t>
      </w:r>
      <w:r>
        <w:rPr>
          <w:rFonts w:hint="eastAsia" w:ascii="黑体" w:hAnsi="黑体" w:eastAsia="黑体" w:cs="楷体_GB2312"/>
          <w:b/>
          <w:bCs/>
          <w:color w:val="auto"/>
          <w:sz w:val="28"/>
          <w:szCs w:val="28"/>
          <w:lang w:val="zh-CN"/>
        </w:rPr>
        <w:t>《响应文件》的提交</w:t>
      </w:r>
      <w:bookmarkEnd w:id="17"/>
    </w:p>
    <w:p w14:paraId="25D3131E">
      <w:pPr>
        <w:autoSpaceDE w:val="0"/>
        <w:autoSpaceDN w:val="0"/>
        <w:adjustRightInd w:val="0"/>
        <w:snapToGrid w:val="0"/>
        <w:spacing w:beforeLines="50" w:line="300" w:lineRule="auto"/>
        <w:ind w:firstLine="539"/>
        <w:rPr>
          <w:rFonts w:ascii="宋体" w:hAnsi="宋体" w:cs="楷体_GB2312"/>
          <w:b/>
          <w:color w:val="auto"/>
          <w:sz w:val="24"/>
          <w:lang w:val="zh-CN"/>
        </w:rPr>
      </w:pPr>
      <w:bookmarkStart w:id="18" w:name="OLE_LINK2"/>
      <w:bookmarkStart w:id="19" w:name="_Toc296602445"/>
      <w:r>
        <w:rPr>
          <w:rFonts w:hint="eastAsia" w:ascii="宋体" w:hAnsi="宋体" w:cs="楷体_GB2312"/>
          <w:b/>
          <w:color w:val="auto"/>
          <w:sz w:val="24"/>
          <w:lang w:val="zh-CN"/>
        </w:rPr>
        <w:t>4.1《响应文件》的密封和标记：</w:t>
      </w:r>
    </w:p>
    <w:p w14:paraId="70760C09">
      <w:pPr>
        <w:autoSpaceDE w:val="0"/>
        <w:autoSpaceDN w:val="0"/>
        <w:adjustRightInd w:val="0"/>
        <w:snapToGrid w:val="0"/>
        <w:spacing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4.1.1 </w:t>
      </w:r>
      <w:r>
        <w:rPr>
          <w:rFonts w:hint="eastAsia" w:ascii="宋体" w:hAnsi="宋体" w:cs="楷体_GB2312"/>
          <w:b/>
          <w:color w:val="auto"/>
          <w:sz w:val="24"/>
          <w:lang w:val="zh-CN"/>
        </w:rPr>
        <w:t>《响应文件》应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《响应文件》</w:t>
      </w:r>
      <w:r>
        <w:rPr>
          <w:rFonts w:ascii="宋体" w:hAnsi="宋体" w:cs="楷体_GB2312"/>
          <w:b/>
          <w:color w:val="auto"/>
          <w:sz w:val="24"/>
          <w:lang w:val="zh-CN"/>
        </w:rPr>
        <w:t>上</w:t>
      </w:r>
      <w:r>
        <w:rPr>
          <w:rFonts w:hint="eastAsia" w:ascii="宋体" w:hAnsi="宋体" w:cs="楷体_GB2312"/>
          <w:b/>
          <w:color w:val="auto"/>
          <w:sz w:val="24"/>
          <w:lang w:val="zh-CN"/>
        </w:rPr>
        <w:t>传至“竞争性谈判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14:paraId="3A5C6EFD">
      <w:pPr>
        <w:autoSpaceDE w:val="0"/>
        <w:autoSpaceDN w:val="0"/>
        <w:adjustRightInd w:val="0"/>
        <w:snapToGrid w:val="0"/>
        <w:spacing w:beforeLines="50" w:line="300" w:lineRule="auto"/>
        <w:ind w:firstLine="539"/>
        <w:rPr>
          <w:rFonts w:ascii="黑体" w:hAnsi="黑体" w:eastAsia="黑体" w:cs="楷体_GB2312"/>
          <w:b/>
          <w:color w:val="auto"/>
          <w:sz w:val="24"/>
          <w:lang w:val="zh-CN"/>
        </w:rPr>
      </w:pPr>
      <w:bookmarkStart w:id="20" w:name="OLE_LINK1"/>
      <w:r>
        <w:rPr>
          <w:rFonts w:ascii="宋体" w:hAnsi="宋体" w:cs="楷体_GB2312"/>
          <w:b/>
          <w:color w:val="auto"/>
          <w:sz w:val="24"/>
          <w:lang w:val="zh-CN"/>
        </w:rPr>
        <w:t xml:space="preserve">4.1.2 </w:t>
      </w:r>
      <w:r>
        <w:rPr>
          <w:rFonts w:hint="eastAsia" w:ascii="宋体" w:hAnsi="宋体" w:cs="楷体_GB2312"/>
          <w:b/>
          <w:color w:val="auto"/>
          <w:sz w:val="24"/>
          <w:lang w:val="zh-CN"/>
        </w:rPr>
        <w:t>《响应文件》没有按照上述要求进行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拒收其《响应文件》，供应商应自负该项风险，采购代理机构对可能产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0"/>
    </w:p>
    <w:bookmarkEnd w:id="18"/>
    <w:p w14:paraId="5D453498">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《响应文件》的递交</w:t>
      </w:r>
      <w:bookmarkEnd w:id="19"/>
    </w:p>
    <w:p w14:paraId="0D87CCFF">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供应商须</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截止时间前，将加密的《响应文件》上传至“竞争性谈判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”所述网上电子交易系统（在网上电子交易系统，凭企业数字证书登录投标用户入口 的“政府采购”系统上传）。供应商应在上传时认真检查上传《响应文件》是否完整、正确。</w:t>
      </w:r>
    </w:p>
    <w:p w14:paraId="19F6E8BE">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的《响应文件》。</w:t>
      </w:r>
    </w:p>
    <w:p w14:paraId="3C1B1BCF">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由于不可抗拒的原因，代理机构对《响应文件》的遗失和损坏不负任何责任。</w:t>
      </w:r>
    </w:p>
    <w:p w14:paraId="0F67A4C4">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除供应商须知前附表另有规定外，供应商所递交的《响应文件》不予退还。</w:t>
      </w:r>
    </w:p>
    <w:p w14:paraId="466D423B">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14:paraId="0C2D2A2A">
      <w:pPr>
        <w:autoSpaceDE w:val="0"/>
        <w:autoSpaceDN w:val="0"/>
        <w:adjustRightInd w:val="0"/>
        <w:snapToGrid w:val="0"/>
        <w:spacing w:beforeLines="50" w:line="300" w:lineRule="auto"/>
        <w:ind w:firstLine="539"/>
        <w:rPr>
          <w:rFonts w:ascii="宋体" w:hAns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《响应文件》的修改与撤回</w:t>
      </w:r>
      <w:r>
        <w:rPr>
          <w:rFonts w:hint="eastAsia" w:ascii="宋体" w:hAnsi="宋体" w:cs="楷体_GB2312"/>
          <w:color w:val="auto"/>
          <w:sz w:val="24"/>
          <w:lang w:val="zh-CN"/>
        </w:rPr>
        <w:t>：</w:t>
      </w:r>
    </w:p>
    <w:p w14:paraId="3B8F1FDE">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供应商于提交《响应文件》截止时间前如对《响应文件》进行补充、修改，可以上传新的《响应文件》进行覆盖。供应商如撤回《响应文件》，应及时书面通知采购代理机构进行办理。</w:t>
      </w:r>
    </w:p>
    <w:p w14:paraId="711D8D73">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供应商在《响应文件》提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6E1061D4">
      <w:pPr>
        <w:autoSpaceDE w:val="0"/>
        <w:autoSpaceDN w:val="0"/>
        <w:adjustRightInd w:val="0"/>
        <w:snapToGrid w:val="0"/>
        <w:spacing w:beforeLines="50" w:line="300" w:lineRule="auto"/>
        <w:rPr>
          <w:rFonts w:ascii="宋体" w:cs="楷体_GB2312"/>
          <w:color w:val="auto"/>
          <w:sz w:val="24"/>
          <w:lang w:val="zh-CN"/>
        </w:rPr>
      </w:pPr>
    </w:p>
    <w:p w14:paraId="7F6049E9">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21" w:name="_Toc106792512"/>
      <w:r>
        <w:rPr>
          <w:rFonts w:ascii="黑体" w:hAnsi="黑体" w:eastAsia="黑体" w:cs="楷体_GB2312"/>
          <w:b/>
          <w:bCs/>
          <w:color w:val="auto"/>
          <w:sz w:val="28"/>
          <w:szCs w:val="28"/>
          <w:lang w:val="zh-CN"/>
        </w:rPr>
        <w:t>5.</w:t>
      </w:r>
      <w:r>
        <w:rPr>
          <w:rFonts w:hint="eastAsia" w:ascii="黑体" w:hAnsi="黑体" w:eastAsia="黑体" w:cs="楷体_GB2312"/>
          <w:b/>
          <w:bCs/>
          <w:color w:val="auto"/>
          <w:sz w:val="28"/>
          <w:szCs w:val="28"/>
          <w:lang w:val="zh-CN"/>
        </w:rPr>
        <w:t>《响应文件》的开启</w:t>
      </w:r>
      <w:bookmarkEnd w:id="21"/>
    </w:p>
    <w:p w14:paraId="4D3F979D">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《响应文件》开启时间和地点</w:t>
      </w:r>
    </w:p>
    <w:p w14:paraId="080D7129">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采购人和采购代理机构按“竞争性谈判</w:t>
      </w:r>
      <w:r>
        <w:rPr>
          <w:rFonts w:ascii="宋体" w:hAnsi="宋体" w:cs="楷体_GB2312"/>
          <w:b/>
          <w:color w:val="auto"/>
          <w:sz w:val="24"/>
          <w:lang w:val="zh-CN"/>
        </w:rPr>
        <w:t>公告</w:t>
      </w:r>
      <w:r>
        <w:rPr>
          <w:rFonts w:hint="eastAsia" w:ascii="宋体" w:hAnsi="宋体" w:cs="楷体_GB2312"/>
          <w:b/>
          <w:color w:val="auto"/>
          <w:sz w:val="24"/>
          <w:lang w:val="zh-CN"/>
        </w:rPr>
        <w:t>”规定的时间和地点于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（竞争性谈判公告所述网上电子交易系统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公开《响应文件》开启。</w:t>
      </w:r>
    </w:p>
    <w:p w14:paraId="46081970">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 xml:space="preserve"> 供应商需在开标前打开“竞争性谈判</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”所述网上电子交易系统，凭企业数字证书登录投标用户入口 的“政府采购”系统，并进入本项目相匹配的网上开标室。</w:t>
      </w:r>
    </w:p>
    <w:p w14:paraId="45806873">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《响应文件》开启程序</w:t>
      </w:r>
    </w:p>
    <w:p w14:paraId="5803AEE1">
      <w:pPr>
        <w:autoSpaceDE w:val="0"/>
        <w:autoSpaceDN w:val="0"/>
        <w:adjustRightInd w:val="0"/>
        <w:snapToGrid w:val="0"/>
        <w:spacing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《响应文件》的开启方式为远程解密，为保证开启工作顺利进行，供应商需在开标阶段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管理员下达解密指令后的指定时限内，完成对本单位的加密《响应文件》的远程解密。如供应商因自身原因、在指定时限内没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解密成功的，其投标将不能被接受，供应商自行承担相应后果。解密完成后，供应商的报价将在系统界面上显示。</w:t>
      </w:r>
    </w:p>
    <w:p w14:paraId="2C4DB0D5">
      <w:pPr>
        <w:autoSpaceDE w:val="0"/>
        <w:autoSpaceDN w:val="0"/>
        <w:adjustRightInd w:val="0"/>
        <w:snapToGrid w:val="0"/>
        <w:spacing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03A7AD64">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供应商对开标过程和开标记录有疑义，以及认为采购人、采购代理机构相关工作人员有需要回避的情形的，应在系统中提出询问或者回避申请，否则，视为对开标无异议。</w:t>
      </w:r>
    </w:p>
    <w:p w14:paraId="0E7E9081">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14:paraId="677F925A">
      <w:pPr>
        <w:autoSpaceDE w:val="0"/>
        <w:autoSpaceDN w:val="0"/>
        <w:adjustRightInd w:val="0"/>
        <w:snapToGrid w:val="0"/>
        <w:spacing w:beforeLines="50" w:line="300" w:lineRule="auto"/>
        <w:ind w:firstLine="539"/>
        <w:rPr>
          <w:rFonts w:ascii="宋体" w:cs="楷体_GB2312"/>
          <w:color w:val="auto"/>
          <w:sz w:val="24"/>
          <w:lang w:val="zh-CN"/>
        </w:rPr>
      </w:pPr>
    </w:p>
    <w:p w14:paraId="623AEC1B">
      <w:pPr>
        <w:autoSpaceDE w:val="0"/>
        <w:autoSpaceDN w:val="0"/>
        <w:adjustRightInd w:val="0"/>
        <w:snapToGrid w:val="0"/>
        <w:spacing w:beforeLines="50" w:line="300" w:lineRule="auto"/>
        <w:ind w:firstLine="539"/>
        <w:outlineLvl w:val="1"/>
        <w:rPr>
          <w:rFonts w:ascii="宋体" w:cs="楷体_GB2312"/>
          <w:color w:val="auto"/>
          <w:sz w:val="24"/>
          <w:lang w:val="zh-CN"/>
        </w:rPr>
      </w:pPr>
      <w:bookmarkStart w:id="22" w:name="_Toc106792513"/>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2"/>
    </w:p>
    <w:p w14:paraId="1C7B8C4A">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 xml:space="preserve">谈判小组 </w:t>
      </w:r>
    </w:p>
    <w:p w14:paraId="27FAA6E7">
      <w:pPr>
        <w:autoSpaceDE w:val="0"/>
        <w:autoSpaceDN w:val="0"/>
        <w:adjustRightInd w:val="0"/>
        <w:snapToGrid w:val="0"/>
        <w:spacing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评审工作由依法组建的谈判小组负责。谈判小组由采购人代表和评审专家共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人及以上单数组成，其中评审专家人数不少于谈判小组成员总数的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14:paraId="267B3AC0">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3CFE3BE1">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14:paraId="3E1AA5D6">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按照同一评审程序及方法审查所有供应商的《响应文件》。</w:t>
      </w:r>
    </w:p>
    <w:p w14:paraId="168510B4">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3462E947">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038FD8C4">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评审工作在谈判小组内独立进行。谈判小组按照第四章“评审办法”规定的方法、评审因素、标准和程序对投标文件进行评审。第四章“评审办法”没有规定的方法、评审因素和标准，不作为评审依据。</w:t>
      </w:r>
    </w:p>
    <w:p w14:paraId="725F8D80">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在《响应文件》开启、评审期间，供应商不得向谈判小组成员询问情况，不得进行旨在影响评审结果的活动。</w:t>
      </w:r>
    </w:p>
    <w:p w14:paraId="2E7ACAEC">
      <w:pPr>
        <w:autoSpaceDE w:val="0"/>
        <w:autoSpaceDN w:val="0"/>
        <w:adjustRightInd w:val="0"/>
        <w:snapToGrid w:val="0"/>
        <w:spacing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谈判：</w:t>
      </w:r>
      <w:r>
        <w:rPr>
          <w:rFonts w:hint="eastAsia" w:ascii="宋体" w:hAnsi="宋体" w:cs="楷体_GB2312"/>
          <w:color w:val="auto"/>
          <w:sz w:val="24"/>
          <w:lang w:val="zh-CN"/>
        </w:rPr>
        <w:t>见第四章评审办法</w:t>
      </w:r>
      <w:r>
        <w:rPr>
          <w:rFonts w:ascii="宋体" w:hAnsi="宋体" w:cs="楷体_GB2312"/>
          <w:color w:val="auto"/>
          <w:sz w:val="24"/>
          <w:lang w:val="zh-CN"/>
        </w:rPr>
        <w:t xml:space="preserve">3.4 </w:t>
      </w:r>
      <w:r>
        <w:rPr>
          <w:rFonts w:hint="eastAsia" w:ascii="宋体" w:hAnsi="宋体" w:cs="楷体_GB2312"/>
          <w:color w:val="auto"/>
          <w:sz w:val="24"/>
          <w:lang w:val="zh-CN"/>
        </w:rPr>
        <w:t>谈判规则</w:t>
      </w:r>
    </w:p>
    <w:p w14:paraId="6A068989">
      <w:pPr>
        <w:autoSpaceDE w:val="0"/>
        <w:autoSpaceDN w:val="0"/>
        <w:adjustRightInd w:val="0"/>
        <w:snapToGrid w:val="0"/>
        <w:spacing w:beforeLines="50" w:line="300" w:lineRule="auto"/>
        <w:ind w:firstLine="539"/>
        <w:rPr>
          <w:rFonts w:ascii="宋体" w:cs="楷体_GB2312"/>
          <w:color w:val="auto"/>
          <w:sz w:val="24"/>
          <w:lang w:val="zh-CN"/>
        </w:rPr>
      </w:pPr>
    </w:p>
    <w:p w14:paraId="49E93D94">
      <w:pPr>
        <w:autoSpaceDE w:val="0"/>
        <w:autoSpaceDN w:val="0"/>
        <w:adjustRightInd w:val="0"/>
        <w:snapToGrid w:val="0"/>
        <w:spacing w:beforeLines="50" w:line="300" w:lineRule="auto"/>
        <w:ind w:firstLine="539"/>
        <w:outlineLvl w:val="1"/>
        <w:rPr>
          <w:rFonts w:ascii="黑体" w:hAnsi="黑体" w:eastAsia="黑体" w:cs="楷体_GB2312"/>
          <w:b/>
          <w:bCs/>
          <w:color w:val="auto"/>
          <w:sz w:val="28"/>
          <w:szCs w:val="28"/>
          <w:lang w:val="zh-CN"/>
        </w:rPr>
      </w:pPr>
      <w:bookmarkStart w:id="23" w:name="_Toc106792514"/>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3"/>
    </w:p>
    <w:p w14:paraId="0FF587F9">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751D1EDB">
      <w:pPr>
        <w:ind w:firstLine="480" w:firstLineChars="200"/>
        <w:jc w:val="left"/>
      </w:pPr>
      <w:r>
        <w:rPr>
          <w:rFonts w:hint="eastAsia" w:ascii="宋体" w:hAnsi="宋体" w:cs="宋体"/>
          <w:sz w:val="24"/>
          <w:szCs w:val="24"/>
        </w:rPr>
        <w:t>除供应商须知前附表规定授权</w:t>
      </w:r>
      <w:r>
        <w:rPr>
          <w:rFonts w:hint="eastAsia" w:ascii="宋体" w:hAnsi="宋体" w:cs="宋体"/>
          <w:sz w:val="24"/>
          <w:szCs w:val="24"/>
          <w:lang w:eastAsia="zh-CN"/>
        </w:rPr>
        <w:t>谈判</w:t>
      </w:r>
      <w:r>
        <w:rPr>
          <w:rFonts w:hint="eastAsia" w:ascii="宋体" w:hAnsi="宋体" w:cs="宋体"/>
          <w:sz w:val="24"/>
          <w:szCs w:val="24"/>
        </w:rPr>
        <w:t xml:space="preserve">小组直接确定成交供应商外，采购人应当自收到评 </w:t>
      </w:r>
    </w:p>
    <w:p w14:paraId="5F3F5731">
      <w:pPr>
        <w:jc w:val="left"/>
      </w:pPr>
      <w:r>
        <w:rPr>
          <w:rFonts w:hint="eastAsia" w:ascii="宋体" w:hAnsi="宋体" w:cs="宋体"/>
          <w:sz w:val="24"/>
          <w:szCs w:val="24"/>
        </w:rPr>
        <w:t xml:space="preserve">标（审）报告的当日内在评标（审）报告推荐的中标（成交）候选人中按顺序确定中标（成 </w:t>
      </w:r>
    </w:p>
    <w:p w14:paraId="1C45A810">
      <w:pPr>
        <w:jc w:val="left"/>
      </w:pPr>
      <w:r>
        <w:rPr>
          <w:rFonts w:hint="eastAsia" w:ascii="宋体" w:hAnsi="宋体" w:cs="宋体"/>
          <w:sz w:val="24"/>
          <w:szCs w:val="24"/>
        </w:rPr>
        <w:t xml:space="preserve">交）供应商。若排名第一的中标（成交）候选人放弃中标（成交），或者因不可抗力不能 </w:t>
      </w:r>
    </w:p>
    <w:p w14:paraId="7E2A7938">
      <w:pPr>
        <w:jc w:val="left"/>
      </w:pPr>
      <w:r>
        <w:rPr>
          <w:rFonts w:hint="eastAsia" w:ascii="宋体" w:hAnsi="宋体" w:cs="宋体"/>
          <w:sz w:val="24"/>
          <w:szCs w:val="24"/>
        </w:rPr>
        <w:t xml:space="preserve">履行合同，或者被查实存在影响成交结果的违法行为等情形、不符合成交条件的，采购人 </w:t>
      </w:r>
    </w:p>
    <w:p w14:paraId="6CB69C6A">
      <w:pPr>
        <w:jc w:val="left"/>
      </w:pPr>
      <w:r>
        <w:rPr>
          <w:rFonts w:hint="eastAsia" w:ascii="宋体" w:hAnsi="宋体" w:cs="宋体"/>
          <w:sz w:val="24"/>
          <w:szCs w:val="24"/>
        </w:rPr>
        <w:t>可以按照</w:t>
      </w:r>
      <w:r>
        <w:rPr>
          <w:rFonts w:hint="eastAsia" w:ascii="宋体" w:hAnsi="宋体" w:cs="宋体"/>
          <w:sz w:val="24"/>
          <w:szCs w:val="24"/>
          <w:lang w:eastAsia="zh-CN"/>
        </w:rPr>
        <w:t>谈判</w:t>
      </w:r>
      <w:r>
        <w:rPr>
          <w:rFonts w:hint="eastAsia" w:ascii="宋体" w:hAnsi="宋体" w:cs="宋体"/>
          <w:sz w:val="24"/>
          <w:szCs w:val="24"/>
        </w:rPr>
        <w:t xml:space="preserve">小组提出的中标（成交）候选人名单排序依次确定其他中标（成交）候选人 </w:t>
      </w:r>
    </w:p>
    <w:p w14:paraId="13A585B1">
      <w:pPr>
        <w:jc w:val="left"/>
      </w:pPr>
      <w:r>
        <w:rPr>
          <w:rFonts w:hint="eastAsia" w:ascii="宋体" w:hAnsi="宋体" w:cs="宋体"/>
          <w:sz w:val="24"/>
          <w:szCs w:val="24"/>
        </w:rPr>
        <w:t xml:space="preserve">为中标（成交）供应商，也可以重新采购。 </w:t>
      </w:r>
    </w:p>
    <w:p w14:paraId="50C3A962">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752FE61E">
      <w:pPr>
        <w:autoSpaceDE w:val="0"/>
        <w:autoSpaceDN w:val="0"/>
        <w:adjustRightInd w:val="0"/>
        <w:snapToGrid w:val="0"/>
        <w:spacing w:beforeLines="50" w:line="300" w:lineRule="auto"/>
        <w:ind w:firstLine="539"/>
        <w:rPr>
          <w:rFonts w:ascii="宋体" w:cs="楷体_GB2312"/>
          <w:color w:val="auto"/>
          <w:sz w:val="24"/>
          <w:lang w:val="zh-CN"/>
        </w:rPr>
      </w:pPr>
      <w:r>
        <w:rPr>
          <w:rFonts w:hint="eastAsia" w:ascii="宋体" w:hAnsi="宋体" w:cs="楷体_GB2312"/>
          <w:color w:val="auto"/>
          <w:sz w:val="24"/>
          <w:lang w:val="zh-CN"/>
        </w:rPr>
        <w:t>采购代理机构在</w:t>
      </w:r>
      <w:r>
        <w:rPr>
          <w:rFonts w:hint="eastAsia" w:ascii="宋体" w:hAnsi="宋体" w:cs="楷体_GB2312"/>
          <w:color w:val="auto"/>
          <w:sz w:val="24"/>
        </w:rPr>
        <w:t>评审当日</w:t>
      </w:r>
      <w:r>
        <w:rPr>
          <w:rFonts w:hint="eastAsia" w:ascii="宋体" w:hAnsi="宋体" w:cs="楷体_GB2312"/>
          <w:color w:val="auto"/>
          <w:sz w:val="24"/>
          <w:lang w:val="zh-CN"/>
        </w:rPr>
        <w:t>在竞争性谈判公告所述媒体公告成交结果。同时向成交供应商发出成交通知书。成交结果公告期限为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72297755">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w:t>
      </w:r>
    </w:p>
    <w:p w14:paraId="6B3AA76F">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见供应商须知前附表</w:t>
      </w:r>
    </w:p>
    <w:p w14:paraId="1BEEAF4C">
      <w:pPr>
        <w:adjustRightInd w:val="0"/>
        <w:snapToGrid w:val="0"/>
        <w:spacing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14:paraId="472AACCE">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14:paraId="1DEBC115">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2A264205">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在签订合同时，成交供应商应按供应商须知前附表规定向采购人提交履约保证金。</w:t>
      </w:r>
    </w:p>
    <w:p w14:paraId="62848021">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14:paraId="6C21D5FA">
      <w:pPr>
        <w:autoSpaceDE w:val="0"/>
        <w:autoSpaceDN w:val="0"/>
        <w:adjustRightInd w:val="0"/>
        <w:snapToGrid w:val="0"/>
        <w:spacing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047E6E57">
      <w:pPr>
        <w:autoSpaceDE w:val="0"/>
        <w:autoSpaceDN w:val="0"/>
        <w:adjustRightInd w:val="0"/>
        <w:snapToGrid w:val="0"/>
        <w:spacing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据优化营商环境精神，成交供应商应在《成交通知书》发出后1个工作日内，按照《</w:t>
      </w:r>
      <w:r>
        <w:rPr>
          <w:rFonts w:hint="eastAsia" w:ascii="宋体" w:hAnsi="宋体"/>
          <w:color w:val="auto"/>
          <w:sz w:val="24"/>
          <w:lang w:eastAsia="zh-CN"/>
        </w:rPr>
        <w:t>谈判</w:t>
      </w:r>
      <w:r>
        <w:rPr>
          <w:rFonts w:hint="eastAsia" w:ascii="宋体" w:hAnsi="宋体"/>
          <w:color w:val="auto"/>
          <w:sz w:val="24"/>
        </w:rPr>
        <w:t>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14:paraId="233E7018">
      <w:pPr>
        <w:autoSpaceDE w:val="0"/>
        <w:autoSpaceDN w:val="0"/>
        <w:adjustRightInd w:val="0"/>
        <w:snapToGrid w:val="0"/>
        <w:spacing w:beforeLines="50" w:line="300" w:lineRule="auto"/>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w:t>
      </w:r>
      <w:r>
        <w:rPr>
          <w:rFonts w:hint="eastAsia" w:ascii="宋体" w:hAnsi="宋体"/>
          <w:color w:val="auto"/>
          <w:sz w:val="24"/>
          <w:szCs w:val="24"/>
          <w:lang w:eastAsia="zh-CN"/>
        </w:rPr>
        <w:t>谈判</w:t>
      </w:r>
      <w:r>
        <w:rPr>
          <w:rFonts w:hint="eastAsia" w:ascii="宋体" w:hAnsi="宋体"/>
          <w:color w:val="auto"/>
          <w:sz w:val="24"/>
          <w:szCs w:val="24"/>
        </w:rPr>
        <w:t>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给采购人造成的损失，成交供应商应予以赔偿。</w:t>
      </w:r>
    </w:p>
    <w:p w14:paraId="5E0E1F9D">
      <w:pPr>
        <w:widowControl w:val="0"/>
        <w:adjustRightInd w:val="0"/>
        <w:snapToGrid w:val="0"/>
        <w:spacing w:beforeLines="50" w:line="300" w:lineRule="auto"/>
        <w:ind w:firstLine="566"/>
        <w:rPr>
          <w:rFonts w:ascii="宋体" w:hAnsi="宋体"/>
          <w:color w:val="auto"/>
          <w:sz w:val="24"/>
          <w:szCs w:val="24"/>
        </w:rPr>
      </w:pPr>
      <w:r>
        <w:rPr>
          <w:color w:val="auto"/>
          <w:sz w:val="24"/>
          <w:szCs w:val="24"/>
        </w:rPr>
        <w:t>7.6.3</w:t>
      </w:r>
      <w:r>
        <w:rPr>
          <w:rFonts w:hint="eastAsia"/>
          <w:color w:val="auto"/>
          <w:sz w:val="24"/>
          <w:szCs w:val="24"/>
        </w:rPr>
        <w:t>合同生效：成交供应商与采购人签订的合同，双方签字后盖章生效。</w:t>
      </w:r>
      <w:r>
        <w:rPr>
          <w:rFonts w:hint="eastAsia" w:ascii="宋体" w:hAnsi="宋体"/>
          <w:color w:val="auto"/>
          <w:sz w:val="24"/>
          <w:szCs w:val="24"/>
        </w:rPr>
        <w:t>采购人要在合同签订后1个工作日内登陆安阳市政府采购网进行备案并公告。</w:t>
      </w:r>
    </w:p>
    <w:p w14:paraId="694F80F6">
      <w:pPr>
        <w:widowControl w:val="0"/>
        <w:adjustRightInd w:val="0"/>
        <w:snapToGrid w:val="0"/>
        <w:spacing w:beforeLines="50" w:line="300" w:lineRule="auto"/>
        <w:ind w:firstLine="566"/>
        <w:rPr>
          <w:color w:val="auto"/>
          <w:sz w:val="24"/>
          <w:szCs w:val="24"/>
        </w:rPr>
      </w:pPr>
      <w:r>
        <w:rPr>
          <w:color w:val="auto"/>
          <w:sz w:val="24"/>
          <w:szCs w:val="24"/>
        </w:rPr>
        <w:t>7.6.4</w:t>
      </w:r>
      <w:r>
        <w:rPr>
          <w:rFonts w:hint="eastAsia"/>
          <w:color w:val="auto"/>
          <w:sz w:val="24"/>
          <w:szCs w:val="24"/>
        </w:rPr>
        <w:t>《成交通知书》、《</w:t>
      </w:r>
      <w:r>
        <w:rPr>
          <w:rFonts w:hint="eastAsia"/>
          <w:color w:val="auto"/>
          <w:sz w:val="24"/>
          <w:szCs w:val="24"/>
          <w:lang w:eastAsia="zh-CN"/>
        </w:rPr>
        <w:t>谈判</w:t>
      </w:r>
      <w:r>
        <w:rPr>
          <w:rFonts w:hint="eastAsia"/>
          <w:color w:val="auto"/>
          <w:sz w:val="24"/>
          <w:szCs w:val="24"/>
        </w:rPr>
        <w:t>文件》</w:t>
      </w:r>
      <w:r>
        <w:rPr>
          <w:rFonts w:hint="eastAsia"/>
          <w:color w:val="auto"/>
          <w:spacing w:val="20"/>
          <w:sz w:val="24"/>
          <w:szCs w:val="24"/>
        </w:rPr>
        <w:t>及其修改补充澄清</w:t>
      </w:r>
      <w:r>
        <w:rPr>
          <w:rFonts w:hint="eastAsia"/>
          <w:color w:val="auto"/>
          <w:sz w:val="24"/>
          <w:szCs w:val="24"/>
        </w:rPr>
        <w:t>、成交供应商的《响应文件》及</w:t>
      </w:r>
      <w:r>
        <w:rPr>
          <w:rFonts w:hint="eastAsia"/>
          <w:color w:val="auto"/>
          <w:spacing w:val="20"/>
          <w:sz w:val="24"/>
          <w:szCs w:val="24"/>
        </w:rPr>
        <w:t>及其修改补充澄清</w:t>
      </w:r>
      <w:r>
        <w:rPr>
          <w:rFonts w:hint="eastAsia"/>
          <w:color w:val="auto"/>
          <w:sz w:val="24"/>
          <w:szCs w:val="24"/>
        </w:rPr>
        <w:t>等，均为签订合同的依据。所定合同不得对《</w:t>
      </w:r>
      <w:r>
        <w:rPr>
          <w:rFonts w:hint="eastAsia"/>
          <w:color w:val="auto"/>
          <w:sz w:val="24"/>
          <w:szCs w:val="24"/>
          <w:lang w:eastAsia="zh-CN"/>
        </w:rPr>
        <w:t>谈判</w:t>
      </w:r>
      <w:r>
        <w:rPr>
          <w:rFonts w:hint="eastAsia"/>
          <w:color w:val="auto"/>
          <w:sz w:val="24"/>
          <w:szCs w:val="24"/>
        </w:rPr>
        <w:t>文件》和成交供应商的《响应文件》作实质性修改，采购人和成交供应商不得私下订立背离合同实质性内容的协议。</w:t>
      </w:r>
    </w:p>
    <w:p w14:paraId="0011F07B">
      <w:pPr>
        <w:widowControl w:val="0"/>
        <w:adjustRightInd w:val="0"/>
        <w:snapToGrid w:val="0"/>
        <w:spacing w:beforeLines="50" w:line="300" w:lineRule="auto"/>
        <w:ind w:firstLine="549"/>
        <w:rPr>
          <w:color w:val="auto"/>
          <w:sz w:val="24"/>
          <w:szCs w:val="24"/>
        </w:rPr>
      </w:pPr>
      <w:r>
        <w:rPr>
          <w:color w:val="auto"/>
          <w:sz w:val="24"/>
          <w:szCs w:val="24"/>
        </w:rPr>
        <w:t xml:space="preserve">7.6.5 </w:t>
      </w:r>
      <w:r>
        <w:rPr>
          <w:rFonts w:hint="eastAsia"/>
          <w:color w:val="auto"/>
          <w:sz w:val="24"/>
          <w:szCs w:val="24"/>
        </w:rPr>
        <w:t>评审会后，成交供应商、采购人之间擅自私下谈判、变更中标（成交）标的、价格及《</w:t>
      </w:r>
      <w:r>
        <w:rPr>
          <w:rFonts w:hint="eastAsia"/>
          <w:color w:val="auto"/>
          <w:sz w:val="24"/>
          <w:szCs w:val="24"/>
          <w:lang w:eastAsia="zh-CN"/>
        </w:rPr>
        <w:t>谈判</w:t>
      </w:r>
      <w:r>
        <w:rPr>
          <w:rFonts w:hint="eastAsia"/>
          <w:color w:val="auto"/>
          <w:sz w:val="24"/>
          <w:szCs w:val="24"/>
        </w:rPr>
        <w:t>文件》《响应文件》实质性内容的，有关部门将按《中华人民共和国政府采购法》及相关法规的规定处理。</w:t>
      </w:r>
    </w:p>
    <w:p w14:paraId="68F2E91D">
      <w:pPr>
        <w:widowControl w:val="0"/>
        <w:adjustRightInd w:val="0"/>
        <w:snapToGrid w:val="0"/>
        <w:spacing w:beforeLines="50" w:line="300" w:lineRule="auto"/>
        <w:ind w:firstLine="549"/>
        <w:rPr>
          <w:color w:val="auto"/>
          <w:sz w:val="24"/>
          <w:szCs w:val="24"/>
        </w:rPr>
      </w:pPr>
      <w:r>
        <w:rPr>
          <w:color w:val="auto"/>
          <w:sz w:val="24"/>
          <w:szCs w:val="24"/>
        </w:rPr>
        <w:t>7.6.</w:t>
      </w:r>
      <w:r>
        <w:rPr>
          <w:rFonts w:hint="eastAsia"/>
          <w:color w:val="auto"/>
          <w:sz w:val="24"/>
          <w:szCs w:val="24"/>
        </w:rPr>
        <w:t>6</w:t>
      </w:r>
      <w:r>
        <w:rPr>
          <w:color w:val="auto"/>
          <w:sz w:val="24"/>
          <w:szCs w:val="24"/>
        </w:rPr>
        <w:t xml:space="preserve"> </w:t>
      </w:r>
      <w:r>
        <w:rPr>
          <w:rFonts w:hint="eastAsia"/>
          <w:color w:val="auto"/>
          <w:sz w:val="24"/>
          <w:szCs w:val="24"/>
        </w:rPr>
        <w:t>采购人与成交供应商签订《政府采购合同》后，合同履行中产生的纠纷、争议，由采购人与成交供应商按合同条款及《中华人民共和国民法典》处理。</w:t>
      </w:r>
    </w:p>
    <w:p w14:paraId="497C7B10">
      <w:pPr>
        <w:widowControl w:val="0"/>
        <w:adjustRightInd w:val="0"/>
        <w:snapToGrid w:val="0"/>
        <w:spacing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14:paraId="034F2BEF">
      <w:pPr>
        <w:widowControl w:val="0"/>
        <w:adjustRightInd w:val="0"/>
        <w:snapToGrid w:val="0"/>
        <w:spacing w:beforeLines="50" w:line="300" w:lineRule="auto"/>
        <w:ind w:firstLine="555"/>
        <w:rPr>
          <w:color w:val="auto"/>
          <w:sz w:val="24"/>
          <w:szCs w:val="24"/>
        </w:rPr>
      </w:pPr>
      <w:r>
        <w:rPr>
          <w:color w:val="auto"/>
          <w:sz w:val="24"/>
          <w:szCs w:val="24"/>
        </w:rPr>
        <w:t xml:space="preserve">7.7.1 </w:t>
      </w:r>
      <w:r>
        <w:rPr>
          <w:rFonts w:hint="eastAsia"/>
          <w:color w:val="auto"/>
          <w:sz w:val="24"/>
          <w:szCs w:val="24"/>
        </w:rPr>
        <w:t>政府采购合同履行中，采购人需追加或减少与合同标的相同的货物</w:t>
      </w:r>
      <w:r>
        <w:rPr>
          <w:rFonts w:hint="eastAsia" w:ascii="宋体" w:hAnsi="宋体"/>
          <w:color w:val="auto"/>
          <w:sz w:val="24"/>
          <w:szCs w:val="24"/>
        </w:rPr>
        <w:t>、工程和服务的</w:t>
      </w:r>
      <w:r>
        <w:rPr>
          <w:rFonts w:hint="eastAsia"/>
          <w:color w:val="auto"/>
          <w:sz w:val="24"/>
          <w:szCs w:val="24"/>
        </w:rPr>
        <w:t>（即追加或减少原合同标的数量），在不改变合同条款（包括原合同单价）的前提下，双方可以协商签订补充合同，但所有补充合同总金额不得超过原合同采购金额的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14:paraId="7814942E">
      <w:pPr>
        <w:widowControl w:val="0"/>
        <w:adjustRightInd w:val="0"/>
        <w:snapToGrid w:val="0"/>
        <w:spacing w:beforeLines="50" w:line="300" w:lineRule="auto"/>
        <w:ind w:firstLine="555"/>
        <w:rPr>
          <w:color w:val="auto"/>
          <w:sz w:val="24"/>
          <w:szCs w:val="24"/>
        </w:rPr>
      </w:pPr>
      <w:r>
        <w:rPr>
          <w:b/>
          <w:color w:val="auto"/>
          <w:sz w:val="24"/>
          <w:szCs w:val="24"/>
        </w:rPr>
        <w:t>7.7.2</w:t>
      </w:r>
      <w:r>
        <w:rPr>
          <w:rFonts w:hint="eastAsia"/>
          <w:color w:val="auto"/>
          <w:sz w:val="24"/>
          <w:szCs w:val="24"/>
        </w:rPr>
        <w:t>采购人需追加的货物</w:t>
      </w:r>
      <w:r>
        <w:rPr>
          <w:rFonts w:hint="eastAsia" w:ascii="宋体" w:hAnsi="宋体"/>
          <w:color w:val="auto"/>
          <w:sz w:val="24"/>
          <w:szCs w:val="24"/>
        </w:rPr>
        <w:t>、工程和服务的</w:t>
      </w:r>
      <w:r>
        <w:rPr>
          <w:rFonts w:hint="eastAsia"/>
          <w:color w:val="auto"/>
          <w:sz w:val="24"/>
          <w:szCs w:val="24"/>
        </w:rPr>
        <w:t>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14:paraId="585A9796">
      <w:pPr>
        <w:widowControl w:val="0"/>
        <w:adjustRightInd w:val="0"/>
        <w:snapToGrid w:val="0"/>
        <w:spacing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14:paraId="221D46A5">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4" w:name="_Toc106792515"/>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24"/>
    </w:p>
    <w:p w14:paraId="19FAA942">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225C552D">
      <w:pPr>
        <w:widowControl w:val="0"/>
        <w:adjustRightInd w:val="0"/>
        <w:snapToGrid w:val="0"/>
        <w:spacing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14:paraId="6CD6252F">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7ADD0D29">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48606C21">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7A509475">
      <w:pPr>
        <w:widowControl w:val="0"/>
        <w:adjustRightInd w:val="0"/>
        <w:snapToGrid w:val="0"/>
        <w:spacing w:beforeLines="50" w:line="300" w:lineRule="auto"/>
        <w:ind w:firstLine="561"/>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245C020B">
      <w:pPr>
        <w:widowControl w:val="0"/>
        <w:adjustRightInd w:val="0"/>
        <w:snapToGrid w:val="0"/>
        <w:spacing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14:paraId="566009A6">
      <w:pPr>
        <w:widowControl w:val="0"/>
        <w:adjustRightInd w:val="0"/>
        <w:snapToGrid w:val="0"/>
        <w:spacing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170268EF">
      <w:pPr>
        <w:widowControl w:val="0"/>
        <w:adjustRightInd w:val="0"/>
        <w:snapToGrid w:val="0"/>
        <w:spacing w:beforeLines="50" w:line="300" w:lineRule="auto"/>
        <w:ind w:firstLine="561"/>
        <w:rPr>
          <w:rFonts w:ascii="宋体" w:cs="楷体_GB2312"/>
          <w:b/>
          <w:bCs/>
          <w:color w:val="auto"/>
          <w:sz w:val="24"/>
          <w:lang w:val="zh-CN"/>
        </w:rPr>
      </w:pPr>
      <w:r>
        <w:rPr>
          <w:rFonts w:hint="eastAsia" w:ascii="宋体" w:cs="楷体_GB2312"/>
          <w:b/>
          <w:bCs/>
          <w:color w:val="auto"/>
          <w:sz w:val="24"/>
          <w:lang w:val="zh-CN"/>
        </w:rPr>
        <w:t>8.6 采购人要在政府采购项目验收完成后 1 个工作日内登陆安阳政府采购网进行验收公告。</w:t>
      </w:r>
    </w:p>
    <w:p w14:paraId="1FC4D069">
      <w:pPr>
        <w:widowControl w:val="0"/>
        <w:adjustRightInd w:val="0"/>
        <w:snapToGrid w:val="0"/>
        <w:spacing w:beforeLines="50" w:line="300" w:lineRule="auto"/>
        <w:ind w:firstLine="561"/>
        <w:rPr>
          <w:rFonts w:ascii="宋体" w:cs="楷体_GB2312"/>
          <w:color w:val="auto"/>
          <w:sz w:val="24"/>
          <w:lang w:val="zh-CN"/>
        </w:rPr>
      </w:pPr>
    </w:p>
    <w:p w14:paraId="5D5AE1C9">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5" w:name="_Toc106792516"/>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25"/>
    </w:p>
    <w:p w14:paraId="113AFAF7">
      <w:pPr>
        <w:widowControl w:val="0"/>
        <w:adjustRightInd w:val="0"/>
        <w:snapToGrid w:val="0"/>
        <w:spacing w:beforeLines="50" w:line="300" w:lineRule="auto"/>
        <w:ind w:firstLine="561"/>
        <w:rPr>
          <w:rFonts w:ascii="宋体" w:cs="楷体_GB2312"/>
          <w:color w:val="auto"/>
          <w:sz w:val="24"/>
          <w:lang w:val="zh-CN"/>
        </w:rPr>
      </w:pPr>
      <w:r>
        <w:rPr>
          <w:rFonts w:hint="eastAsia" w:ascii="宋体" w:hAnsi="宋体" w:cs="楷体_GB2312"/>
          <w:color w:val="auto"/>
          <w:sz w:val="24"/>
          <w:lang w:val="zh-CN"/>
        </w:rPr>
        <w:t>见供应商须知前附表</w:t>
      </w:r>
    </w:p>
    <w:p w14:paraId="71BBB02E">
      <w:pPr>
        <w:widowControl w:val="0"/>
        <w:adjustRightInd w:val="0"/>
        <w:snapToGrid w:val="0"/>
        <w:spacing w:beforeLines="50" w:line="300" w:lineRule="auto"/>
        <w:ind w:firstLine="561"/>
        <w:rPr>
          <w:rFonts w:ascii="黑体" w:hAnsi="黑体" w:eastAsia="黑体" w:cs="楷体_GB2312"/>
          <w:b/>
          <w:bCs/>
          <w:color w:val="auto"/>
          <w:sz w:val="28"/>
          <w:szCs w:val="28"/>
          <w:lang w:val="zh-CN"/>
        </w:rPr>
      </w:pPr>
    </w:p>
    <w:p w14:paraId="02ACD679">
      <w:pPr>
        <w:widowControl w:val="0"/>
        <w:adjustRightInd w:val="0"/>
        <w:snapToGrid w:val="0"/>
        <w:spacing w:beforeLines="50" w:line="300" w:lineRule="auto"/>
        <w:ind w:firstLine="561"/>
        <w:outlineLvl w:val="1"/>
        <w:rPr>
          <w:rFonts w:ascii="黑体" w:hAnsi="黑体" w:eastAsia="黑体" w:cs="楷体_GB2312"/>
          <w:b/>
          <w:bCs/>
          <w:color w:val="auto"/>
          <w:sz w:val="28"/>
          <w:szCs w:val="28"/>
          <w:lang w:val="zh-CN"/>
        </w:rPr>
      </w:pPr>
      <w:bookmarkStart w:id="26" w:name="_Toc106792517"/>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26"/>
    </w:p>
    <w:p w14:paraId="717E730F">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10.1</w:t>
      </w:r>
      <w:r>
        <w:rPr>
          <w:rFonts w:hint="eastAsia" w:ascii="宋体" w:hAnsi="宋体" w:cs="楷体_GB2312"/>
          <w:color w:val="auto"/>
          <w:sz w:val="24"/>
          <w:lang w:val="zh-CN"/>
        </w:rPr>
        <w:t>中标服务费等：见供应商须知前附表</w:t>
      </w:r>
    </w:p>
    <w:p w14:paraId="2D8B5D4A">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0</w:t>
      </w:r>
      <w:r>
        <w:rPr>
          <w:rFonts w:ascii="宋体" w:hAnsi="宋体" w:cs="楷体_GB2312"/>
          <w:color w:val="auto"/>
          <w:sz w:val="24"/>
          <w:lang w:val="zh-CN"/>
        </w:rPr>
        <w:t xml:space="preserve">.2 </w:t>
      </w:r>
      <w:r>
        <w:rPr>
          <w:rFonts w:hint="eastAsia" w:ascii="宋体" w:hAnsi="宋体" w:cs="楷体_GB2312"/>
          <w:color w:val="auto"/>
          <w:sz w:val="24"/>
          <w:lang w:val="zh-CN"/>
        </w:rPr>
        <w:t>近义解释。《谈判文件》中：“投标”同义“递交《响应文件》”，“供应商”同义“递交《响应文件》的供应商”，“《响应文件》”同义“《投标文件》”，“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r>
        <w:rPr>
          <w:rFonts w:hint="eastAsia" w:ascii="宋体" w:cs="楷体_GB2312"/>
          <w:color w:val="auto"/>
          <w:sz w:val="24"/>
          <w:lang w:val="zh-CN"/>
        </w:rPr>
        <w:t>“</w:t>
      </w:r>
      <w:r>
        <w:rPr>
          <w:rFonts w:hint="eastAsia" w:ascii="宋体" w:hAnsi="宋体" w:cs="楷体_GB2312"/>
          <w:color w:val="auto"/>
          <w:sz w:val="24"/>
          <w:lang w:val="zh-CN"/>
        </w:rPr>
        <w:t>《响应文件》开启”同义“《响应文件》的开启</w:t>
      </w:r>
      <w:r>
        <w:rPr>
          <w:rFonts w:hint="eastAsia" w:ascii="宋体" w:cs="楷体_GB2312"/>
          <w:color w:val="auto"/>
          <w:sz w:val="24"/>
          <w:lang w:val="zh-CN"/>
        </w:rPr>
        <w:t>”</w:t>
      </w:r>
      <w:r>
        <w:rPr>
          <w:rFonts w:hint="eastAsia" w:ascii="宋体" w:hAnsi="宋体" w:cs="楷体_GB2312"/>
          <w:color w:val="auto"/>
          <w:sz w:val="24"/>
          <w:lang w:val="zh-CN"/>
        </w:rPr>
        <w:t>。</w:t>
      </w:r>
    </w:p>
    <w:p w14:paraId="638C34A3">
      <w:pPr>
        <w:widowControl w:val="0"/>
        <w:adjustRightInd w:val="0"/>
        <w:snapToGrid w:val="0"/>
        <w:spacing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供应商资格条件中包含非法人单位的，《谈判文件》中法定代表人一词相应包含表示证照标示的负责人；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供应商资格条件中包含自然人的，《谈判文件》中法定代表人一词相应包含表示自然人，自然人应由其本人签署《响应文件》、参加投标，不应再授权他人。</w:t>
      </w:r>
    </w:p>
    <w:p w14:paraId="6FE36771">
      <w:pPr>
        <w:widowControl w:val="0"/>
        <w:autoSpaceDE w:val="0"/>
        <w:autoSpaceDN w:val="0"/>
        <w:adjustRightInd w:val="0"/>
        <w:spacing w:beforeLines="50" w:line="300" w:lineRule="auto"/>
        <w:ind w:firstLine="480" w:firstLineChars="200"/>
        <w:jc w:val="left"/>
        <w:textAlignment w:val="auto"/>
        <w:rPr>
          <w:rFonts w:hint="eastAsia"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《谈判文件》第一章至第四章各章中，用序号标示条、款、项、目，例如：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14:paraId="6A874E6C">
      <w:pPr>
        <w:pStyle w:val="21"/>
        <w:rPr>
          <w:rFonts w:hint="eastAsia"/>
          <w:highlight w:val="yellow"/>
          <w:lang w:val="en-US" w:eastAsia="zh-CN"/>
        </w:rPr>
      </w:pPr>
      <w:bookmarkStart w:id="27" w:name="_Toc106792518"/>
      <w:bookmarkStart w:id="28" w:name="_Toc58858635"/>
    </w:p>
    <w:p w14:paraId="1F28C0CB">
      <w:pPr>
        <w:widowControl w:val="0"/>
        <w:adjustRightInd w:val="0"/>
        <w:snapToGrid w:val="0"/>
        <w:spacing w:beforeLines="50" w:line="300" w:lineRule="auto"/>
        <w:outlineLvl w:val="1"/>
        <w:rPr>
          <w:rFonts w:ascii="黑体" w:hAnsi="黑体" w:eastAsia="黑体" w:cs="楷体_GB2312"/>
          <w:b/>
          <w:bCs/>
          <w:color w:val="auto"/>
          <w:sz w:val="28"/>
          <w:szCs w:val="28"/>
          <w:lang w:val="zh-CN"/>
        </w:rPr>
      </w:pPr>
      <w:r>
        <w:rPr>
          <w:rFonts w:hint="eastAsia" w:ascii="黑体" w:hAnsi="黑体" w:eastAsia="黑体" w:cs="楷体_GB2312"/>
          <w:b/>
          <w:bCs/>
          <w:color w:val="auto"/>
          <w:sz w:val="28"/>
          <w:szCs w:val="28"/>
          <w:lang w:val="zh-CN"/>
        </w:rPr>
        <w:t>11. 河南省政府采购合同融资政策告知函</w:t>
      </w:r>
      <w:bookmarkEnd w:id="27"/>
      <w:bookmarkEnd w:id="28"/>
    </w:p>
    <w:p w14:paraId="234F836A">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各供应商：</w:t>
      </w:r>
    </w:p>
    <w:p w14:paraId="17BDECD9">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14:paraId="0F5659D9">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3B27493">
      <w:pPr>
        <w:widowControl w:val="0"/>
        <w:adjustRightInd w:val="0"/>
        <w:snapToGrid w:val="0"/>
        <w:spacing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14:paraId="10702BE2">
      <w:pPr>
        <w:widowControl w:val="0"/>
        <w:snapToGrid w:val="0"/>
        <w:spacing w:line="560" w:lineRule="exact"/>
        <w:jc w:val="center"/>
        <w:rPr>
          <w:rFonts w:ascii="黑体" w:hAnsi="黑体" w:eastAsia="黑体"/>
          <w:b/>
          <w:color w:val="auto"/>
          <w:sz w:val="36"/>
          <w:szCs w:val="36"/>
          <w:lang w:val="zh-CN"/>
        </w:rPr>
      </w:pPr>
      <w:r>
        <w:rPr>
          <w:rFonts w:eastAsia="黑体"/>
          <w:b/>
          <w:color w:val="auto"/>
          <w:sz w:val="44"/>
        </w:rPr>
        <w:br w:type="page"/>
      </w:r>
      <w:r>
        <w:rPr>
          <w:b/>
          <w:color w:val="auto"/>
          <w:sz w:val="36"/>
          <w:szCs w:val="36"/>
        </w:rPr>
        <w:t xml:space="preserve"> </w:t>
      </w:r>
      <w:bookmarkStart w:id="29" w:name="_Toc106792519"/>
      <w:r>
        <w:rPr>
          <w:rFonts w:hint="eastAsia" w:ascii="黑体" w:hAnsi="黑体" w:eastAsia="黑体"/>
          <w:b/>
          <w:color w:val="auto"/>
          <w:sz w:val="36"/>
          <w:szCs w:val="36"/>
          <w:lang w:val="zh-CN"/>
        </w:rPr>
        <w:t>第四章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评审办法</w:t>
      </w:r>
      <w:bookmarkEnd w:id="29"/>
    </w:p>
    <w:p w14:paraId="0B2F9294">
      <w:pPr>
        <w:widowControl w:val="0"/>
        <w:snapToGrid w:val="0"/>
        <w:spacing w:line="360" w:lineRule="auto"/>
        <w:ind w:firstLine="567"/>
        <w:jc w:val="center"/>
        <w:outlineLvl w:val="0"/>
        <w:rPr>
          <w:b/>
          <w:color w:val="auto"/>
          <w:sz w:val="24"/>
          <w:szCs w:val="24"/>
        </w:rPr>
      </w:pPr>
    </w:p>
    <w:p w14:paraId="1DD1E1C9">
      <w:pPr>
        <w:spacing w:line="500" w:lineRule="exact"/>
        <w:jc w:val="left"/>
        <w:outlineLvl w:val="1"/>
        <w:rPr>
          <w:rFonts w:ascii="黑体" w:hAnsi="黑体" w:eastAsia="黑体"/>
          <w:b/>
          <w:color w:val="auto"/>
          <w:sz w:val="28"/>
          <w:szCs w:val="28"/>
          <w:lang w:val="zh-CN"/>
        </w:rPr>
      </w:pPr>
      <w:bookmarkStart w:id="30" w:name="_Toc106792520"/>
      <w:r>
        <w:rPr>
          <w:rFonts w:hint="eastAsia" w:ascii="黑体" w:hAnsi="黑体" w:eastAsia="黑体"/>
          <w:b/>
          <w:color w:val="auto"/>
          <w:sz w:val="28"/>
          <w:szCs w:val="28"/>
        </w:rPr>
        <w:t>评审办法前附表</w:t>
      </w:r>
      <w:bookmarkEnd w:id="30"/>
    </w:p>
    <w:tbl>
      <w:tblPr>
        <w:tblStyle w:val="22"/>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5E1F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259F0409">
            <w:pPr>
              <w:pStyle w:val="39"/>
              <w:jc w:val="center"/>
              <w:rPr>
                <w:rFonts w:hAnsi="宋体"/>
                <w:b/>
                <w:color w:val="auto"/>
                <w:szCs w:val="24"/>
              </w:rPr>
            </w:pPr>
            <w:r>
              <w:rPr>
                <w:rFonts w:hint="eastAsia" w:hAnsi="宋体"/>
                <w:b/>
                <w:color w:val="auto"/>
                <w:szCs w:val="24"/>
              </w:rPr>
              <w:t>条款号</w:t>
            </w:r>
          </w:p>
        </w:tc>
        <w:tc>
          <w:tcPr>
            <w:tcW w:w="3177" w:type="dxa"/>
            <w:gridSpan w:val="2"/>
            <w:vAlign w:val="center"/>
          </w:tcPr>
          <w:p w14:paraId="52912065">
            <w:pPr>
              <w:pStyle w:val="39"/>
              <w:jc w:val="center"/>
              <w:rPr>
                <w:rFonts w:hAnsi="宋体"/>
                <w:b/>
                <w:color w:val="auto"/>
                <w:szCs w:val="24"/>
              </w:rPr>
            </w:pPr>
            <w:r>
              <w:rPr>
                <w:rFonts w:hint="eastAsia" w:hAnsi="宋体"/>
                <w:b/>
                <w:color w:val="auto"/>
                <w:szCs w:val="24"/>
              </w:rPr>
              <w:t>评审因素</w:t>
            </w:r>
          </w:p>
        </w:tc>
        <w:tc>
          <w:tcPr>
            <w:tcW w:w="5736" w:type="dxa"/>
            <w:vAlign w:val="center"/>
          </w:tcPr>
          <w:p w14:paraId="5C5660BE">
            <w:pPr>
              <w:pStyle w:val="39"/>
              <w:jc w:val="center"/>
              <w:rPr>
                <w:rFonts w:hAnsi="宋体"/>
                <w:b/>
                <w:color w:val="auto"/>
                <w:szCs w:val="24"/>
              </w:rPr>
            </w:pPr>
            <w:r>
              <w:rPr>
                <w:rFonts w:hint="eastAsia" w:hAnsi="宋体"/>
                <w:b/>
                <w:color w:val="auto"/>
                <w:szCs w:val="24"/>
              </w:rPr>
              <w:t>评审标准</w:t>
            </w:r>
          </w:p>
        </w:tc>
      </w:tr>
      <w:tr w14:paraId="27B5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7E0555C2">
            <w:pPr>
              <w:pStyle w:val="39"/>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14:paraId="15A01019">
            <w:pPr>
              <w:pStyle w:val="39"/>
              <w:jc w:val="center"/>
              <w:rPr>
                <w:rFonts w:hAnsi="宋体"/>
                <w:color w:val="auto"/>
                <w:szCs w:val="24"/>
              </w:rPr>
            </w:pPr>
            <w:r>
              <w:rPr>
                <w:rFonts w:hint="eastAsia" w:hAnsi="宋体"/>
                <w:color w:val="auto"/>
                <w:szCs w:val="24"/>
              </w:rPr>
              <w:t>资</w:t>
            </w:r>
          </w:p>
          <w:p w14:paraId="25E16EF4">
            <w:pPr>
              <w:pStyle w:val="39"/>
              <w:jc w:val="center"/>
              <w:rPr>
                <w:rFonts w:hAnsi="宋体"/>
                <w:color w:val="auto"/>
                <w:szCs w:val="24"/>
              </w:rPr>
            </w:pPr>
            <w:r>
              <w:rPr>
                <w:rFonts w:hint="eastAsia" w:hAnsi="宋体"/>
                <w:color w:val="auto"/>
                <w:szCs w:val="24"/>
              </w:rPr>
              <w:t>格</w:t>
            </w:r>
          </w:p>
          <w:p w14:paraId="6DA48350">
            <w:pPr>
              <w:pStyle w:val="39"/>
              <w:jc w:val="center"/>
              <w:rPr>
                <w:rFonts w:hAnsi="宋体"/>
                <w:color w:val="auto"/>
                <w:szCs w:val="24"/>
              </w:rPr>
            </w:pPr>
            <w:r>
              <w:rPr>
                <w:rFonts w:hint="eastAsia" w:hAnsi="宋体"/>
                <w:color w:val="auto"/>
                <w:szCs w:val="24"/>
              </w:rPr>
              <w:t>性</w:t>
            </w:r>
          </w:p>
          <w:p w14:paraId="200DF18B">
            <w:pPr>
              <w:pStyle w:val="39"/>
              <w:jc w:val="center"/>
              <w:rPr>
                <w:rFonts w:hAnsi="宋体"/>
                <w:color w:val="auto"/>
                <w:szCs w:val="24"/>
              </w:rPr>
            </w:pPr>
            <w:r>
              <w:rPr>
                <w:rFonts w:hint="eastAsia" w:hAnsi="宋体"/>
                <w:color w:val="auto"/>
                <w:szCs w:val="24"/>
              </w:rPr>
              <w:t>审</w:t>
            </w:r>
          </w:p>
          <w:p w14:paraId="287D0940">
            <w:pPr>
              <w:pStyle w:val="39"/>
              <w:jc w:val="center"/>
              <w:rPr>
                <w:rFonts w:hAnsi="宋体"/>
                <w:color w:val="auto"/>
                <w:szCs w:val="24"/>
              </w:rPr>
            </w:pPr>
            <w:r>
              <w:rPr>
                <w:rFonts w:hint="eastAsia" w:hAnsi="宋体"/>
                <w:color w:val="auto"/>
                <w:szCs w:val="24"/>
              </w:rPr>
              <w:t>查</w:t>
            </w:r>
          </w:p>
        </w:tc>
        <w:tc>
          <w:tcPr>
            <w:tcW w:w="3177" w:type="dxa"/>
            <w:gridSpan w:val="2"/>
            <w:vAlign w:val="center"/>
          </w:tcPr>
          <w:p w14:paraId="545138FC">
            <w:pPr>
              <w:widowControl w:val="0"/>
              <w:snapToGrid w:val="0"/>
              <w:spacing w:line="240" w:lineRule="auto"/>
              <w:rPr>
                <w:rFonts w:ascii="宋体"/>
                <w:color w:val="auto"/>
                <w:sz w:val="24"/>
                <w:szCs w:val="24"/>
              </w:rPr>
            </w:pPr>
            <w:r>
              <w:rPr>
                <w:rFonts w:hint="eastAsia"/>
                <w:color w:val="auto"/>
                <w:sz w:val="24"/>
                <w:szCs w:val="24"/>
              </w:rPr>
              <w:t>第一章“竞争性</w:t>
            </w:r>
            <w:r>
              <w:rPr>
                <w:rFonts w:hint="eastAsia"/>
                <w:color w:val="auto"/>
                <w:sz w:val="24"/>
                <w:szCs w:val="24"/>
                <w:lang w:eastAsia="zh-CN"/>
              </w:rPr>
              <w:t>谈判</w:t>
            </w:r>
            <w:r>
              <w:rPr>
                <w:rFonts w:hint="eastAsia"/>
                <w:color w:val="auto"/>
                <w:sz w:val="24"/>
                <w:szCs w:val="24"/>
              </w:rPr>
              <w:t>公告”第</w:t>
            </w:r>
            <w:r>
              <w:rPr>
                <w:color w:val="auto"/>
                <w:sz w:val="24"/>
                <w:szCs w:val="24"/>
              </w:rPr>
              <w:t>2</w:t>
            </w:r>
            <w:r>
              <w:rPr>
                <w:rFonts w:hint="eastAsia"/>
                <w:color w:val="auto"/>
                <w:sz w:val="24"/>
                <w:szCs w:val="24"/>
              </w:rPr>
              <w:t>条各项资格要求</w:t>
            </w:r>
          </w:p>
        </w:tc>
        <w:tc>
          <w:tcPr>
            <w:tcW w:w="5736" w:type="dxa"/>
            <w:vAlign w:val="center"/>
          </w:tcPr>
          <w:p w14:paraId="4DE8A0BB">
            <w:pPr>
              <w:widowControl w:val="0"/>
              <w:snapToGrid w:val="0"/>
              <w:spacing w:line="240" w:lineRule="auto"/>
              <w:rPr>
                <w:rFonts w:ascii="宋体"/>
                <w:color w:val="auto"/>
                <w:sz w:val="24"/>
                <w:szCs w:val="24"/>
              </w:rPr>
            </w:pPr>
            <w:r>
              <w:rPr>
                <w:rFonts w:hint="eastAsia" w:ascii="宋体" w:hAnsi="宋体"/>
                <w:color w:val="auto"/>
                <w:sz w:val="24"/>
                <w:szCs w:val="24"/>
              </w:rPr>
              <w:t>符合第一章“竞争性</w:t>
            </w:r>
            <w:r>
              <w:rPr>
                <w:rFonts w:hint="eastAsia" w:ascii="宋体" w:hAnsi="宋体"/>
                <w:color w:val="auto"/>
                <w:sz w:val="24"/>
                <w:szCs w:val="24"/>
                <w:lang w:eastAsia="zh-CN"/>
              </w:rPr>
              <w:t>谈判</w:t>
            </w:r>
            <w:r>
              <w:rPr>
                <w:rFonts w:hint="eastAsia" w:ascii="宋体" w:hAnsi="宋体"/>
                <w:color w:val="auto"/>
                <w:sz w:val="24"/>
                <w:szCs w:val="24"/>
              </w:rPr>
              <w:t>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14:paraId="70E0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6E258005">
            <w:pPr>
              <w:pStyle w:val="39"/>
              <w:spacing w:line="360" w:lineRule="auto"/>
              <w:jc w:val="center"/>
              <w:rPr>
                <w:rFonts w:hAnsi="宋体"/>
                <w:color w:val="auto"/>
                <w:szCs w:val="24"/>
              </w:rPr>
            </w:pPr>
          </w:p>
        </w:tc>
        <w:tc>
          <w:tcPr>
            <w:tcW w:w="560" w:type="dxa"/>
            <w:vMerge w:val="continue"/>
            <w:vAlign w:val="center"/>
          </w:tcPr>
          <w:p w14:paraId="0A97A5FD">
            <w:pPr>
              <w:pStyle w:val="39"/>
              <w:spacing w:line="360" w:lineRule="auto"/>
              <w:jc w:val="center"/>
              <w:rPr>
                <w:rFonts w:hAnsi="宋体"/>
                <w:color w:val="auto"/>
                <w:szCs w:val="24"/>
              </w:rPr>
            </w:pPr>
          </w:p>
        </w:tc>
        <w:tc>
          <w:tcPr>
            <w:tcW w:w="3177" w:type="dxa"/>
            <w:gridSpan w:val="2"/>
            <w:vAlign w:val="center"/>
          </w:tcPr>
          <w:p w14:paraId="4BBA2736">
            <w:pPr>
              <w:widowControl w:val="0"/>
              <w:snapToGrid w:val="0"/>
              <w:spacing w:line="240" w:lineRule="auto"/>
              <w:rPr>
                <w:color w:val="auto"/>
                <w:sz w:val="24"/>
                <w:szCs w:val="24"/>
              </w:rPr>
            </w:pPr>
            <w:r>
              <w:rPr>
                <w:rFonts w:hint="eastAsia"/>
                <w:color w:val="auto"/>
                <w:sz w:val="24"/>
                <w:szCs w:val="24"/>
              </w:rPr>
              <w:t>投标承诺函</w:t>
            </w:r>
          </w:p>
          <w:p w14:paraId="486E16FC">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14:paraId="6A37BAF0">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w:t>
            </w:r>
            <w:r>
              <w:rPr>
                <w:rFonts w:ascii="宋体" w:hAnsi="宋体"/>
                <w:color w:val="auto"/>
                <w:sz w:val="24"/>
                <w:szCs w:val="24"/>
              </w:rPr>
              <w:t>3.5</w:t>
            </w:r>
            <w:r>
              <w:rPr>
                <w:rFonts w:hint="eastAsia" w:ascii="宋体" w:hAnsi="宋体"/>
                <w:color w:val="auto"/>
                <w:sz w:val="24"/>
                <w:szCs w:val="24"/>
              </w:rPr>
              <w:t>款规定</w:t>
            </w:r>
          </w:p>
        </w:tc>
      </w:tr>
      <w:tr w14:paraId="5FE5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7B956127">
            <w:pPr>
              <w:pStyle w:val="39"/>
              <w:spacing w:line="360" w:lineRule="auto"/>
              <w:jc w:val="center"/>
              <w:rPr>
                <w:rFonts w:hAnsi="宋体"/>
                <w:color w:val="auto"/>
                <w:szCs w:val="24"/>
              </w:rPr>
            </w:pPr>
          </w:p>
        </w:tc>
        <w:tc>
          <w:tcPr>
            <w:tcW w:w="560" w:type="dxa"/>
            <w:vMerge w:val="continue"/>
            <w:vAlign w:val="center"/>
          </w:tcPr>
          <w:p w14:paraId="2C4DD634">
            <w:pPr>
              <w:pStyle w:val="39"/>
              <w:spacing w:line="360" w:lineRule="auto"/>
              <w:jc w:val="center"/>
              <w:rPr>
                <w:rFonts w:hAnsi="宋体"/>
                <w:color w:val="auto"/>
                <w:szCs w:val="24"/>
              </w:rPr>
            </w:pPr>
          </w:p>
        </w:tc>
        <w:tc>
          <w:tcPr>
            <w:tcW w:w="3177" w:type="dxa"/>
            <w:gridSpan w:val="2"/>
            <w:vAlign w:val="center"/>
          </w:tcPr>
          <w:p w14:paraId="1CFB97CA">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14:paraId="7F4B9DEE">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w:t>
            </w:r>
            <w:r>
              <w:rPr>
                <w:rFonts w:ascii="宋体" w:hAnsi="宋体"/>
                <w:color w:val="auto"/>
                <w:sz w:val="24"/>
                <w:szCs w:val="24"/>
              </w:rPr>
              <w:t>1.4</w:t>
            </w:r>
            <w:r>
              <w:rPr>
                <w:rFonts w:hint="eastAsia" w:ascii="宋体" w:hAnsi="宋体"/>
                <w:color w:val="auto"/>
                <w:sz w:val="24"/>
                <w:szCs w:val="24"/>
              </w:rPr>
              <w:t>款规定</w:t>
            </w:r>
          </w:p>
        </w:tc>
      </w:tr>
      <w:tr w14:paraId="48B1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65B24DE2">
            <w:pPr>
              <w:pStyle w:val="39"/>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14:paraId="3A4409EB">
            <w:pPr>
              <w:pStyle w:val="39"/>
              <w:spacing w:line="360" w:lineRule="auto"/>
              <w:jc w:val="center"/>
              <w:rPr>
                <w:rFonts w:hAnsi="宋体"/>
                <w:color w:val="auto"/>
                <w:szCs w:val="24"/>
              </w:rPr>
            </w:pPr>
            <w:r>
              <w:rPr>
                <w:rFonts w:hint="eastAsia" w:hAnsi="宋体"/>
                <w:color w:val="auto"/>
                <w:szCs w:val="24"/>
              </w:rPr>
              <w:t>符</w:t>
            </w:r>
          </w:p>
          <w:p w14:paraId="71DD21FE">
            <w:pPr>
              <w:pStyle w:val="39"/>
              <w:spacing w:line="360" w:lineRule="auto"/>
              <w:jc w:val="center"/>
              <w:rPr>
                <w:rFonts w:hAnsi="宋体"/>
                <w:color w:val="auto"/>
                <w:szCs w:val="24"/>
              </w:rPr>
            </w:pPr>
            <w:r>
              <w:rPr>
                <w:rFonts w:hint="eastAsia" w:hAnsi="宋体"/>
                <w:color w:val="auto"/>
                <w:szCs w:val="24"/>
              </w:rPr>
              <w:t>合</w:t>
            </w:r>
          </w:p>
          <w:p w14:paraId="367BCCDD">
            <w:pPr>
              <w:pStyle w:val="39"/>
              <w:spacing w:line="360" w:lineRule="auto"/>
              <w:jc w:val="center"/>
              <w:rPr>
                <w:rFonts w:hAnsi="宋体"/>
                <w:color w:val="auto"/>
                <w:szCs w:val="24"/>
              </w:rPr>
            </w:pPr>
            <w:r>
              <w:rPr>
                <w:rFonts w:hint="eastAsia" w:hAnsi="宋体"/>
                <w:color w:val="auto"/>
                <w:szCs w:val="24"/>
              </w:rPr>
              <w:t>性</w:t>
            </w:r>
          </w:p>
          <w:p w14:paraId="15D42CA6">
            <w:pPr>
              <w:pStyle w:val="39"/>
              <w:spacing w:line="360" w:lineRule="auto"/>
              <w:jc w:val="center"/>
              <w:rPr>
                <w:rFonts w:hAnsi="宋体"/>
                <w:color w:val="auto"/>
                <w:szCs w:val="24"/>
              </w:rPr>
            </w:pPr>
            <w:r>
              <w:rPr>
                <w:rFonts w:hint="eastAsia" w:hAnsi="宋体"/>
                <w:color w:val="auto"/>
                <w:szCs w:val="24"/>
              </w:rPr>
              <w:t>审</w:t>
            </w:r>
          </w:p>
          <w:p w14:paraId="66CEB40E">
            <w:pPr>
              <w:pStyle w:val="39"/>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14:paraId="0AE22832">
            <w:pPr>
              <w:pStyle w:val="39"/>
              <w:adjustRightInd/>
              <w:snapToGrid w:val="0"/>
              <w:jc w:val="center"/>
              <w:rPr>
                <w:rFonts w:hAnsi="宋体"/>
                <w:color w:val="auto"/>
                <w:szCs w:val="24"/>
              </w:rPr>
            </w:pPr>
            <w:r>
              <w:rPr>
                <w:rFonts w:hint="eastAsia" w:hAnsi="宋体"/>
                <w:color w:val="auto"/>
                <w:szCs w:val="24"/>
              </w:rPr>
              <w:t>有效性</w:t>
            </w:r>
          </w:p>
        </w:tc>
        <w:tc>
          <w:tcPr>
            <w:tcW w:w="2217" w:type="dxa"/>
            <w:vAlign w:val="center"/>
          </w:tcPr>
          <w:p w14:paraId="7AC3D2FB">
            <w:pPr>
              <w:pStyle w:val="39"/>
              <w:adjustRightInd/>
              <w:snapToGrid w:val="0"/>
              <w:jc w:val="center"/>
              <w:rPr>
                <w:rFonts w:hAnsi="宋体"/>
                <w:color w:val="auto"/>
                <w:szCs w:val="24"/>
              </w:rPr>
            </w:pPr>
            <w:r>
              <w:rPr>
                <w:rFonts w:hint="eastAsia" w:hAnsi="宋体"/>
                <w:color w:val="auto"/>
                <w:szCs w:val="24"/>
              </w:rPr>
              <w:t>供应商名称</w:t>
            </w:r>
          </w:p>
        </w:tc>
        <w:tc>
          <w:tcPr>
            <w:tcW w:w="5736" w:type="dxa"/>
            <w:vAlign w:val="center"/>
          </w:tcPr>
          <w:p w14:paraId="0124ADD6">
            <w:pPr>
              <w:pStyle w:val="39"/>
              <w:adjustRightInd/>
              <w:snapToGrid w:val="0"/>
              <w:rPr>
                <w:rFonts w:hAnsi="宋体"/>
                <w:color w:val="auto"/>
                <w:szCs w:val="24"/>
              </w:rPr>
            </w:pPr>
            <w:r>
              <w:rPr>
                <w:rFonts w:hint="eastAsia" w:hAnsi="宋体"/>
                <w:color w:val="auto"/>
                <w:szCs w:val="24"/>
              </w:rPr>
              <w:t>与营业执照证等证照及签章一致</w:t>
            </w:r>
          </w:p>
        </w:tc>
      </w:tr>
      <w:tr w14:paraId="40CA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0F42FE65">
            <w:pPr>
              <w:pStyle w:val="39"/>
              <w:spacing w:line="360" w:lineRule="auto"/>
              <w:jc w:val="center"/>
              <w:rPr>
                <w:rFonts w:hAnsi="宋体"/>
                <w:color w:val="auto"/>
                <w:szCs w:val="24"/>
              </w:rPr>
            </w:pPr>
          </w:p>
        </w:tc>
        <w:tc>
          <w:tcPr>
            <w:tcW w:w="560" w:type="dxa"/>
            <w:vMerge w:val="continue"/>
            <w:vAlign w:val="center"/>
          </w:tcPr>
          <w:p w14:paraId="48934990">
            <w:pPr>
              <w:pStyle w:val="39"/>
              <w:spacing w:line="360" w:lineRule="auto"/>
              <w:jc w:val="center"/>
              <w:rPr>
                <w:rFonts w:hAnsi="宋体"/>
                <w:color w:val="auto"/>
                <w:szCs w:val="24"/>
              </w:rPr>
            </w:pPr>
          </w:p>
        </w:tc>
        <w:tc>
          <w:tcPr>
            <w:tcW w:w="960" w:type="dxa"/>
            <w:vMerge w:val="continue"/>
            <w:vAlign w:val="center"/>
          </w:tcPr>
          <w:p w14:paraId="46E149FB">
            <w:pPr>
              <w:pStyle w:val="39"/>
              <w:adjustRightInd/>
              <w:snapToGrid w:val="0"/>
              <w:jc w:val="center"/>
              <w:rPr>
                <w:rFonts w:hAnsi="宋体"/>
                <w:color w:val="auto"/>
                <w:szCs w:val="24"/>
              </w:rPr>
            </w:pPr>
          </w:p>
        </w:tc>
        <w:tc>
          <w:tcPr>
            <w:tcW w:w="2217" w:type="dxa"/>
            <w:vAlign w:val="center"/>
          </w:tcPr>
          <w:p w14:paraId="7B01CBDB">
            <w:pPr>
              <w:pStyle w:val="39"/>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14:paraId="08DD6432">
            <w:pPr>
              <w:pStyle w:val="39"/>
              <w:adjustRightInd/>
              <w:snapToGrid w:val="0"/>
              <w:rPr>
                <w:rFonts w:hAnsi="宋体"/>
                <w:color w:val="auto"/>
                <w:szCs w:val="24"/>
              </w:rPr>
            </w:pPr>
            <w:r>
              <w:rPr>
                <w:rFonts w:hint="eastAsia" w:hAnsi="宋体"/>
                <w:color w:val="auto"/>
                <w:szCs w:val="24"/>
              </w:rPr>
              <w:t>符合第三章“供应商须知”</w:t>
            </w:r>
            <w:r>
              <w:rPr>
                <w:rFonts w:hAnsi="宋体"/>
                <w:color w:val="auto"/>
                <w:szCs w:val="24"/>
              </w:rPr>
              <w:t>3.7.</w:t>
            </w:r>
            <w:r>
              <w:rPr>
                <w:rFonts w:hint="eastAsia" w:hAnsi="宋体"/>
                <w:color w:val="auto"/>
                <w:szCs w:val="24"/>
              </w:rPr>
              <w:t>4项规定</w:t>
            </w:r>
          </w:p>
        </w:tc>
      </w:tr>
      <w:tr w14:paraId="2D45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49503C01">
            <w:pPr>
              <w:pStyle w:val="39"/>
              <w:spacing w:line="360" w:lineRule="auto"/>
              <w:jc w:val="center"/>
              <w:rPr>
                <w:rFonts w:hAnsi="宋体"/>
                <w:color w:val="auto"/>
                <w:szCs w:val="24"/>
              </w:rPr>
            </w:pPr>
          </w:p>
        </w:tc>
        <w:tc>
          <w:tcPr>
            <w:tcW w:w="560" w:type="dxa"/>
            <w:vMerge w:val="continue"/>
            <w:vAlign w:val="center"/>
          </w:tcPr>
          <w:p w14:paraId="414038F2">
            <w:pPr>
              <w:pStyle w:val="39"/>
              <w:spacing w:line="360" w:lineRule="auto"/>
              <w:jc w:val="center"/>
              <w:rPr>
                <w:rFonts w:hAnsi="宋体"/>
                <w:color w:val="auto"/>
                <w:szCs w:val="24"/>
              </w:rPr>
            </w:pPr>
          </w:p>
        </w:tc>
        <w:tc>
          <w:tcPr>
            <w:tcW w:w="960" w:type="dxa"/>
            <w:vAlign w:val="center"/>
          </w:tcPr>
          <w:p w14:paraId="4E8AC0B7">
            <w:pPr>
              <w:pStyle w:val="39"/>
              <w:adjustRightInd/>
              <w:snapToGrid w:val="0"/>
              <w:jc w:val="center"/>
              <w:rPr>
                <w:rFonts w:hAnsi="宋体"/>
                <w:color w:val="auto"/>
                <w:szCs w:val="24"/>
              </w:rPr>
            </w:pPr>
            <w:r>
              <w:rPr>
                <w:rFonts w:hint="eastAsia" w:hAnsi="宋体"/>
                <w:color w:val="auto"/>
                <w:szCs w:val="24"/>
              </w:rPr>
              <w:t>完整性</w:t>
            </w:r>
          </w:p>
        </w:tc>
        <w:tc>
          <w:tcPr>
            <w:tcW w:w="2217" w:type="dxa"/>
            <w:vAlign w:val="center"/>
          </w:tcPr>
          <w:p w14:paraId="75C57B10">
            <w:pPr>
              <w:pStyle w:val="39"/>
              <w:adjustRightInd/>
              <w:snapToGrid w:val="0"/>
              <w:jc w:val="center"/>
              <w:rPr>
                <w:rFonts w:hAnsi="宋体"/>
                <w:color w:val="auto"/>
                <w:szCs w:val="24"/>
              </w:rPr>
            </w:pPr>
            <w:r>
              <w:rPr>
                <w:rFonts w:hint="eastAsia" w:hAnsi="宋体"/>
                <w:color w:val="auto"/>
                <w:szCs w:val="24"/>
              </w:rPr>
              <w:t>《响应文件》组成</w:t>
            </w:r>
          </w:p>
        </w:tc>
        <w:tc>
          <w:tcPr>
            <w:tcW w:w="5736" w:type="dxa"/>
            <w:vAlign w:val="center"/>
          </w:tcPr>
          <w:p w14:paraId="62BE0115">
            <w:pPr>
              <w:pStyle w:val="39"/>
              <w:adjustRightInd/>
              <w:snapToGrid w:val="0"/>
              <w:rPr>
                <w:rFonts w:hAnsi="宋体"/>
                <w:color w:val="auto"/>
                <w:szCs w:val="24"/>
              </w:rPr>
            </w:pPr>
            <w:r>
              <w:rPr>
                <w:rFonts w:hint="eastAsia" w:hAnsi="宋体"/>
                <w:color w:val="auto"/>
                <w:szCs w:val="24"/>
              </w:rPr>
              <w:t>符合第三章“供应商须知”</w:t>
            </w:r>
            <w:r>
              <w:rPr>
                <w:rFonts w:hAnsi="宋体"/>
                <w:color w:val="auto"/>
                <w:szCs w:val="24"/>
              </w:rPr>
              <w:t>3.2</w:t>
            </w:r>
            <w:r>
              <w:rPr>
                <w:rFonts w:hint="eastAsia" w:hAnsi="宋体"/>
                <w:color w:val="auto"/>
                <w:szCs w:val="24"/>
              </w:rPr>
              <w:t>款规定</w:t>
            </w:r>
          </w:p>
        </w:tc>
      </w:tr>
      <w:tr w14:paraId="6EC0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7D99BE9A">
            <w:pPr>
              <w:pStyle w:val="39"/>
              <w:spacing w:line="360" w:lineRule="auto"/>
              <w:jc w:val="center"/>
              <w:rPr>
                <w:rFonts w:hAnsi="宋体"/>
                <w:color w:val="auto"/>
                <w:szCs w:val="24"/>
              </w:rPr>
            </w:pPr>
          </w:p>
        </w:tc>
        <w:tc>
          <w:tcPr>
            <w:tcW w:w="560" w:type="dxa"/>
            <w:vMerge w:val="continue"/>
            <w:vAlign w:val="center"/>
          </w:tcPr>
          <w:p w14:paraId="70B0E843">
            <w:pPr>
              <w:pStyle w:val="39"/>
              <w:spacing w:line="360" w:lineRule="auto"/>
              <w:jc w:val="center"/>
              <w:rPr>
                <w:rFonts w:hAnsi="宋体"/>
                <w:color w:val="auto"/>
                <w:szCs w:val="24"/>
              </w:rPr>
            </w:pPr>
          </w:p>
        </w:tc>
        <w:tc>
          <w:tcPr>
            <w:tcW w:w="960" w:type="dxa"/>
            <w:vMerge w:val="restart"/>
            <w:vAlign w:val="center"/>
          </w:tcPr>
          <w:p w14:paraId="747CBCE3">
            <w:pPr>
              <w:pStyle w:val="39"/>
              <w:snapToGrid w:val="0"/>
              <w:jc w:val="center"/>
              <w:rPr>
                <w:rFonts w:hAnsi="宋体"/>
                <w:color w:val="auto"/>
                <w:szCs w:val="24"/>
              </w:rPr>
            </w:pPr>
            <w:r>
              <w:rPr>
                <w:rFonts w:hint="eastAsia" w:hAnsi="宋体"/>
                <w:color w:val="auto"/>
                <w:szCs w:val="24"/>
              </w:rPr>
              <w:t>响应程度</w:t>
            </w:r>
          </w:p>
        </w:tc>
        <w:tc>
          <w:tcPr>
            <w:tcW w:w="2217" w:type="dxa"/>
            <w:vAlign w:val="center"/>
          </w:tcPr>
          <w:p w14:paraId="3E9E6F82">
            <w:pPr>
              <w:pStyle w:val="39"/>
              <w:adjustRightInd/>
              <w:snapToGrid w:val="0"/>
              <w:jc w:val="center"/>
              <w:rPr>
                <w:rFonts w:hAnsi="宋体"/>
                <w:color w:val="auto"/>
                <w:szCs w:val="24"/>
              </w:rPr>
            </w:pPr>
            <w:r>
              <w:rPr>
                <w:rFonts w:hint="eastAsia" w:hAnsi="宋体"/>
                <w:color w:val="auto"/>
                <w:szCs w:val="24"/>
                <w:lang w:eastAsia="zh-CN"/>
              </w:rPr>
              <w:t>谈判</w:t>
            </w:r>
            <w:r>
              <w:rPr>
                <w:rFonts w:hint="eastAsia" w:hAnsi="宋体"/>
                <w:color w:val="auto"/>
                <w:szCs w:val="24"/>
              </w:rPr>
              <w:t>报价</w:t>
            </w:r>
          </w:p>
        </w:tc>
        <w:tc>
          <w:tcPr>
            <w:tcW w:w="5736" w:type="dxa"/>
            <w:vAlign w:val="center"/>
          </w:tcPr>
          <w:p w14:paraId="3A4E4B3A">
            <w:pPr>
              <w:pStyle w:val="39"/>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14:paraId="5399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57E46EDD">
            <w:pPr>
              <w:pStyle w:val="39"/>
              <w:spacing w:line="360" w:lineRule="auto"/>
              <w:jc w:val="center"/>
              <w:rPr>
                <w:rFonts w:hAnsi="宋体"/>
                <w:color w:val="auto"/>
                <w:szCs w:val="24"/>
              </w:rPr>
            </w:pPr>
          </w:p>
        </w:tc>
        <w:tc>
          <w:tcPr>
            <w:tcW w:w="560" w:type="dxa"/>
            <w:vMerge w:val="continue"/>
            <w:vAlign w:val="center"/>
          </w:tcPr>
          <w:p w14:paraId="3B43E5BC">
            <w:pPr>
              <w:pStyle w:val="39"/>
              <w:spacing w:line="360" w:lineRule="auto"/>
              <w:jc w:val="center"/>
              <w:rPr>
                <w:rFonts w:hAnsi="宋体"/>
                <w:color w:val="auto"/>
                <w:szCs w:val="24"/>
              </w:rPr>
            </w:pPr>
          </w:p>
        </w:tc>
        <w:tc>
          <w:tcPr>
            <w:tcW w:w="960" w:type="dxa"/>
            <w:vMerge w:val="continue"/>
            <w:vAlign w:val="center"/>
          </w:tcPr>
          <w:p w14:paraId="641D2689">
            <w:pPr>
              <w:pStyle w:val="39"/>
              <w:snapToGrid w:val="0"/>
              <w:jc w:val="center"/>
              <w:rPr>
                <w:rFonts w:hAnsi="宋体"/>
                <w:color w:val="auto"/>
                <w:szCs w:val="24"/>
              </w:rPr>
            </w:pPr>
          </w:p>
        </w:tc>
        <w:tc>
          <w:tcPr>
            <w:tcW w:w="2217" w:type="dxa"/>
            <w:vAlign w:val="center"/>
          </w:tcPr>
          <w:p w14:paraId="2B47E465">
            <w:pPr>
              <w:pStyle w:val="39"/>
              <w:adjustRightInd/>
              <w:snapToGrid w:val="0"/>
              <w:jc w:val="center"/>
              <w:rPr>
                <w:rFonts w:hAnsi="宋体"/>
                <w:color w:val="auto"/>
                <w:szCs w:val="24"/>
              </w:rPr>
            </w:pPr>
            <w:r>
              <w:rPr>
                <w:rFonts w:hint="eastAsia" w:hAnsi="宋体"/>
                <w:color w:val="auto"/>
                <w:szCs w:val="24"/>
              </w:rPr>
              <w:t>响应内容（范围）</w:t>
            </w:r>
          </w:p>
        </w:tc>
        <w:tc>
          <w:tcPr>
            <w:tcW w:w="5736" w:type="dxa"/>
            <w:vAlign w:val="center"/>
          </w:tcPr>
          <w:p w14:paraId="4D7A0A9D">
            <w:pPr>
              <w:pStyle w:val="39"/>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14:paraId="2C9C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36D556C7">
            <w:pPr>
              <w:pStyle w:val="39"/>
              <w:spacing w:line="360" w:lineRule="auto"/>
              <w:jc w:val="center"/>
              <w:rPr>
                <w:rFonts w:hAnsi="宋体"/>
                <w:color w:val="auto"/>
                <w:szCs w:val="24"/>
              </w:rPr>
            </w:pPr>
          </w:p>
        </w:tc>
        <w:tc>
          <w:tcPr>
            <w:tcW w:w="560" w:type="dxa"/>
            <w:vMerge w:val="continue"/>
            <w:vAlign w:val="center"/>
          </w:tcPr>
          <w:p w14:paraId="5599F258">
            <w:pPr>
              <w:pStyle w:val="39"/>
              <w:spacing w:line="360" w:lineRule="auto"/>
              <w:jc w:val="center"/>
              <w:rPr>
                <w:rFonts w:hAnsi="宋体"/>
                <w:color w:val="auto"/>
                <w:szCs w:val="24"/>
              </w:rPr>
            </w:pPr>
          </w:p>
        </w:tc>
        <w:tc>
          <w:tcPr>
            <w:tcW w:w="960" w:type="dxa"/>
            <w:vMerge w:val="continue"/>
            <w:vAlign w:val="center"/>
          </w:tcPr>
          <w:p w14:paraId="626D2A35">
            <w:pPr>
              <w:pStyle w:val="39"/>
              <w:snapToGrid w:val="0"/>
              <w:jc w:val="center"/>
              <w:rPr>
                <w:rFonts w:hAnsi="宋体"/>
                <w:color w:val="auto"/>
                <w:szCs w:val="24"/>
              </w:rPr>
            </w:pPr>
          </w:p>
        </w:tc>
        <w:tc>
          <w:tcPr>
            <w:tcW w:w="2217" w:type="dxa"/>
            <w:vAlign w:val="center"/>
          </w:tcPr>
          <w:p w14:paraId="632194F0">
            <w:pPr>
              <w:pStyle w:val="39"/>
              <w:adjustRightInd/>
              <w:snapToGrid w:val="0"/>
              <w:jc w:val="center"/>
              <w:rPr>
                <w:rFonts w:hint="eastAsia" w:hAnsi="宋体"/>
                <w:color w:val="auto"/>
                <w:szCs w:val="24"/>
                <w:lang w:eastAsia="zh-CN"/>
              </w:rPr>
            </w:pPr>
            <w:r>
              <w:rPr>
                <w:rFonts w:hint="eastAsia" w:hAnsi="宋体"/>
                <w:color w:val="auto"/>
                <w:szCs w:val="24"/>
                <w:lang w:val="en-US" w:eastAsia="zh-CN"/>
              </w:rPr>
              <w:t>服务期</w:t>
            </w:r>
          </w:p>
        </w:tc>
        <w:tc>
          <w:tcPr>
            <w:tcW w:w="5736" w:type="dxa"/>
            <w:vAlign w:val="center"/>
          </w:tcPr>
          <w:p w14:paraId="6497AF9D">
            <w:pPr>
              <w:pStyle w:val="39"/>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14:paraId="704C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0B9647BE">
            <w:pPr>
              <w:pStyle w:val="39"/>
              <w:spacing w:line="360" w:lineRule="auto"/>
              <w:jc w:val="center"/>
              <w:rPr>
                <w:rFonts w:hAnsi="宋体"/>
                <w:color w:val="auto"/>
                <w:szCs w:val="24"/>
              </w:rPr>
            </w:pPr>
          </w:p>
        </w:tc>
        <w:tc>
          <w:tcPr>
            <w:tcW w:w="560" w:type="dxa"/>
            <w:vMerge w:val="continue"/>
            <w:vAlign w:val="center"/>
          </w:tcPr>
          <w:p w14:paraId="5986B946">
            <w:pPr>
              <w:pStyle w:val="39"/>
              <w:spacing w:line="360" w:lineRule="auto"/>
              <w:jc w:val="center"/>
              <w:rPr>
                <w:rFonts w:hAnsi="宋体"/>
                <w:color w:val="auto"/>
                <w:szCs w:val="24"/>
              </w:rPr>
            </w:pPr>
          </w:p>
        </w:tc>
        <w:tc>
          <w:tcPr>
            <w:tcW w:w="960" w:type="dxa"/>
            <w:vMerge w:val="continue"/>
            <w:vAlign w:val="center"/>
          </w:tcPr>
          <w:p w14:paraId="50C9BAA2">
            <w:pPr>
              <w:pStyle w:val="39"/>
              <w:snapToGrid w:val="0"/>
              <w:jc w:val="center"/>
              <w:rPr>
                <w:rFonts w:hAnsi="宋体"/>
                <w:color w:val="auto"/>
                <w:szCs w:val="24"/>
              </w:rPr>
            </w:pPr>
          </w:p>
        </w:tc>
        <w:tc>
          <w:tcPr>
            <w:tcW w:w="2217" w:type="dxa"/>
            <w:vAlign w:val="center"/>
          </w:tcPr>
          <w:p w14:paraId="7F1E213B">
            <w:pPr>
              <w:pStyle w:val="39"/>
              <w:adjustRightInd/>
              <w:snapToGrid w:val="0"/>
              <w:jc w:val="center"/>
              <w:rPr>
                <w:rFonts w:hint="eastAsia" w:hAnsi="宋体"/>
                <w:color w:val="auto"/>
                <w:szCs w:val="24"/>
                <w:lang w:eastAsia="zh-CN"/>
              </w:rPr>
            </w:pPr>
            <w:r>
              <w:rPr>
                <w:rFonts w:hint="eastAsia" w:hAnsi="宋体"/>
                <w:color w:val="auto"/>
                <w:szCs w:val="24"/>
                <w:lang w:eastAsia="zh-CN"/>
              </w:rPr>
              <w:t>技术要求</w:t>
            </w:r>
          </w:p>
        </w:tc>
        <w:tc>
          <w:tcPr>
            <w:tcW w:w="5736" w:type="dxa"/>
            <w:vAlign w:val="center"/>
          </w:tcPr>
          <w:p w14:paraId="19EADA5C">
            <w:pPr>
              <w:pStyle w:val="39"/>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14:paraId="365D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7C3F75F7">
            <w:pPr>
              <w:pStyle w:val="39"/>
              <w:spacing w:line="360" w:lineRule="auto"/>
              <w:jc w:val="center"/>
              <w:rPr>
                <w:rFonts w:hAnsi="宋体"/>
                <w:color w:val="auto"/>
                <w:szCs w:val="24"/>
              </w:rPr>
            </w:pPr>
          </w:p>
        </w:tc>
        <w:tc>
          <w:tcPr>
            <w:tcW w:w="560" w:type="dxa"/>
            <w:vMerge w:val="continue"/>
            <w:vAlign w:val="center"/>
          </w:tcPr>
          <w:p w14:paraId="53ABC473">
            <w:pPr>
              <w:pStyle w:val="39"/>
              <w:spacing w:line="360" w:lineRule="auto"/>
              <w:jc w:val="center"/>
              <w:rPr>
                <w:rFonts w:hAnsi="宋体"/>
                <w:color w:val="auto"/>
                <w:szCs w:val="24"/>
              </w:rPr>
            </w:pPr>
          </w:p>
        </w:tc>
        <w:tc>
          <w:tcPr>
            <w:tcW w:w="960" w:type="dxa"/>
            <w:vMerge w:val="continue"/>
            <w:vAlign w:val="center"/>
          </w:tcPr>
          <w:p w14:paraId="641C8D28">
            <w:pPr>
              <w:pStyle w:val="39"/>
              <w:adjustRightInd/>
              <w:snapToGrid w:val="0"/>
              <w:jc w:val="center"/>
              <w:rPr>
                <w:rFonts w:hAnsi="宋体"/>
                <w:color w:val="auto"/>
                <w:szCs w:val="24"/>
              </w:rPr>
            </w:pPr>
          </w:p>
        </w:tc>
        <w:tc>
          <w:tcPr>
            <w:tcW w:w="2217" w:type="dxa"/>
            <w:vAlign w:val="center"/>
          </w:tcPr>
          <w:p w14:paraId="06029CC0">
            <w:pPr>
              <w:pStyle w:val="39"/>
              <w:adjustRightInd/>
              <w:snapToGrid w:val="0"/>
              <w:jc w:val="center"/>
              <w:rPr>
                <w:rFonts w:hAnsi="宋体"/>
                <w:color w:val="auto"/>
                <w:szCs w:val="24"/>
              </w:rPr>
            </w:pPr>
            <w:r>
              <w:rPr>
                <w:rFonts w:hint="eastAsia" w:hAnsi="宋体"/>
                <w:color w:val="auto"/>
                <w:szCs w:val="24"/>
                <w:lang w:eastAsia="zh-CN"/>
              </w:rPr>
              <w:t>响应</w:t>
            </w:r>
            <w:r>
              <w:rPr>
                <w:rFonts w:hint="eastAsia" w:hAnsi="宋体"/>
                <w:color w:val="auto"/>
                <w:szCs w:val="24"/>
              </w:rPr>
              <w:t>有效期</w:t>
            </w:r>
          </w:p>
        </w:tc>
        <w:tc>
          <w:tcPr>
            <w:tcW w:w="5736" w:type="dxa"/>
            <w:vAlign w:val="center"/>
          </w:tcPr>
          <w:p w14:paraId="2CA44906">
            <w:pPr>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3.4</w:t>
            </w:r>
            <w:r>
              <w:rPr>
                <w:rFonts w:hint="eastAsia" w:ascii="宋体" w:hAnsi="宋体"/>
                <w:color w:val="auto"/>
                <w:sz w:val="24"/>
              </w:rPr>
              <w:t>款规定</w:t>
            </w:r>
          </w:p>
        </w:tc>
      </w:tr>
      <w:tr w14:paraId="6DF4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456FD64B">
            <w:pPr>
              <w:pStyle w:val="39"/>
              <w:spacing w:line="360" w:lineRule="auto"/>
              <w:jc w:val="center"/>
              <w:rPr>
                <w:rFonts w:hAnsi="宋体"/>
                <w:color w:val="auto"/>
                <w:szCs w:val="24"/>
              </w:rPr>
            </w:pPr>
          </w:p>
        </w:tc>
        <w:tc>
          <w:tcPr>
            <w:tcW w:w="560" w:type="dxa"/>
            <w:vMerge w:val="continue"/>
            <w:vAlign w:val="center"/>
          </w:tcPr>
          <w:p w14:paraId="353BA12F">
            <w:pPr>
              <w:pStyle w:val="39"/>
              <w:spacing w:line="360" w:lineRule="auto"/>
              <w:jc w:val="center"/>
              <w:rPr>
                <w:rFonts w:hAnsi="宋体"/>
                <w:color w:val="auto"/>
                <w:szCs w:val="24"/>
              </w:rPr>
            </w:pPr>
          </w:p>
        </w:tc>
        <w:tc>
          <w:tcPr>
            <w:tcW w:w="960" w:type="dxa"/>
            <w:vMerge w:val="continue"/>
            <w:vAlign w:val="center"/>
          </w:tcPr>
          <w:p w14:paraId="0A5A0C38">
            <w:pPr>
              <w:pStyle w:val="39"/>
              <w:adjustRightInd/>
              <w:snapToGrid w:val="0"/>
              <w:jc w:val="center"/>
              <w:rPr>
                <w:rFonts w:hAnsi="宋体"/>
                <w:color w:val="auto"/>
                <w:szCs w:val="24"/>
              </w:rPr>
            </w:pPr>
          </w:p>
        </w:tc>
        <w:tc>
          <w:tcPr>
            <w:tcW w:w="2217" w:type="dxa"/>
            <w:vAlign w:val="center"/>
          </w:tcPr>
          <w:p w14:paraId="64B2C56A">
            <w:pPr>
              <w:pStyle w:val="39"/>
              <w:adjustRightInd/>
              <w:snapToGrid w:val="0"/>
              <w:jc w:val="center"/>
              <w:rPr>
                <w:rFonts w:hAnsi="宋体"/>
                <w:color w:val="auto"/>
                <w:szCs w:val="24"/>
              </w:rPr>
            </w:pPr>
            <w:r>
              <w:rPr>
                <w:rFonts w:hint="eastAsia" w:hAnsi="宋体"/>
                <w:color w:val="auto"/>
                <w:szCs w:val="24"/>
              </w:rPr>
              <w:t>《响应文件》格式</w:t>
            </w:r>
          </w:p>
        </w:tc>
        <w:tc>
          <w:tcPr>
            <w:tcW w:w="5736" w:type="dxa"/>
            <w:vAlign w:val="center"/>
          </w:tcPr>
          <w:p w14:paraId="4BCF7875">
            <w:pPr>
              <w:pStyle w:val="39"/>
              <w:adjustRightInd/>
              <w:snapToGrid w:val="0"/>
              <w:rPr>
                <w:rFonts w:hAnsi="宋体"/>
                <w:color w:val="auto"/>
                <w:szCs w:val="24"/>
              </w:rPr>
            </w:pPr>
            <w:r>
              <w:rPr>
                <w:rFonts w:hint="eastAsia" w:hAnsi="宋体"/>
                <w:color w:val="auto"/>
                <w:szCs w:val="24"/>
              </w:rPr>
              <w:t>符合第六章“《响应文件》格式”规定</w:t>
            </w:r>
          </w:p>
        </w:tc>
      </w:tr>
      <w:tr w14:paraId="18FB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3B67D031">
            <w:pPr>
              <w:pStyle w:val="39"/>
              <w:spacing w:line="360" w:lineRule="auto"/>
              <w:jc w:val="center"/>
              <w:rPr>
                <w:rFonts w:hAnsi="宋体"/>
                <w:color w:val="auto"/>
                <w:szCs w:val="24"/>
              </w:rPr>
            </w:pPr>
          </w:p>
        </w:tc>
        <w:tc>
          <w:tcPr>
            <w:tcW w:w="560" w:type="dxa"/>
            <w:vMerge w:val="continue"/>
            <w:vAlign w:val="center"/>
          </w:tcPr>
          <w:p w14:paraId="137D4EE5">
            <w:pPr>
              <w:pStyle w:val="39"/>
              <w:spacing w:line="360" w:lineRule="auto"/>
              <w:jc w:val="center"/>
              <w:rPr>
                <w:rFonts w:hAnsi="宋体"/>
                <w:color w:val="auto"/>
                <w:szCs w:val="24"/>
              </w:rPr>
            </w:pPr>
          </w:p>
        </w:tc>
        <w:tc>
          <w:tcPr>
            <w:tcW w:w="960" w:type="dxa"/>
            <w:vMerge w:val="continue"/>
            <w:vAlign w:val="center"/>
          </w:tcPr>
          <w:p w14:paraId="1129725A">
            <w:pPr>
              <w:pStyle w:val="39"/>
              <w:adjustRightInd/>
              <w:snapToGrid w:val="0"/>
              <w:jc w:val="center"/>
              <w:rPr>
                <w:rFonts w:hAnsi="宋体"/>
                <w:color w:val="auto"/>
                <w:szCs w:val="24"/>
              </w:rPr>
            </w:pPr>
          </w:p>
        </w:tc>
        <w:tc>
          <w:tcPr>
            <w:tcW w:w="2217" w:type="dxa"/>
            <w:vAlign w:val="center"/>
          </w:tcPr>
          <w:p w14:paraId="142BC239">
            <w:pPr>
              <w:pStyle w:val="39"/>
              <w:adjustRightInd/>
              <w:snapToGrid w:val="0"/>
              <w:jc w:val="center"/>
              <w:rPr>
                <w:rFonts w:hAnsi="宋体"/>
                <w:color w:val="auto"/>
                <w:szCs w:val="24"/>
              </w:rPr>
            </w:pPr>
            <w:r>
              <w:rPr>
                <w:rFonts w:hint="eastAsia" w:hAnsi="宋体"/>
                <w:color w:val="auto"/>
              </w:rPr>
              <w:t>付款</w:t>
            </w:r>
          </w:p>
        </w:tc>
        <w:tc>
          <w:tcPr>
            <w:tcW w:w="5736" w:type="dxa"/>
            <w:vAlign w:val="center"/>
          </w:tcPr>
          <w:p w14:paraId="3F6539C6">
            <w:pPr>
              <w:snapToGrid w:val="0"/>
              <w:spacing w:line="240" w:lineRule="auto"/>
              <w:rPr>
                <w:rFonts w:ascii="宋体"/>
                <w:color w:val="auto"/>
                <w:sz w:val="24"/>
              </w:rPr>
            </w:pPr>
            <w:r>
              <w:rPr>
                <w:rFonts w:hint="eastAsia" w:ascii="宋体" w:hAnsi="宋体"/>
                <w:color w:val="auto"/>
                <w:sz w:val="24"/>
              </w:rPr>
              <w:t>符合第三章“供应商须知”第9条规定</w:t>
            </w:r>
          </w:p>
        </w:tc>
      </w:tr>
      <w:tr w14:paraId="4570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7A8846DB">
            <w:pPr>
              <w:pStyle w:val="39"/>
              <w:spacing w:line="360" w:lineRule="auto"/>
              <w:jc w:val="center"/>
              <w:rPr>
                <w:rFonts w:hAnsi="宋体"/>
                <w:color w:val="auto"/>
                <w:szCs w:val="24"/>
              </w:rPr>
            </w:pPr>
          </w:p>
        </w:tc>
        <w:tc>
          <w:tcPr>
            <w:tcW w:w="560" w:type="dxa"/>
            <w:vMerge w:val="continue"/>
            <w:vAlign w:val="center"/>
          </w:tcPr>
          <w:p w14:paraId="2D44D04F">
            <w:pPr>
              <w:pStyle w:val="39"/>
              <w:spacing w:line="360" w:lineRule="auto"/>
              <w:jc w:val="center"/>
              <w:rPr>
                <w:rFonts w:hAnsi="宋体"/>
                <w:color w:val="auto"/>
                <w:szCs w:val="24"/>
              </w:rPr>
            </w:pPr>
          </w:p>
        </w:tc>
        <w:tc>
          <w:tcPr>
            <w:tcW w:w="960" w:type="dxa"/>
            <w:vMerge w:val="continue"/>
            <w:vAlign w:val="center"/>
          </w:tcPr>
          <w:p w14:paraId="27A7FD0E">
            <w:pPr>
              <w:pStyle w:val="39"/>
              <w:adjustRightInd/>
              <w:snapToGrid w:val="0"/>
              <w:jc w:val="center"/>
              <w:rPr>
                <w:rFonts w:hAnsi="宋体"/>
                <w:color w:val="auto"/>
                <w:szCs w:val="24"/>
              </w:rPr>
            </w:pPr>
          </w:p>
        </w:tc>
        <w:tc>
          <w:tcPr>
            <w:tcW w:w="2217" w:type="dxa"/>
            <w:vAlign w:val="center"/>
          </w:tcPr>
          <w:p w14:paraId="19A8BD20">
            <w:pPr>
              <w:pStyle w:val="39"/>
              <w:adjustRightInd/>
              <w:snapToGrid w:val="0"/>
              <w:jc w:val="center"/>
              <w:rPr>
                <w:rFonts w:hAnsi="宋体"/>
                <w:color w:val="auto"/>
              </w:rPr>
            </w:pPr>
            <w:r>
              <w:rPr>
                <w:rFonts w:hint="eastAsia" w:hAnsi="宋体"/>
                <w:color w:val="auto"/>
              </w:rPr>
              <w:t>偏差描述</w:t>
            </w:r>
          </w:p>
        </w:tc>
        <w:tc>
          <w:tcPr>
            <w:tcW w:w="5736" w:type="dxa"/>
            <w:vAlign w:val="center"/>
          </w:tcPr>
          <w:p w14:paraId="02591AAD">
            <w:pPr>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3.7.3</w:t>
            </w:r>
            <w:r>
              <w:rPr>
                <w:rFonts w:hint="eastAsia" w:ascii="宋体" w:hAnsi="宋体"/>
                <w:color w:val="auto"/>
                <w:sz w:val="24"/>
              </w:rPr>
              <w:t>项规定</w:t>
            </w:r>
          </w:p>
        </w:tc>
      </w:tr>
      <w:tr w14:paraId="6F53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6BB11198">
            <w:pPr>
              <w:pStyle w:val="39"/>
              <w:spacing w:line="360" w:lineRule="auto"/>
              <w:jc w:val="center"/>
              <w:rPr>
                <w:rFonts w:hAnsi="宋体"/>
                <w:color w:val="auto"/>
                <w:szCs w:val="24"/>
              </w:rPr>
            </w:pPr>
          </w:p>
        </w:tc>
        <w:tc>
          <w:tcPr>
            <w:tcW w:w="560" w:type="dxa"/>
            <w:vMerge w:val="continue"/>
            <w:vAlign w:val="center"/>
          </w:tcPr>
          <w:p w14:paraId="6A37DDA4">
            <w:pPr>
              <w:pStyle w:val="39"/>
              <w:spacing w:line="360" w:lineRule="auto"/>
              <w:jc w:val="center"/>
              <w:rPr>
                <w:rFonts w:hAnsi="宋体"/>
                <w:color w:val="auto"/>
                <w:szCs w:val="24"/>
              </w:rPr>
            </w:pPr>
          </w:p>
        </w:tc>
        <w:tc>
          <w:tcPr>
            <w:tcW w:w="960" w:type="dxa"/>
            <w:vMerge w:val="continue"/>
            <w:vAlign w:val="center"/>
          </w:tcPr>
          <w:p w14:paraId="55E0106E">
            <w:pPr>
              <w:snapToGrid w:val="0"/>
              <w:spacing w:line="240" w:lineRule="auto"/>
              <w:jc w:val="center"/>
              <w:rPr>
                <w:rFonts w:ascii="宋体"/>
                <w:color w:val="auto"/>
                <w:sz w:val="24"/>
              </w:rPr>
            </w:pPr>
          </w:p>
        </w:tc>
        <w:tc>
          <w:tcPr>
            <w:tcW w:w="2217" w:type="dxa"/>
            <w:vAlign w:val="center"/>
          </w:tcPr>
          <w:p w14:paraId="13A47E64">
            <w:pPr>
              <w:snapToGrid w:val="0"/>
              <w:spacing w:line="240" w:lineRule="auto"/>
              <w:jc w:val="center"/>
              <w:rPr>
                <w:rFonts w:ascii="宋体"/>
                <w:color w:val="auto"/>
                <w:sz w:val="24"/>
              </w:rPr>
            </w:pP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文件》总体响应</w:t>
            </w:r>
          </w:p>
        </w:tc>
        <w:tc>
          <w:tcPr>
            <w:tcW w:w="5736" w:type="dxa"/>
            <w:vAlign w:val="center"/>
          </w:tcPr>
          <w:p w14:paraId="4ADD3F25">
            <w:pPr>
              <w:autoSpaceDE w:val="0"/>
              <w:autoSpaceDN w:val="0"/>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1.3</w:t>
            </w:r>
            <w:r>
              <w:rPr>
                <w:rFonts w:hint="eastAsia" w:ascii="宋体" w:hAnsi="宋体"/>
                <w:color w:val="auto"/>
                <w:sz w:val="24"/>
              </w:rPr>
              <w:t>项规定</w:t>
            </w:r>
          </w:p>
        </w:tc>
      </w:tr>
      <w:tr w14:paraId="6EE3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Align w:val="center"/>
          </w:tcPr>
          <w:p w14:paraId="1F5733C4">
            <w:pPr>
              <w:pStyle w:val="39"/>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14:paraId="13E7B63A">
            <w:pPr>
              <w:pStyle w:val="39"/>
              <w:jc w:val="center"/>
              <w:rPr>
                <w:rFonts w:hAnsi="宋体"/>
                <w:color w:val="auto"/>
                <w:szCs w:val="24"/>
              </w:rPr>
            </w:pPr>
            <w:r>
              <w:rPr>
                <w:rFonts w:hint="eastAsia" w:hAnsi="宋体"/>
                <w:color w:val="auto"/>
                <w:szCs w:val="24"/>
              </w:rPr>
              <w:t>详细评审</w:t>
            </w:r>
          </w:p>
        </w:tc>
        <w:tc>
          <w:tcPr>
            <w:tcW w:w="3177" w:type="dxa"/>
            <w:gridSpan w:val="2"/>
            <w:vAlign w:val="center"/>
          </w:tcPr>
          <w:p w14:paraId="6DD52719">
            <w:pPr>
              <w:snapToGrid w:val="0"/>
              <w:spacing w:line="240" w:lineRule="auto"/>
              <w:ind w:firstLine="480" w:firstLineChars="200"/>
              <w:jc w:val="both"/>
              <w:rPr>
                <w:rFonts w:ascii="宋体"/>
                <w:color w:val="auto"/>
                <w:sz w:val="24"/>
              </w:rPr>
            </w:pPr>
            <w:r>
              <w:rPr>
                <w:rFonts w:hint="eastAsia" w:ascii="宋体"/>
                <w:color w:val="auto"/>
                <w:sz w:val="24"/>
              </w:rPr>
              <w:t>中小企业扶持政策</w:t>
            </w:r>
          </w:p>
          <w:p w14:paraId="16F71900">
            <w:pPr>
              <w:autoSpaceDE w:val="0"/>
              <w:autoSpaceDN w:val="0"/>
              <w:snapToGrid w:val="0"/>
              <w:spacing w:line="240" w:lineRule="auto"/>
              <w:rPr>
                <w:rFonts w:hint="eastAsia" w:ascii="宋体" w:hAnsi="宋体"/>
                <w:color w:val="auto"/>
                <w:sz w:val="24"/>
              </w:rPr>
            </w:pPr>
          </w:p>
        </w:tc>
        <w:tc>
          <w:tcPr>
            <w:tcW w:w="5736" w:type="dxa"/>
            <w:vAlign w:val="center"/>
          </w:tcPr>
          <w:p w14:paraId="27B1D3E8">
            <w:pPr>
              <w:autoSpaceDE w:val="0"/>
              <w:autoSpaceDN w:val="0"/>
              <w:snapToGrid w:val="0"/>
              <w:spacing w:line="240" w:lineRule="auto"/>
              <w:rPr>
                <w:rFonts w:hint="eastAsia" w:ascii="宋体" w:hAnsi="宋体"/>
                <w:color w:val="auto"/>
                <w:sz w:val="24"/>
              </w:rPr>
            </w:pPr>
            <w:r>
              <w:rPr>
                <w:rFonts w:hint="eastAsia" w:ascii="宋体" w:hAnsi="宋体"/>
                <w:color w:val="auto"/>
                <w:sz w:val="24"/>
              </w:rPr>
              <w:t>符合第四章“评审办法”第4条“政府采购促进中小企业发展扶持政策”规定</w:t>
            </w:r>
          </w:p>
          <w:p w14:paraId="357B9F20">
            <w:pPr>
              <w:autoSpaceDE w:val="0"/>
              <w:autoSpaceDN w:val="0"/>
              <w:snapToGrid w:val="0"/>
              <w:spacing w:line="240" w:lineRule="auto"/>
              <w:rPr>
                <w:rFonts w:hint="eastAsia" w:ascii="宋体" w:hAnsi="宋体"/>
                <w:color w:val="auto"/>
                <w:sz w:val="24"/>
              </w:rPr>
            </w:pPr>
            <w:r>
              <w:rPr>
                <w:rFonts w:hint="eastAsia" w:ascii="宋体" w:hAnsi="宋体" w:eastAsia="宋体" w:cs="宋体"/>
                <w:b/>
                <w:bCs/>
                <w:color w:val="auto"/>
                <w:kern w:val="0"/>
                <w:sz w:val="24"/>
                <w:szCs w:val="24"/>
                <w:highlight w:val="none"/>
                <w:lang w:val="en-US" w:eastAsia="zh-CN" w:bidi="ar-SA"/>
              </w:rPr>
              <w:t>注：本次政府采购项目专门面向中小企业，专门面向中小企业的采购项目无价格扣除。</w:t>
            </w:r>
          </w:p>
        </w:tc>
      </w:tr>
    </w:tbl>
    <w:p w14:paraId="4CF30477">
      <w:pPr>
        <w:autoSpaceDE w:val="0"/>
        <w:autoSpaceDN w:val="0"/>
        <w:adjustRightInd w:val="0"/>
        <w:spacing w:line="360" w:lineRule="auto"/>
        <w:jc w:val="left"/>
        <w:rPr>
          <w:rFonts w:ascii="黑体" w:hAnsi="黑体" w:eastAsia="黑体" w:cs="楷体_GB2312"/>
          <w:b/>
          <w:bCs/>
          <w:color w:val="auto"/>
          <w:sz w:val="28"/>
          <w:szCs w:val="28"/>
          <w:lang w:val="zh-CN"/>
        </w:rPr>
      </w:pPr>
    </w:p>
    <w:p w14:paraId="0A94417D">
      <w:pPr>
        <w:autoSpaceDE w:val="0"/>
        <w:autoSpaceDN w:val="0"/>
        <w:adjustRightInd w:val="0"/>
        <w:snapToGrid w:val="0"/>
        <w:spacing w:beforeLines="50" w:line="300" w:lineRule="auto"/>
        <w:ind w:firstLine="722" w:firstLineChars="257"/>
        <w:jc w:val="left"/>
        <w:rPr>
          <w:b/>
          <w:color w:val="auto"/>
          <w:sz w:val="24"/>
          <w:szCs w:val="24"/>
          <w:highlight w:val="none"/>
        </w:rPr>
      </w:pPr>
      <w:r>
        <w:rPr>
          <w:rFonts w:ascii="黑体" w:hAnsi="黑体" w:eastAsia="黑体" w:cs="楷体_GB2312"/>
          <w:b/>
          <w:bCs/>
          <w:color w:val="auto"/>
          <w:sz w:val="28"/>
          <w:szCs w:val="28"/>
          <w:lang w:val="zh-CN"/>
        </w:rPr>
        <w:br w:type="page"/>
      </w:r>
    </w:p>
    <w:p w14:paraId="7FD2DD0B">
      <w:pPr>
        <w:autoSpaceDE w:val="0"/>
        <w:autoSpaceDN w:val="0"/>
        <w:adjustRightInd w:val="0"/>
        <w:snapToGrid w:val="0"/>
        <w:spacing w:beforeLines="50" w:line="300" w:lineRule="auto"/>
        <w:ind w:firstLine="562" w:firstLineChars="200"/>
        <w:jc w:val="left"/>
        <w:outlineLvl w:val="1"/>
        <w:rPr>
          <w:rFonts w:ascii="黑体" w:hAnsi="黑体" w:eastAsia="黑体" w:cs="楷体_GB2312"/>
          <w:b/>
          <w:bCs/>
          <w:color w:val="auto"/>
          <w:sz w:val="28"/>
          <w:szCs w:val="28"/>
          <w:lang w:val="zh-CN"/>
        </w:rPr>
      </w:pPr>
      <w:bookmarkStart w:id="31" w:name="_Toc106792521"/>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1"/>
    </w:p>
    <w:p w14:paraId="700E0219">
      <w:pPr>
        <w:autoSpaceDE w:val="0"/>
        <w:autoSpaceDN w:val="0"/>
        <w:adjustRightInd w:val="0"/>
        <w:snapToGrid w:val="0"/>
        <w:spacing w:before="50" w:line="300" w:lineRule="auto"/>
        <w:ind w:firstLine="482" w:firstLineChars="200"/>
        <w:jc w:val="left"/>
        <w:rPr>
          <w:rFonts w:hint="eastAsia" w:ascii="黑体" w:hAnsi="黑体" w:eastAsia="黑体"/>
          <w:b/>
          <w:color w:val="auto"/>
          <w:sz w:val="24"/>
        </w:rPr>
      </w:pPr>
      <w:r>
        <w:rPr>
          <w:rFonts w:hint="eastAsia" w:ascii="黑体" w:hAnsi="黑体" w:eastAsia="黑体"/>
          <w:b/>
          <w:color w:val="auto"/>
          <w:sz w:val="24"/>
          <w:lang w:val="en-US" w:eastAsia="zh-CN"/>
        </w:rPr>
        <w:t xml:space="preserve">本次政府采购项目（标段）按照最低评标价法确定成交供应商，即在符合采购需求、 </w:t>
      </w:r>
    </w:p>
    <w:p w14:paraId="528D87C5">
      <w:pPr>
        <w:autoSpaceDE w:val="0"/>
        <w:autoSpaceDN w:val="0"/>
        <w:adjustRightInd w:val="0"/>
        <w:snapToGrid w:val="0"/>
        <w:spacing w:before="50" w:line="300" w:lineRule="auto"/>
        <w:ind w:firstLine="482" w:firstLineChars="200"/>
        <w:jc w:val="left"/>
        <w:rPr>
          <w:rFonts w:hint="eastAsia" w:ascii="黑体" w:hAnsi="黑体" w:eastAsia="黑体"/>
          <w:b/>
          <w:color w:val="auto"/>
          <w:sz w:val="24"/>
          <w:lang w:val="zh-CN"/>
        </w:rPr>
      </w:pPr>
      <w:r>
        <w:rPr>
          <w:rFonts w:hint="eastAsia" w:ascii="黑体" w:hAnsi="黑体" w:eastAsia="黑体"/>
          <w:b/>
          <w:color w:val="auto"/>
          <w:sz w:val="24"/>
          <w:lang w:val="en-US" w:eastAsia="zh-CN"/>
        </w:rPr>
        <w:t xml:space="preserve">提供的产品质量和服务均能满足采购文件规定的实质性要求且最后报价最低的原则确定各标段成交供应商。 </w:t>
      </w:r>
    </w:p>
    <w:p w14:paraId="68A72041">
      <w:pPr>
        <w:pStyle w:val="39"/>
        <w:snapToGrid w:val="0"/>
        <w:spacing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2" w:name="_Toc106792522"/>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2"/>
    </w:p>
    <w:p w14:paraId="4668BE27">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14:paraId="0FF2B315">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14:paraId="42A08475">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14:paraId="1C522012">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p>
    <w:p w14:paraId="16D5A298">
      <w:pPr>
        <w:autoSpaceDE w:val="0"/>
        <w:autoSpaceDN w:val="0"/>
        <w:adjustRightInd w:val="0"/>
        <w:snapToGrid w:val="0"/>
        <w:spacing w:beforeLines="50" w:line="300" w:lineRule="auto"/>
        <w:ind w:left="540" w:leftChars="257"/>
        <w:jc w:val="left"/>
        <w:rPr>
          <w:rFonts w:ascii="宋体"/>
          <w:color w:val="auto"/>
          <w:sz w:val="24"/>
        </w:rPr>
      </w:pPr>
      <w:r>
        <w:rPr>
          <w:rFonts w:hint="eastAsia" w:ascii="宋体" w:hAnsi="宋体"/>
          <w:color w:val="auto"/>
          <w:sz w:val="24"/>
        </w:rPr>
        <w:t>见评审办法前附表。</w:t>
      </w:r>
    </w:p>
    <w:p w14:paraId="48CDA902">
      <w:pPr>
        <w:pStyle w:val="39"/>
        <w:snapToGrid w:val="0"/>
        <w:spacing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33" w:name="_Toc106792523"/>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33"/>
    </w:p>
    <w:p w14:paraId="0DA984B3">
      <w:pPr>
        <w:autoSpaceDE w:val="0"/>
        <w:autoSpaceDN w:val="0"/>
        <w:adjustRightInd w:val="0"/>
        <w:snapToGrid w:val="0"/>
        <w:spacing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lang w:eastAsia="zh-CN"/>
        </w:rPr>
        <w:t>谈判</w:t>
      </w:r>
      <w:r>
        <w:rPr>
          <w:rFonts w:hint="eastAsia" w:ascii="黑体" w:hAnsi="黑体" w:eastAsia="黑体"/>
          <w:b/>
          <w:color w:val="auto"/>
          <w:sz w:val="24"/>
          <w:szCs w:val="24"/>
        </w:rPr>
        <w:t>小组按标段（包）进行评审</w:t>
      </w:r>
    </w:p>
    <w:p w14:paraId="6B2CC7DD">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w:t>
      </w:r>
      <w:r>
        <w:rPr>
          <w:rFonts w:hint="eastAsia" w:ascii="黑体" w:hAnsi="黑体" w:eastAsia="黑体"/>
          <w:b/>
          <w:color w:val="auto"/>
          <w:sz w:val="24"/>
          <w:lang w:eastAsia="zh-CN"/>
        </w:rPr>
        <w:t>谈判</w:t>
      </w:r>
      <w:r>
        <w:rPr>
          <w:rFonts w:hint="eastAsia" w:ascii="黑体" w:hAnsi="黑体" w:eastAsia="黑体"/>
          <w:b/>
          <w:color w:val="auto"/>
          <w:sz w:val="24"/>
        </w:rPr>
        <w:t>文件》</w:t>
      </w:r>
    </w:p>
    <w:p w14:paraId="2D3AD4F1">
      <w:pPr>
        <w:pStyle w:val="39"/>
        <w:snapToGrid w:val="0"/>
        <w:spacing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lang w:eastAsia="zh-CN"/>
        </w:rPr>
        <w:t>谈判</w:t>
      </w:r>
      <w:r>
        <w:rPr>
          <w:rFonts w:hint="eastAsia" w:hAnsi="宋体"/>
          <w:color w:val="auto"/>
        </w:rPr>
        <w:t>小组确认《</w:t>
      </w:r>
      <w:r>
        <w:rPr>
          <w:rFonts w:hint="eastAsia" w:hAnsi="宋体"/>
          <w:color w:val="auto"/>
          <w:lang w:eastAsia="zh-CN"/>
        </w:rPr>
        <w:t>谈判</w:t>
      </w:r>
      <w:r>
        <w:rPr>
          <w:rFonts w:hint="eastAsia" w:hAnsi="宋体"/>
          <w:color w:val="auto"/>
        </w:rPr>
        <w:t>文件》，《</w:t>
      </w:r>
      <w:r>
        <w:rPr>
          <w:rFonts w:hint="eastAsia" w:hAnsi="宋体"/>
          <w:color w:val="auto"/>
          <w:lang w:eastAsia="zh-CN"/>
        </w:rPr>
        <w:t>谈判</w:t>
      </w:r>
      <w:r>
        <w:rPr>
          <w:rFonts w:hint="eastAsia" w:hAnsi="宋体"/>
          <w:color w:val="auto"/>
        </w:rPr>
        <w:t>文件》内容违反国家有关强制性规定的，</w:t>
      </w:r>
      <w:r>
        <w:rPr>
          <w:rFonts w:hint="eastAsia" w:hAnsi="宋体"/>
          <w:color w:val="auto"/>
          <w:lang w:eastAsia="zh-CN"/>
        </w:rPr>
        <w:t>谈判</w:t>
      </w:r>
      <w:r>
        <w:rPr>
          <w:rFonts w:hint="eastAsia" w:hAnsi="宋体"/>
          <w:color w:val="auto"/>
        </w:rPr>
        <w:t>小组应当停止评审并向采购人或者采购代理机构书面说明情况。</w:t>
      </w:r>
    </w:p>
    <w:p w14:paraId="10B9C679">
      <w:pPr>
        <w:pStyle w:val="39"/>
        <w:snapToGrid w:val="0"/>
        <w:spacing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lang w:eastAsia="zh-CN"/>
        </w:rPr>
        <w:t>谈判</w:t>
      </w:r>
      <w:r>
        <w:rPr>
          <w:rFonts w:hint="eastAsia" w:hAnsi="宋体"/>
          <w:color w:val="auto"/>
        </w:rPr>
        <w:t>小组</w:t>
      </w:r>
      <w:r>
        <w:rPr>
          <w:rFonts w:hint="eastAsia" w:ascii="??" w:hAnsi="??" w:cs="宋体"/>
          <w:color w:val="auto"/>
          <w:szCs w:val="21"/>
        </w:rPr>
        <w:t>要求解释</w:t>
      </w:r>
      <w:r>
        <w:rPr>
          <w:rFonts w:hint="eastAsia" w:hAnsi="宋体"/>
          <w:color w:val="auto"/>
        </w:rPr>
        <w:t>《</w:t>
      </w:r>
      <w:r>
        <w:rPr>
          <w:rFonts w:hint="eastAsia" w:hAnsi="宋体"/>
          <w:color w:val="auto"/>
          <w:lang w:eastAsia="zh-CN"/>
        </w:rPr>
        <w:t>谈判</w:t>
      </w:r>
      <w:r>
        <w:rPr>
          <w:rFonts w:hint="eastAsia" w:hAnsi="宋体"/>
          <w:color w:val="auto"/>
        </w:rPr>
        <w:t>文件》的，书面提出需解释的相关《</w:t>
      </w:r>
      <w:r>
        <w:rPr>
          <w:rFonts w:hint="eastAsia" w:hAnsi="宋体"/>
          <w:color w:val="auto"/>
          <w:lang w:eastAsia="zh-CN"/>
        </w:rPr>
        <w:t>谈判</w:t>
      </w:r>
      <w:r>
        <w:rPr>
          <w:rFonts w:hint="eastAsia" w:hAnsi="宋体"/>
          <w:color w:val="auto"/>
        </w:rPr>
        <w:t>文件》的具体内容后、由采购代理机构或者采购人进行书面解释。</w:t>
      </w:r>
    </w:p>
    <w:p w14:paraId="421A1DA8">
      <w:pPr>
        <w:autoSpaceDE w:val="0"/>
        <w:autoSpaceDN w:val="0"/>
        <w:adjustRightInd w:val="0"/>
        <w:snapToGrid w:val="0"/>
        <w:spacing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3.2</w:t>
      </w:r>
      <w:r>
        <w:rPr>
          <w:rFonts w:hint="eastAsia" w:ascii="黑体" w:hAnsi="黑体" w:eastAsia="黑体"/>
          <w:b/>
          <w:color w:val="auto"/>
          <w:sz w:val="24"/>
        </w:rPr>
        <w:t>初步评审</w:t>
      </w:r>
    </w:p>
    <w:p w14:paraId="481DC5DD">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lang w:eastAsia="zh-CN"/>
        </w:rPr>
        <w:t>谈判</w:t>
      </w:r>
      <w:r>
        <w:rPr>
          <w:rFonts w:hint="eastAsia" w:ascii="宋体" w:hAnsi="宋体"/>
          <w:color w:val="auto"/>
          <w:sz w:val="24"/>
        </w:rPr>
        <w:t>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款规定的标准对《响应文件》进行资格性、符合性评审。有一项不符合评审标准的，作无效响应处理。</w:t>
      </w:r>
    </w:p>
    <w:p w14:paraId="755B954B">
      <w:pPr>
        <w:autoSpaceDE w:val="0"/>
        <w:autoSpaceDN w:val="0"/>
        <w:adjustRightInd w:val="0"/>
        <w:snapToGrid w:val="0"/>
        <w:spacing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供应商有以下情形之一的，其投标作无效响应处理：</w:t>
      </w:r>
    </w:p>
    <w:p w14:paraId="5559C5AD">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）供应商不符合国家或者《</w:t>
      </w:r>
      <w:r>
        <w:rPr>
          <w:rFonts w:hint="eastAsia" w:ascii="宋体" w:hAnsi="宋体"/>
          <w:color w:val="auto"/>
          <w:sz w:val="24"/>
          <w:lang w:eastAsia="zh-CN"/>
        </w:rPr>
        <w:t>谈判</w:t>
      </w:r>
      <w:r>
        <w:rPr>
          <w:rFonts w:hint="eastAsia" w:ascii="宋体" w:hAnsi="宋体"/>
          <w:color w:val="auto"/>
          <w:sz w:val="24"/>
        </w:rPr>
        <w:t>文件》规定的资格条件；</w:t>
      </w:r>
    </w:p>
    <w:p w14:paraId="5C885701">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）供应商没有按照《</w:t>
      </w:r>
      <w:r>
        <w:rPr>
          <w:rFonts w:hint="eastAsia" w:ascii="宋体" w:hAnsi="宋体"/>
          <w:color w:val="auto"/>
          <w:sz w:val="24"/>
          <w:lang w:eastAsia="zh-CN"/>
        </w:rPr>
        <w:t>谈判</w:t>
      </w:r>
      <w:r>
        <w:rPr>
          <w:rFonts w:hint="eastAsia" w:ascii="宋体" w:hAnsi="宋体"/>
          <w:color w:val="auto"/>
          <w:sz w:val="24"/>
        </w:rPr>
        <w:t>文件》要求提供投标承诺函；</w:t>
      </w:r>
    </w:p>
    <w:p w14:paraId="0F42DBBB">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w:t>
      </w:r>
      <w:r>
        <w:rPr>
          <w:rFonts w:hint="eastAsia" w:ascii="宋体" w:hAnsi="宋体"/>
          <w:color w:val="auto"/>
          <w:sz w:val="24"/>
          <w:lang w:eastAsia="zh-CN"/>
        </w:rPr>
        <w:t>谈判</w:t>
      </w:r>
      <w:r>
        <w:rPr>
          <w:rFonts w:hint="eastAsia" w:ascii="宋体" w:hAnsi="宋体"/>
          <w:color w:val="auto"/>
          <w:sz w:val="24"/>
        </w:rPr>
        <w:t>文件》规定；</w:t>
      </w:r>
    </w:p>
    <w:p w14:paraId="41AC99DF">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）《响应文件》的签字盖章不符合《</w:t>
      </w:r>
      <w:r>
        <w:rPr>
          <w:rFonts w:hint="eastAsia" w:ascii="宋体" w:hAnsi="宋体"/>
          <w:color w:val="auto"/>
          <w:sz w:val="24"/>
          <w:lang w:eastAsia="zh-CN"/>
        </w:rPr>
        <w:t>谈判</w:t>
      </w:r>
      <w:r>
        <w:rPr>
          <w:rFonts w:hint="eastAsia" w:ascii="宋体" w:hAnsi="宋体"/>
          <w:color w:val="auto"/>
          <w:sz w:val="24"/>
        </w:rPr>
        <w:t>文件》规定；</w:t>
      </w:r>
    </w:p>
    <w:p w14:paraId="53A6C0D8">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报价高于竞争性</w:t>
      </w:r>
      <w:r>
        <w:rPr>
          <w:rFonts w:hint="eastAsia" w:ascii="宋体" w:hAnsi="宋体"/>
          <w:color w:val="auto"/>
          <w:sz w:val="24"/>
          <w:lang w:eastAsia="zh-CN"/>
        </w:rPr>
        <w:t>谈判</w:t>
      </w:r>
      <w:r>
        <w:rPr>
          <w:rFonts w:hint="eastAsia" w:ascii="宋体" w:hAnsi="宋体"/>
          <w:color w:val="auto"/>
          <w:sz w:val="24"/>
        </w:rPr>
        <w:t>公告公布的预算金额；</w:t>
      </w:r>
    </w:p>
    <w:p w14:paraId="476EABB9">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）同一供应商提交两个以上不同的《响应文件》或者</w:t>
      </w:r>
      <w:r>
        <w:rPr>
          <w:rFonts w:hint="eastAsia" w:ascii="宋体" w:hAnsi="宋体"/>
          <w:color w:val="auto"/>
          <w:sz w:val="24"/>
          <w:lang w:eastAsia="zh-CN"/>
        </w:rPr>
        <w:t>谈判</w:t>
      </w:r>
      <w:r>
        <w:rPr>
          <w:rFonts w:hint="eastAsia" w:ascii="宋体" w:hAnsi="宋体"/>
          <w:color w:val="auto"/>
          <w:sz w:val="24"/>
        </w:rPr>
        <w:t>报价，《响应文件》的每种报价有两个报价或其他选择性报价的。</w:t>
      </w:r>
    </w:p>
    <w:p w14:paraId="76B693E1">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）《响应文件》没有对《</w:t>
      </w:r>
      <w:r>
        <w:rPr>
          <w:rFonts w:hint="eastAsia" w:ascii="宋体" w:hAnsi="宋体"/>
          <w:color w:val="auto"/>
          <w:sz w:val="24"/>
          <w:lang w:eastAsia="zh-CN"/>
        </w:rPr>
        <w:t>谈判</w:t>
      </w:r>
      <w:r>
        <w:rPr>
          <w:rFonts w:hint="eastAsia" w:ascii="宋体" w:hAnsi="宋体"/>
          <w:color w:val="auto"/>
          <w:sz w:val="24"/>
        </w:rPr>
        <w:t>文件》的实质性要求和条件作出实质性响应，或不符合《</w:t>
      </w:r>
      <w:r>
        <w:rPr>
          <w:rFonts w:hint="eastAsia" w:ascii="宋体" w:hAnsi="宋体"/>
          <w:color w:val="auto"/>
          <w:sz w:val="24"/>
          <w:lang w:eastAsia="zh-CN"/>
        </w:rPr>
        <w:t>谈判</w:t>
      </w:r>
      <w:r>
        <w:rPr>
          <w:rFonts w:hint="eastAsia" w:ascii="宋体" w:hAnsi="宋体"/>
          <w:color w:val="auto"/>
          <w:sz w:val="24"/>
        </w:rPr>
        <w:t>文件》的实质性要求和条件；</w:t>
      </w:r>
    </w:p>
    <w:p w14:paraId="2DF2FF2F">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）《响应文件》附有采购项目不能接受的条件或不符合国家强制性规定的；</w:t>
      </w:r>
    </w:p>
    <w:p w14:paraId="5913E341">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14:paraId="0FD4DC5E">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14:paraId="154FC821">
      <w:pPr>
        <w:autoSpaceDE w:val="0"/>
        <w:autoSpaceDN w:val="0"/>
        <w:adjustRightInd w:val="0"/>
        <w:snapToGrid w:val="0"/>
        <w:spacing w:beforeLines="50" w:line="300" w:lineRule="auto"/>
        <w:ind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14:paraId="1523B4F4">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2）提供虚假材料谋取成交的；</w:t>
      </w:r>
    </w:p>
    <w:p w14:paraId="2CA40495">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3）供应商有串通投标、行贿等违法行为。其中，有下列情形之一的，视为供应商相互串通投标：</w:t>
      </w:r>
    </w:p>
    <w:p w14:paraId="605CCD5E">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◆不同供应商的《响应文件》由同一单位或者个人编制；</w:t>
      </w:r>
    </w:p>
    <w:p w14:paraId="5243BEC0">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◆不同供应商委托同一单位或者个人办理投标事宜；</w:t>
      </w:r>
    </w:p>
    <w:p w14:paraId="5D64DF71">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◆不同供应商的《响应文件》载明的项目管理成员为同一人；</w:t>
      </w:r>
    </w:p>
    <w:p w14:paraId="672921A6">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◆不同供应商的《响应文件》异常一致或者</w:t>
      </w:r>
      <w:r>
        <w:rPr>
          <w:rFonts w:hint="eastAsia" w:ascii="宋体" w:hAnsi="宋体"/>
          <w:color w:val="auto"/>
          <w:sz w:val="24"/>
          <w:lang w:eastAsia="zh-CN"/>
        </w:rPr>
        <w:t>谈判</w:t>
      </w:r>
      <w:r>
        <w:rPr>
          <w:rFonts w:hint="eastAsia" w:ascii="宋体" w:hAnsi="宋体"/>
          <w:color w:val="auto"/>
          <w:sz w:val="24"/>
        </w:rPr>
        <w:t>报价呈规律性差异；</w:t>
      </w:r>
    </w:p>
    <w:p w14:paraId="3DC00808">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◆不同供应商的《响应文件》相互混装。</w:t>
      </w:r>
    </w:p>
    <w:p w14:paraId="7F3CC0E4">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14:paraId="396CC6E4">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14:paraId="7FFC6745">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14:paraId="0A6A9843">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14:paraId="720B5C3B">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14:paraId="4FF1972E">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14:paraId="2A6D4082">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14:paraId="1A326B0E">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14:paraId="5D74547C">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14:paraId="46AC37E7">
      <w:pPr>
        <w:autoSpaceDE w:val="0"/>
        <w:autoSpaceDN w:val="0"/>
        <w:adjustRightInd w:val="0"/>
        <w:snapToGrid w:val="0"/>
        <w:spacing w:beforeLines="50" w:line="300" w:lineRule="auto"/>
        <w:ind w:firstLine="539"/>
        <w:rPr>
          <w:rFonts w:ascii="宋体" w:hAnsi="宋体"/>
          <w:color w:val="auto"/>
          <w:sz w:val="24"/>
        </w:rPr>
      </w:pPr>
      <w:r>
        <w:rPr>
          <w:rFonts w:hint="eastAsia" w:ascii="宋体" w:hAnsi="宋体"/>
          <w:color w:val="auto"/>
          <w:sz w:val="24"/>
        </w:rPr>
        <w:t>(15)据豫财购〔2021〕6号文件精神，工程领域招标投标行政主管部门对供应商串通投标等予以市场禁入的，在本次政府采购活动中，该供应商投标(响应)文件无效。</w:t>
      </w:r>
    </w:p>
    <w:p w14:paraId="3EC67CB6">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b/>
          <w:color w:val="auto"/>
          <w:sz w:val="24"/>
        </w:rPr>
        <w:t>未实质性响应《</w:t>
      </w:r>
      <w:r>
        <w:rPr>
          <w:rFonts w:hint="eastAsia" w:ascii="宋体" w:hAnsi="宋体"/>
          <w:b/>
          <w:color w:val="auto"/>
          <w:sz w:val="24"/>
          <w:lang w:eastAsia="zh-CN"/>
        </w:rPr>
        <w:t>谈判</w:t>
      </w:r>
      <w:r>
        <w:rPr>
          <w:rFonts w:hint="eastAsia" w:ascii="宋体" w:hAnsi="宋体"/>
          <w:b/>
          <w:color w:val="auto"/>
          <w:sz w:val="24"/>
        </w:rPr>
        <w:t>文件》的《响应文件》按无效处理，</w:t>
      </w:r>
      <w:r>
        <w:rPr>
          <w:rFonts w:hint="eastAsia" w:ascii="宋体" w:hAnsi="宋体"/>
          <w:b/>
          <w:color w:val="auto"/>
          <w:sz w:val="24"/>
          <w:lang w:eastAsia="zh-CN"/>
        </w:rPr>
        <w:t>谈判</w:t>
      </w:r>
      <w:r>
        <w:rPr>
          <w:rFonts w:hint="eastAsia" w:ascii="宋体" w:hAnsi="宋体"/>
          <w:b/>
          <w:color w:val="auto"/>
          <w:sz w:val="24"/>
        </w:rPr>
        <w:t>小组应当通过评审界面的对话框告知有关供应商。</w:t>
      </w:r>
    </w:p>
    <w:p w14:paraId="202E6B42">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与分项报价或报价明细表有差别时，以</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为准；大写文字表示的数据与小写数字表示的有差别时，以大写文字表示的数据为准；单价与</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总价不符时，以</w:t>
      </w:r>
      <w:r>
        <w:rPr>
          <w:rFonts w:hint="eastAsia" w:ascii="宋体"/>
          <w:color w:val="auto"/>
          <w:sz w:val="24"/>
        </w:rPr>
        <w:t>“</w:t>
      </w:r>
      <w:r>
        <w:rPr>
          <w:rFonts w:hint="eastAsia" w:ascii="宋体" w:hAnsi="宋体"/>
          <w:color w:val="auto"/>
          <w:sz w:val="24"/>
        </w:rPr>
        <w:t>开标一览表</w:t>
      </w:r>
      <w:r>
        <w:rPr>
          <w:rFonts w:hint="eastAsia" w:ascii="宋体"/>
          <w:color w:val="auto"/>
          <w:sz w:val="24"/>
        </w:rPr>
        <w:t>”</w:t>
      </w:r>
      <w:r>
        <w:rPr>
          <w:rFonts w:hint="eastAsia" w:ascii="宋体" w:hAnsi="宋体"/>
          <w:color w:val="auto"/>
          <w:sz w:val="24"/>
        </w:rPr>
        <w:t>总价为准。如供应商拒绝接受上述意见，其</w:t>
      </w:r>
      <w:r>
        <w:rPr>
          <w:rFonts w:hint="eastAsia" w:ascii="宋体" w:hAnsi="宋体"/>
          <w:b/>
          <w:color w:val="auto"/>
          <w:sz w:val="24"/>
        </w:rPr>
        <w:t>投标将被拒绝。</w:t>
      </w:r>
    </w:p>
    <w:p w14:paraId="2BD171A6">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lang w:eastAsia="zh-CN"/>
        </w:rPr>
        <w:t>谈判</w:t>
      </w:r>
      <w:r>
        <w:rPr>
          <w:rFonts w:hint="eastAsia" w:ascii="宋体" w:hAnsi="宋体"/>
          <w:color w:val="auto"/>
          <w:sz w:val="24"/>
        </w:rPr>
        <w:t>小组负责审查确定每一响应项目（标段</w:t>
      </w:r>
      <w:r>
        <w:rPr>
          <w:rFonts w:hint="eastAsia" w:ascii="宋体" w:hAnsi="宋体" w:cs="楷体_GB2312"/>
          <w:color w:val="auto"/>
          <w:sz w:val="24"/>
          <w:lang w:val="zh-CN"/>
        </w:rPr>
        <w:t>&lt;包&gt;</w:t>
      </w:r>
      <w:r>
        <w:rPr>
          <w:rFonts w:hint="eastAsia" w:ascii="宋体" w:hAnsi="宋体"/>
          <w:color w:val="auto"/>
          <w:sz w:val="24"/>
        </w:rPr>
        <w:t>）是否对《</w:t>
      </w:r>
      <w:r>
        <w:rPr>
          <w:rFonts w:hint="eastAsia" w:ascii="宋体" w:hAnsi="宋体"/>
          <w:color w:val="auto"/>
          <w:sz w:val="24"/>
          <w:lang w:eastAsia="zh-CN"/>
        </w:rPr>
        <w:t>谈判</w:t>
      </w:r>
      <w:r>
        <w:rPr>
          <w:rFonts w:hint="eastAsia" w:ascii="宋体" w:hAnsi="宋体"/>
          <w:color w:val="auto"/>
          <w:sz w:val="24"/>
        </w:rPr>
        <w:t>文件》的实质性要求作出了实质性的响应，而没有重大偏离和保留。实质性响应的《响应文件》是指《响应文件》符合《</w:t>
      </w:r>
      <w:r>
        <w:rPr>
          <w:rFonts w:hint="eastAsia" w:ascii="宋体" w:hAnsi="宋体"/>
          <w:color w:val="auto"/>
          <w:sz w:val="24"/>
          <w:lang w:eastAsia="zh-CN"/>
        </w:rPr>
        <w:t>谈判</w:t>
      </w:r>
      <w:r>
        <w:rPr>
          <w:rFonts w:hint="eastAsia" w:ascii="宋体" w:hAnsi="宋体"/>
          <w:color w:val="auto"/>
          <w:sz w:val="24"/>
        </w:rPr>
        <w:t>文件》的所有条款、条件和规定且没有重大偏离和保留（重大偏离和保留是指影响到《</w:t>
      </w:r>
      <w:r>
        <w:rPr>
          <w:rFonts w:hint="eastAsia" w:ascii="宋体" w:hAnsi="宋体"/>
          <w:color w:val="auto"/>
          <w:sz w:val="24"/>
          <w:lang w:eastAsia="zh-CN"/>
        </w:rPr>
        <w:t>谈判</w:t>
      </w:r>
      <w:r>
        <w:rPr>
          <w:rFonts w:hint="eastAsia" w:ascii="宋体" w:hAnsi="宋体"/>
          <w:color w:val="auto"/>
          <w:sz w:val="24"/>
        </w:rPr>
        <w:t>文件》和供应商的义务的规定，而纠正这些偏离将影响到其他提交实质性响应供应商的公平竞争地位）。</w:t>
      </w:r>
    </w:p>
    <w:p w14:paraId="7DA48CC5">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lang w:eastAsia="zh-CN"/>
        </w:rPr>
        <w:t>谈判</w:t>
      </w:r>
      <w:r>
        <w:rPr>
          <w:rFonts w:hint="eastAsia" w:ascii="宋体" w:hAnsi="宋体"/>
          <w:color w:val="auto"/>
          <w:sz w:val="24"/>
        </w:rPr>
        <w:t>小组判断《响应文件》的响应性仅基于《响应文件》本身而不靠外部证据。</w:t>
      </w:r>
    </w:p>
    <w:p w14:paraId="2F35A715">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lang w:eastAsia="zh-CN"/>
        </w:rPr>
        <w:t>谈判</w:t>
      </w:r>
      <w:r>
        <w:rPr>
          <w:rFonts w:hint="eastAsia" w:ascii="宋体" w:hAnsi="宋体"/>
          <w:color w:val="auto"/>
          <w:sz w:val="24"/>
        </w:rPr>
        <w:t>小组拒绝被确定为非实质性响应的供应商，供应商不得通过修正或撤销不符之处而使其《响应文件》成为实质性响应的《响应文件》。</w:t>
      </w:r>
    </w:p>
    <w:p w14:paraId="11E0F14B">
      <w:pPr>
        <w:autoSpaceDE w:val="0"/>
        <w:autoSpaceDN w:val="0"/>
        <w:adjustRightInd w:val="0"/>
        <w:snapToGrid w:val="0"/>
        <w:spacing w:beforeLines="50" w:line="300" w:lineRule="auto"/>
        <w:ind w:firstLine="566" w:firstLineChars="236"/>
        <w:jc w:val="left"/>
        <w:rPr>
          <w:rFonts w:hint="eastAsia" w:ascii="宋体" w:hAnsi="宋体"/>
          <w:color w:val="auto"/>
          <w:sz w:val="24"/>
        </w:rPr>
      </w:pPr>
      <w:r>
        <w:rPr>
          <w:rFonts w:ascii="宋体" w:hAnsi="宋体"/>
          <w:color w:val="auto"/>
          <w:sz w:val="24"/>
        </w:rPr>
        <w:t xml:space="preserve">3.2.8 </w:t>
      </w:r>
      <w:r>
        <w:rPr>
          <w:rFonts w:hint="eastAsia" w:ascii="宋体" w:hAnsi="宋体"/>
          <w:color w:val="auto"/>
          <w:sz w:val="24"/>
        </w:rPr>
        <w:t>允许供应商修改《响应文件》中不构成重大偏离的、微小的、非正规、不一致或不规则的地方。</w:t>
      </w:r>
    </w:p>
    <w:p w14:paraId="49A13768">
      <w:pPr>
        <w:autoSpaceDE w:val="0"/>
        <w:autoSpaceDN w:val="0"/>
        <w:adjustRightInd w:val="0"/>
        <w:snapToGrid w:val="0"/>
        <w:spacing w:beforeLines="50" w:line="300" w:lineRule="auto"/>
        <w:ind w:firstLine="569" w:firstLineChars="236"/>
        <w:jc w:val="left"/>
        <w:rPr>
          <w:rFonts w:ascii="黑体" w:hAnsi="黑体" w:eastAsia="黑体" w:cs="Times New Roman"/>
          <w:b/>
          <w:color w:val="auto"/>
          <w:sz w:val="24"/>
        </w:rPr>
      </w:pPr>
      <w:r>
        <w:rPr>
          <w:rFonts w:hint="eastAsia" w:ascii="黑体" w:hAnsi="黑体" w:eastAsia="黑体" w:cs="Times New Roman"/>
          <w:b/>
          <w:color w:val="auto"/>
          <w:sz w:val="24"/>
          <w:lang w:val="en-US" w:eastAsia="zh-CN"/>
        </w:rPr>
        <w:t xml:space="preserve">3.3 详细评审 </w:t>
      </w:r>
    </w:p>
    <w:p w14:paraId="64C41608">
      <w:pPr>
        <w:autoSpaceDE w:val="0"/>
        <w:autoSpaceDN w:val="0"/>
        <w:adjustRightInd w:val="0"/>
        <w:snapToGrid w:val="0"/>
        <w:spacing w:beforeLines="50" w:line="300" w:lineRule="auto"/>
        <w:ind w:firstLine="566" w:firstLineChars="236"/>
        <w:jc w:val="left"/>
        <w:rPr>
          <w:rFonts w:ascii="宋体" w:hAnsi="宋体" w:eastAsia="宋体" w:cs="Times New Roman"/>
          <w:color w:val="auto"/>
          <w:sz w:val="24"/>
        </w:rPr>
      </w:pPr>
      <w:r>
        <w:rPr>
          <w:rFonts w:hint="eastAsia" w:ascii="宋体" w:hAnsi="宋体" w:eastAsia="宋体" w:cs="Times New Roman"/>
          <w:color w:val="auto"/>
          <w:sz w:val="24"/>
          <w:lang w:val="en-US" w:eastAsia="zh-CN"/>
        </w:rPr>
        <w:t xml:space="preserve">3.3.1 按本章第4 条规定执行促进中小企业发展扶持政策。 </w:t>
      </w:r>
    </w:p>
    <w:p w14:paraId="03737D1F">
      <w:pPr>
        <w:autoSpaceDE w:val="0"/>
        <w:autoSpaceDN w:val="0"/>
        <w:adjustRightInd w:val="0"/>
        <w:snapToGrid w:val="0"/>
        <w:spacing w:beforeLines="50" w:line="300" w:lineRule="auto"/>
        <w:ind w:firstLine="566" w:firstLineChars="236"/>
        <w:jc w:val="left"/>
        <w:rPr>
          <w:rFonts w:ascii="宋体" w:hAnsi="宋体" w:eastAsia="宋体" w:cs="Times New Roman"/>
          <w:color w:val="auto"/>
          <w:sz w:val="24"/>
        </w:rPr>
      </w:pPr>
      <w:r>
        <w:rPr>
          <w:rFonts w:hint="eastAsia" w:ascii="宋体" w:hAnsi="宋体" w:eastAsia="宋体" w:cs="Times New Roman"/>
          <w:color w:val="auto"/>
          <w:sz w:val="24"/>
          <w:lang w:val="en-US" w:eastAsia="zh-CN"/>
        </w:rPr>
        <w:t>3.3.2 谈判小组认为供应商的报价明显低于其他通过符合性审查投标人的报价，有可能影响产品 质量或者不能诚信履约的，应当要求其在合理的时间内提供书面说明，必要时提交相关证明材料；供应商不能证明其报价合理性的，谈判小组应当将其作为无效投标处理。</w:t>
      </w:r>
    </w:p>
    <w:p w14:paraId="467F6724">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3.</w:t>
      </w:r>
      <w:r>
        <w:rPr>
          <w:rFonts w:hint="eastAsia" w:ascii="黑体" w:hAnsi="黑体" w:eastAsia="黑体"/>
          <w:b/>
          <w:color w:val="auto"/>
          <w:sz w:val="24"/>
          <w:lang w:val="en-US" w:eastAsia="zh-CN"/>
        </w:rPr>
        <w:t>4</w:t>
      </w:r>
      <w:r>
        <w:rPr>
          <w:rFonts w:hint="eastAsia" w:ascii="黑体" w:hAnsi="黑体" w:eastAsia="黑体"/>
          <w:b/>
          <w:color w:val="auto"/>
          <w:sz w:val="24"/>
        </w:rPr>
        <w:t>《响应文件》的澄清</w:t>
      </w:r>
    </w:p>
    <w:p w14:paraId="4D806722">
      <w:pPr>
        <w:autoSpaceDE w:val="0"/>
        <w:autoSpaceDN w:val="0"/>
        <w:adjustRightInd w:val="0"/>
        <w:snapToGrid w:val="0"/>
        <w:spacing w:beforeLines="50" w:line="300" w:lineRule="auto"/>
        <w:ind w:firstLine="569" w:firstLineChars="236"/>
        <w:jc w:val="left"/>
        <w:rPr>
          <w:rFonts w:ascii="宋体" w:hAnsi="宋体"/>
          <w:b/>
          <w:color w:val="auto"/>
          <w:sz w:val="24"/>
        </w:rPr>
      </w:pPr>
      <w:r>
        <w:rPr>
          <w:rFonts w:hint="eastAsia" w:ascii="宋体" w:hAnsi="宋体"/>
          <w:b/>
          <w:color w:val="auto"/>
          <w:sz w:val="24"/>
        </w:rPr>
        <w:t>《响应文件》的澄清在“竞争性</w:t>
      </w:r>
      <w:r>
        <w:rPr>
          <w:rFonts w:hint="eastAsia" w:ascii="宋体" w:hAnsi="宋体"/>
          <w:b/>
          <w:color w:val="auto"/>
          <w:sz w:val="24"/>
          <w:lang w:eastAsia="zh-CN"/>
        </w:rPr>
        <w:t>谈判</w:t>
      </w:r>
      <w:r>
        <w:rPr>
          <w:rFonts w:hint="eastAsia" w:ascii="宋体" w:hAnsi="宋体"/>
          <w:b/>
          <w:color w:val="auto"/>
          <w:sz w:val="24"/>
        </w:rPr>
        <w:t>公告”</w:t>
      </w:r>
      <w:r>
        <w:rPr>
          <w:rFonts w:ascii="宋体" w:hAnsi="宋体"/>
          <w:b/>
          <w:color w:val="auto"/>
          <w:sz w:val="24"/>
        </w:rPr>
        <w:t>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14:paraId="4FFE4F54">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lang w:val="en-US" w:eastAsia="zh-CN"/>
        </w:rPr>
        <w:t>4</w:t>
      </w:r>
      <w:r>
        <w:rPr>
          <w:rFonts w:ascii="宋体" w:hAnsi="宋体"/>
          <w:b/>
          <w:color w:val="auto"/>
          <w:sz w:val="24"/>
        </w:rPr>
        <w:t>.1</w:t>
      </w:r>
      <w:r>
        <w:rPr>
          <w:rFonts w:hint="eastAsia" w:ascii="宋体" w:hAnsi="宋体"/>
          <w:b/>
          <w:color w:val="auto"/>
          <w:sz w:val="24"/>
        </w:rPr>
        <w:t xml:space="preserve"> 评审期间，供应商法定代表人须时刻关注电子开标室并保持通讯畅通。如因通讯不畅导致供应商无法及时澄清而被认定为无效响应等后果的</w:t>
      </w:r>
      <w:r>
        <w:rPr>
          <w:rFonts w:ascii="宋体" w:hAnsi="宋体"/>
          <w:b/>
          <w:color w:val="auto"/>
          <w:sz w:val="24"/>
        </w:rPr>
        <w:t>，</w:t>
      </w:r>
      <w:r>
        <w:rPr>
          <w:rFonts w:hint="eastAsia" w:ascii="宋体" w:hAnsi="宋体"/>
          <w:b/>
          <w:color w:val="auto"/>
          <w:sz w:val="24"/>
        </w:rPr>
        <w:t>由供应商自行承担。</w:t>
      </w:r>
    </w:p>
    <w:p w14:paraId="1639E60A">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4</w:t>
      </w:r>
      <w:r>
        <w:rPr>
          <w:rFonts w:ascii="宋体" w:hAnsi="宋体"/>
          <w:color w:val="auto"/>
          <w:sz w:val="24"/>
        </w:rPr>
        <w:t>.2</w:t>
      </w:r>
      <w:r>
        <w:rPr>
          <w:rFonts w:hint="eastAsia" w:ascii="宋体" w:hAnsi="宋体"/>
          <w:color w:val="auto"/>
          <w:sz w:val="24"/>
        </w:rPr>
        <w:t>　为有助于对《响应文件》进行审查、评估和比较，</w:t>
      </w:r>
      <w:r>
        <w:rPr>
          <w:rFonts w:hint="eastAsia" w:ascii="宋体" w:hAnsi="宋体"/>
          <w:color w:val="auto"/>
          <w:sz w:val="24"/>
          <w:lang w:eastAsia="zh-CN"/>
        </w:rPr>
        <w:t>谈判</w:t>
      </w:r>
      <w:r>
        <w:rPr>
          <w:rFonts w:hint="eastAsia" w:ascii="宋体" w:hAnsi="宋体"/>
          <w:color w:val="auto"/>
          <w:sz w:val="24"/>
        </w:rPr>
        <w:t>小组有权个别的向供应商提出质疑，请供应商澄清其投标内容。</w:t>
      </w:r>
    </w:p>
    <w:p w14:paraId="65DE7CA1">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.4</w:t>
      </w:r>
      <w:r>
        <w:rPr>
          <w:rFonts w:ascii="宋体" w:hAnsi="宋体"/>
          <w:color w:val="auto"/>
          <w:sz w:val="24"/>
        </w:rPr>
        <w:t>.3</w:t>
      </w:r>
      <w:r>
        <w:rPr>
          <w:rFonts w:hint="eastAsia" w:ascii="宋体" w:hAnsi="宋体"/>
          <w:color w:val="auto"/>
          <w:sz w:val="24"/>
        </w:rPr>
        <w:t>　</w:t>
      </w:r>
      <w:r>
        <w:rPr>
          <w:rFonts w:hint="eastAsia" w:ascii="宋体" w:hAnsi="宋体"/>
          <w:color w:val="auto"/>
          <w:sz w:val="24"/>
          <w:lang w:eastAsia="zh-CN"/>
        </w:rPr>
        <w:t>谈判</w:t>
      </w:r>
      <w:r>
        <w:rPr>
          <w:rFonts w:hint="eastAsia" w:ascii="宋体" w:hAnsi="宋体"/>
          <w:color w:val="auto"/>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EE9BCC">
      <w:pPr>
        <w:autoSpaceDE w:val="0"/>
        <w:autoSpaceDN w:val="0"/>
        <w:adjustRightInd w:val="0"/>
        <w:snapToGrid w:val="0"/>
        <w:spacing w:beforeLines="50" w:line="300" w:lineRule="auto"/>
        <w:ind w:firstLine="566" w:firstLineChars="236"/>
        <w:jc w:val="left"/>
        <w:rPr>
          <w:rFonts w:ascii="宋体" w:hAnsi="宋体"/>
          <w:b/>
          <w:color w:val="auto"/>
          <w:sz w:val="24"/>
        </w:rPr>
      </w:pPr>
      <w:r>
        <w:rPr>
          <w:rFonts w:ascii="宋体" w:hAnsi="宋体"/>
          <w:color w:val="auto"/>
          <w:sz w:val="24"/>
        </w:rPr>
        <w:t>3.</w:t>
      </w:r>
      <w:r>
        <w:rPr>
          <w:rFonts w:hint="eastAsia" w:ascii="宋体" w:hAnsi="宋体"/>
          <w:color w:val="auto"/>
          <w:sz w:val="24"/>
          <w:lang w:val="en-US" w:eastAsia="zh-CN"/>
        </w:rPr>
        <w:t>4</w:t>
      </w:r>
      <w:r>
        <w:rPr>
          <w:rFonts w:ascii="宋体" w:hAnsi="宋体"/>
          <w:color w:val="auto"/>
          <w:sz w:val="24"/>
        </w:rPr>
        <w:t>.4</w:t>
      </w:r>
      <w:r>
        <w:rPr>
          <w:rFonts w:hint="eastAsia" w:ascii="宋体" w:hAnsi="宋体"/>
          <w:color w:val="auto"/>
          <w:sz w:val="24"/>
        </w:rPr>
        <w:t>　供应商的澄清、说明或者更正</w:t>
      </w:r>
      <w:r>
        <w:rPr>
          <w:rFonts w:hint="eastAsia" w:ascii="宋体" w:hAnsi="宋体"/>
          <w:b/>
          <w:color w:val="auto"/>
          <w:sz w:val="24"/>
        </w:rPr>
        <w:t>应当采用书面形式，应加</w:t>
      </w:r>
      <w:r>
        <w:rPr>
          <w:rFonts w:ascii="宋体" w:hAnsi="宋体"/>
          <w:b/>
          <w:color w:val="auto"/>
          <w:sz w:val="24"/>
        </w:rPr>
        <w:t>盖</w:t>
      </w:r>
      <w:r>
        <w:rPr>
          <w:rFonts w:hint="eastAsia" w:ascii="宋体" w:hAnsi="宋体"/>
          <w:b/>
          <w:color w:val="auto"/>
          <w:sz w:val="24"/>
        </w:rPr>
        <w:t>供应商电子签章或其法定代表人电子签名。并将澄清等内容作为附件上传至系统中。</w:t>
      </w:r>
    </w:p>
    <w:p w14:paraId="05BFECC4">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4</w:t>
      </w:r>
      <w:r>
        <w:rPr>
          <w:rFonts w:ascii="宋体" w:hAnsi="宋体"/>
          <w:color w:val="auto"/>
          <w:sz w:val="24"/>
        </w:rPr>
        <w:t>.5</w:t>
      </w:r>
      <w:r>
        <w:rPr>
          <w:rFonts w:hint="eastAsia" w:ascii="宋体" w:hAnsi="宋体"/>
          <w:color w:val="auto"/>
          <w:sz w:val="24"/>
        </w:rPr>
        <w:t>　供应商的澄清文件是《响应文件》的组成部分，并取代《响应文件》中被澄清的部分。</w:t>
      </w:r>
    </w:p>
    <w:p w14:paraId="06D9D467">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4</w:t>
      </w:r>
      <w:r>
        <w:rPr>
          <w:rFonts w:ascii="宋体" w:hAnsi="宋体"/>
          <w:color w:val="auto"/>
          <w:sz w:val="24"/>
        </w:rPr>
        <w:t>.6</w:t>
      </w:r>
      <w:r>
        <w:rPr>
          <w:rFonts w:hint="eastAsia" w:ascii="宋体" w:hAnsi="宋体"/>
          <w:color w:val="auto"/>
          <w:sz w:val="24"/>
        </w:rPr>
        <w:t>　澄清文件应按</w:t>
      </w:r>
      <w:r>
        <w:rPr>
          <w:rFonts w:hint="eastAsia" w:ascii="宋体" w:hAnsi="宋体"/>
          <w:color w:val="auto"/>
          <w:sz w:val="24"/>
          <w:lang w:eastAsia="zh-CN"/>
        </w:rPr>
        <w:t>谈判</w:t>
      </w:r>
      <w:r>
        <w:rPr>
          <w:rFonts w:hint="eastAsia" w:ascii="宋体" w:hAnsi="宋体"/>
          <w:color w:val="auto"/>
          <w:sz w:val="24"/>
        </w:rPr>
        <w:t>小组规定的时间提交。</w:t>
      </w:r>
    </w:p>
    <w:p w14:paraId="7FEC38A4">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3.</w:t>
      </w:r>
      <w:r>
        <w:rPr>
          <w:rFonts w:hint="eastAsia" w:ascii="黑体" w:hAnsi="黑体" w:eastAsia="黑体"/>
          <w:b/>
          <w:color w:val="auto"/>
          <w:sz w:val="24"/>
          <w:lang w:val="en-US" w:eastAsia="zh-CN"/>
        </w:rPr>
        <w:t>5</w:t>
      </w:r>
      <w:r>
        <w:rPr>
          <w:rFonts w:ascii="黑体" w:hAnsi="黑体" w:eastAsia="黑体"/>
          <w:b/>
          <w:color w:val="auto"/>
          <w:sz w:val="24"/>
        </w:rPr>
        <w:t xml:space="preserve"> </w:t>
      </w:r>
      <w:r>
        <w:rPr>
          <w:rFonts w:hint="eastAsia" w:ascii="黑体" w:hAnsi="黑体" w:eastAsia="黑体"/>
          <w:b/>
          <w:color w:val="auto"/>
          <w:sz w:val="24"/>
          <w:lang w:eastAsia="zh-CN"/>
        </w:rPr>
        <w:t>谈判</w:t>
      </w:r>
      <w:r>
        <w:rPr>
          <w:rFonts w:hint="eastAsia" w:ascii="黑体" w:hAnsi="黑体" w:eastAsia="黑体"/>
          <w:b/>
          <w:color w:val="auto"/>
          <w:sz w:val="24"/>
        </w:rPr>
        <w:t>规则</w:t>
      </w:r>
    </w:p>
    <w:p w14:paraId="78D409C1">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lang w:eastAsia="zh-CN"/>
        </w:rPr>
        <w:t>谈判</w:t>
      </w:r>
      <w:r>
        <w:rPr>
          <w:rFonts w:hint="eastAsia" w:ascii="宋体" w:hAnsi="宋体"/>
          <w:b/>
          <w:color w:val="auto"/>
          <w:sz w:val="24"/>
        </w:rPr>
        <w:t>在“竞争性</w:t>
      </w:r>
      <w:r>
        <w:rPr>
          <w:rFonts w:hint="eastAsia" w:ascii="宋体" w:hAnsi="宋体"/>
          <w:b/>
          <w:color w:val="auto"/>
          <w:sz w:val="24"/>
          <w:lang w:eastAsia="zh-CN"/>
        </w:rPr>
        <w:t>谈判</w:t>
      </w:r>
      <w:r>
        <w:rPr>
          <w:rFonts w:hint="eastAsia" w:ascii="宋体" w:hAnsi="宋体"/>
          <w:b/>
          <w:color w:val="auto"/>
          <w:sz w:val="24"/>
        </w:rPr>
        <w:t>公告”</w:t>
      </w:r>
      <w:r>
        <w:rPr>
          <w:rFonts w:ascii="宋体" w:hAnsi="宋体"/>
          <w:b/>
          <w:color w:val="auto"/>
          <w:sz w:val="24"/>
        </w:rPr>
        <w:t>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14:paraId="52DB3360">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hAnsi="宋体"/>
          <w:color w:val="auto"/>
          <w:sz w:val="24"/>
        </w:rPr>
        <w:t xml:space="preserve">.1 </w:t>
      </w:r>
      <w:r>
        <w:rPr>
          <w:rFonts w:hint="eastAsia" w:ascii="宋体" w:hAnsi="宋体"/>
          <w:color w:val="auto"/>
          <w:sz w:val="24"/>
        </w:rPr>
        <w:t>本次政府采购采取竞争性</w:t>
      </w:r>
      <w:r>
        <w:rPr>
          <w:rFonts w:hint="eastAsia" w:ascii="宋体" w:hAnsi="宋体"/>
          <w:color w:val="auto"/>
          <w:sz w:val="24"/>
          <w:lang w:eastAsia="zh-CN"/>
        </w:rPr>
        <w:t>谈判</w:t>
      </w:r>
      <w:r>
        <w:rPr>
          <w:rFonts w:hint="eastAsia" w:ascii="宋体" w:hAnsi="宋体"/>
          <w:color w:val="auto"/>
          <w:sz w:val="24"/>
        </w:rPr>
        <w:t>方式。</w:t>
      </w:r>
      <w:r>
        <w:rPr>
          <w:rFonts w:hint="eastAsia" w:ascii="宋体" w:hAnsi="宋体"/>
          <w:color w:val="auto"/>
          <w:sz w:val="24"/>
          <w:lang w:eastAsia="zh-CN"/>
        </w:rPr>
        <w:t>谈判</w:t>
      </w:r>
      <w:r>
        <w:rPr>
          <w:rFonts w:hint="eastAsia" w:ascii="宋体" w:hAnsi="宋体"/>
          <w:color w:val="auto"/>
          <w:sz w:val="24"/>
        </w:rPr>
        <w:t>小组将据评审情况就所报货物的技术、服务、价格等事项与有关供应商分别进行</w:t>
      </w:r>
      <w:r>
        <w:rPr>
          <w:rFonts w:hint="eastAsia" w:ascii="宋体" w:hAnsi="宋体"/>
          <w:color w:val="auto"/>
          <w:sz w:val="24"/>
          <w:lang w:eastAsia="zh-CN"/>
        </w:rPr>
        <w:t>谈判</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的任何一方不得将与</w:t>
      </w:r>
      <w:r>
        <w:rPr>
          <w:rFonts w:hint="eastAsia" w:ascii="宋体" w:hAnsi="宋体"/>
          <w:color w:val="auto"/>
          <w:sz w:val="24"/>
          <w:lang w:eastAsia="zh-CN"/>
        </w:rPr>
        <w:t>谈判</w:t>
      </w:r>
      <w:r>
        <w:rPr>
          <w:rFonts w:hint="eastAsia" w:ascii="宋体" w:hAnsi="宋体"/>
          <w:color w:val="auto"/>
          <w:sz w:val="24"/>
        </w:rPr>
        <w:t>有关的技术资料、价格和其他信息透露给其他供应商。</w:t>
      </w:r>
    </w:p>
    <w:p w14:paraId="004E3037">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2</w:t>
      </w:r>
      <w:r>
        <w:rPr>
          <w:rFonts w:hint="eastAsia" w:ascii="宋体" w:hAnsi="宋体"/>
          <w:color w:val="auto"/>
          <w:sz w:val="24"/>
          <w:lang w:eastAsia="zh-CN"/>
        </w:rPr>
        <w:t>谈判</w:t>
      </w:r>
      <w:r>
        <w:rPr>
          <w:rFonts w:hint="eastAsia" w:ascii="宋体" w:hAnsi="宋体"/>
          <w:color w:val="auto"/>
          <w:sz w:val="24"/>
        </w:rPr>
        <w:t>小组根据《</w:t>
      </w:r>
      <w:r>
        <w:rPr>
          <w:rFonts w:hint="eastAsia" w:ascii="宋体" w:hAnsi="宋体"/>
          <w:color w:val="auto"/>
          <w:sz w:val="24"/>
          <w:lang w:eastAsia="zh-CN"/>
        </w:rPr>
        <w:t>谈判</w:t>
      </w:r>
      <w:r>
        <w:rPr>
          <w:rFonts w:hint="eastAsia" w:ascii="宋体" w:hAnsi="宋体"/>
          <w:color w:val="auto"/>
          <w:sz w:val="24"/>
        </w:rPr>
        <w:t>文件》规定的程序、评定成交的标准等事项与实质性响应《</w:t>
      </w:r>
      <w:r>
        <w:rPr>
          <w:rFonts w:hint="eastAsia" w:ascii="宋体" w:hAnsi="宋体"/>
          <w:color w:val="auto"/>
          <w:sz w:val="24"/>
          <w:lang w:eastAsia="zh-CN"/>
        </w:rPr>
        <w:t>谈判</w:t>
      </w:r>
      <w:r>
        <w:rPr>
          <w:rFonts w:hint="eastAsia" w:ascii="宋体" w:hAnsi="宋体"/>
          <w:color w:val="auto"/>
          <w:sz w:val="24"/>
        </w:rPr>
        <w:t>文件》实质性要求的供应商进行</w:t>
      </w:r>
      <w:r>
        <w:rPr>
          <w:rFonts w:hint="eastAsia" w:ascii="宋体" w:hAnsi="宋体"/>
          <w:color w:val="auto"/>
          <w:sz w:val="24"/>
          <w:lang w:eastAsia="zh-CN"/>
        </w:rPr>
        <w:t>谈判</w:t>
      </w:r>
      <w:r>
        <w:rPr>
          <w:rFonts w:hint="eastAsia" w:ascii="宋体" w:hAnsi="宋体"/>
          <w:color w:val="auto"/>
          <w:sz w:val="24"/>
        </w:rPr>
        <w:t>。</w:t>
      </w:r>
    </w:p>
    <w:p w14:paraId="4459E364">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 xml:space="preserve">3 </w:t>
      </w:r>
      <w:r>
        <w:rPr>
          <w:rFonts w:hint="eastAsia" w:ascii="宋体" w:hAnsi="宋体"/>
          <w:color w:val="auto"/>
          <w:sz w:val="24"/>
          <w:lang w:eastAsia="zh-CN"/>
        </w:rPr>
        <w:t>谈判</w:t>
      </w:r>
      <w:r>
        <w:rPr>
          <w:rFonts w:hint="eastAsia" w:ascii="宋体" w:hAnsi="宋体"/>
          <w:color w:val="auto"/>
          <w:sz w:val="24"/>
        </w:rPr>
        <w:t>小组所有成员集中与单一供应商分别进行</w:t>
      </w:r>
      <w:r>
        <w:rPr>
          <w:rFonts w:hint="eastAsia" w:ascii="宋体" w:hAnsi="宋体"/>
          <w:color w:val="auto"/>
          <w:sz w:val="24"/>
          <w:lang w:eastAsia="zh-CN"/>
        </w:rPr>
        <w:t>谈判</w:t>
      </w:r>
      <w:r>
        <w:rPr>
          <w:rFonts w:hint="eastAsia" w:ascii="宋体" w:hAnsi="宋体"/>
          <w:color w:val="auto"/>
          <w:sz w:val="24"/>
        </w:rPr>
        <w:t>，并给予所有参加</w:t>
      </w:r>
      <w:r>
        <w:rPr>
          <w:rFonts w:hint="eastAsia" w:ascii="宋体" w:hAnsi="宋体"/>
          <w:color w:val="auto"/>
          <w:sz w:val="24"/>
          <w:lang w:eastAsia="zh-CN"/>
        </w:rPr>
        <w:t>谈判</w:t>
      </w:r>
      <w:r>
        <w:rPr>
          <w:rFonts w:hint="eastAsia" w:ascii="宋体" w:hAnsi="宋体"/>
          <w:color w:val="auto"/>
          <w:sz w:val="24"/>
        </w:rPr>
        <w:t>的供应商平等的</w:t>
      </w:r>
      <w:r>
        <w:rPr>
          <w:rFonts w:hint="eastAsia" w:ascii="宋体" w:hAnsi="宋体"/>
          <w:color w:val="auto"/>
          <w:sz w:val="24"/>
          <w:lang w:eastAsia="zh-CN"/>
        </w:rPr>
        <w:t>谈判</w:t>
      </w:r>
      <w:r>
        <w:rPr>
          <w:rFonts w:hint="eastAsia" w:ascii="宋体" w:hAnsi="宋体"/>
          <w:color w:val="auto"/>
          <w:sz w:val="24"/>
        </w:rPr>
        <w:t>机会。</w:t>
      </w:r>
    </w:p>
    <w:p w14:paraId="1E87AE48">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 xml:space="preserve">4 </w:t>
      </w:r>
      <w:r>
        <w:rPr>
          <w:rFonts w:hint="eastAsia" w:ascii="宋体" w:hAnsi="宋体"/>
          <w:color w:val="auto"/>
          <w:sz w:val="24"/>
        </w:rPr>
        <w:t>在</w:t>
      </w:r>
      <w:r>
        <w:rPr>
          <w:rFonts w:hint="eastAsia" w:ascii="宋体" w:hAnsi="宋体"/>
          <w:color w:val="auto"/>
          <w:sz w:val="24"/>
          <w:lang w:eastAsia="zh-CN"/>
        </w:rPr>
        <w:t>谈判</w:t>
      </w:r>
      <w:r>
        <w:rPr>
          <w:rFonts w:hint="eastAsia" w:ascii="宋体" w:hAnsi="宋体"/>
          <w:color w:val="auto"/>
          <w:sz w:val="24"/>
        </w:rPr>
        <w:t>过程中，</w:t>
      </w:r>
      <w:r>
        <w:rPr>
          <w:rFonts w:hint="eastAsia" w:ascii="宋体" w:hAnsi="宋体"/>
          <w:color w:val="auto"/>
          <w:sz w:val="24"/>
          <w:lang w:eastAsia="zh-CN"/>
        </w:rPr>
        <w:t>谈判</w:t>
      </w:r>
      <w:r>
        <w:rPr>
          <w:rFonts w:hint="eastAsia" w:ascii="宋体" w:hAnsi="宋体"/>
          <w:color w:val="auto"/>
          <w:sz w:val="24"/>
        </w:rPr>
        <w:t>小组可以根据《</w:t>
      </w:r>
      <w:r>
        <w:rPr>
          <w:rFonts w:hint="eastAsia" w:ascii="宋体" w:hAnsi="宋体"/>
          <w:color w:val="auto"/>
          <w:sz w:val="24"/>
          <w:lang w:eastAsia="zh-CN"/>
        </w:rPr>
        <w:t>谈判</w:t>
      </w:r>
      <w:r>
        <w:rPr>
          <w:rFonts w:hint="eastAsia" w:ascii="宋体" w:hAnsi="宋体"/>
          <w:color w:val="auto"/>
          <w:sz w:val="24"/>
        </w:rPr>
        <w:t>文件》和</w:t>
      </w:r>
      <w:r>
        <w:rPr>
          <w:rFonts w:hint="eastAsia" w:ascii="宋体" w:hAnsi="宋体"/>
          <w:color w:val="auto"/>
          <w:sz w:val="24"/>
          <w:lang w:eastAsia="zh-CN"/>
        </w:rPr>
        <w:t>谈判</w:t>
      </w:r>
      <w:r>
        <w:rPr>
          <w:rFonts w:hint="eastAsia" w:ascii="宋体" w:hAnsi="宋体"/>
          <w:color w:val="auto"/>
          <w:sz w:val="24"/>
        </w:rPr>
        <w:t>情况实质性变动采购需求中的技术、服务要求以及合同草案条款，《</w:t>
      </w:r>
      <w:r>
        <w:rPr>
          <w:rFonts w:hint="eastAsia" w:ascii="宋体" w:hAnsi="宋体"/>
          <w:color w:val="auto"/>
          <w:sz w:val="24"/>
          <w:lang w:eastAsia="zh-CN"/>
        </w:rPr>
        <w:t>谈判</w:t>
      </w:r>
      <w:r>
        <w:rPr>
          <w:rFonts w:hint="eastAsia" w:ascii="宋体" w:hAnsi="宋体"/>
          <w:color w:val="auto"/>
          <w:sz w:val="24"/>
        </w:rPr>
        <w:t>文件》中的其他内容将不再变动。实质性变动的内容，经采购人代表确认后，</w:t>
      </w:r>
      <w:r>
        <w:rPr>
          <w:rFonts w:hint="eastAsia" w:ascii="宋体" w:hAnsi="宋体"/>
          <w:b/>
          <w:color w:val="auto"/>
          <w:sz w:val="24"/>
          <w:lang w:eastAsia="zh-CN"/>
        </w:rPr>
        <w:t>谈判</w:t>
      </w:r>
      <w:r>
        <w:rPr>
          <w:rFonts w:hint="eastAsia" w:ascii="宋体" w:hAnsi="宋体"/>
          <w:b/>
          <w:color w:val="auto"/>
          <w:sz w:val="24"/>
        </w:rPr>
        <w:t>小组将在评审界面的对话框及时通知所有参加</w:t>
      </w:r>
      <w:r>
        <w:rPr>
          <w:rFonts w:hint="eastAsia" w:ascii="宋体" w:hAnsi="宋体"/>
          <w:b/>
          <w:color w:val="auto"/>
          <w:sz w:val="24"/>
          <w:lang w:eastAsia="zh-CN"/>
        </w:rPr>
        <w:t>谈判</w:t>
      </w:r>
      <w:r>
        <w:rPr>
          <w:rFonts w:hint="eastAsia" w:ascii="宋体" w:hAnsi="宋体"/>
          <w:b/>
          <w:color w:val="auto"/>
          <w:sz w:val="24"/>
        </w:rPr>
        <w:t>的供应商。评审期间，供应商可通过评审界面的对话框接受询问。</w:t>
      </w:r>
      <w:r>
        <w:rPr>
          <w:rFonts w:hint="eastAsia" w:ascii="宋体" w:hAnsi="宋体"/>
          <w:b/>
          <w:color w:val="auto"/>
          <w:sz w:val="24"/>
          <w:lang w:eastAsia="zh-CN"/>
        </w:rPr>
        <w:t>谈判</w:t>
      </w:r>
      <w:r>
        <w:rPr>
          <w:rFonts w:hint="eastAsia" w:ascii="宋体" w:hAnsi="宋体"/>
          <w:b/>
          <w:color w:val="auto"/>
          <w:sz w:val="24"/>
        </w:rPr>
        <w:t>结束后，未实质性响应《</w:t>
      </w:r>
      <w:r>
        <w:rPr>
          <w:rFonts w:hint="eastAsia" w:ascii="宋体" w:hAnsi="宋体"/>
          <w:b/>
          <w:color w:val="auto"/>
          <w:sz w:val="24"/>
          <w:lang w:eastAsia="zh-CN"/>
        </w:rPr>
        <w:t>谈判</w:t>
      </w:r>
      <w:r>
        <w:rPr>
          <w:rFonts w:hint="eastAsia" w:ascii="宋体" w:hAnsi="宋体"/>
          <w:b/>
          <w:color w:val="auto"/>
          <w:sz w:val="24"/>
        </w:rPr>
        <w:t>文件》的《响应文件》按无效处理，</w:t>
      </w:r>
      <w:r>
        <w:rPr>
          <w:rFonts w:hint="eastAsia" w:ascii="宋体" w:hAnsi="宋体"/>
          <w:b/>
          <w:color w:val="auto"/>
          <w:sz w:val="24"/>
          <w:lang w:eastAsia="zh-CN"/>
        </w:rPr>
        <w:t>谈判</w:t>
      </w:r>
      <w:r>
        <w:rPr>
          <w:rFonts w:hint="eastAsia" w:ascii="宋体" w:hAnsi="宋体"/>
          <w:b/>
          <w:color w:val="auto"/>
          <w:sz w:val="24"/>
        </w:rPr>
        <w:t>小组应当通过评审界面的对话框告知有关供应商。</w:t>
      </w:r>
    </w:p>
    <w:p w14:paraId="12B3A9D9">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5</w:t>
      </w:r>
      <w:r>
        <w:rPr>
          <w:rFonts w:hint="eastAsia" w:ascii="宋体" w:hAnsi="宋体"/>
          <w:color w:val="auto"/>
          <w:sz w:val="24"/>
        </w:rPr>
        <w:t>对《</w:t>
      </w:r>
      <w:r>
        <w:rPr>
          <w:rFonts w:hint="eastAsia" w:ascii="宋体" w:hAnsi="宋体"/>
          <w:color w:val="auto"/>
          <w:sz w:val="24"/>
          <w:lang w:eastAsia="zh-CN"/>
        </w:rPr>
        <w:t>谈判</w:t>
      </w:r>
      <w:r>
        <w:rPr>
          <w:rFonts w:hint="eastAsia" w:ascii="宋体" w:hAnsi="宋体"/>
          <w:color w:val="auto"/>
          <w:sz w:val="24"/>
        </w:rPr>
        <w:t>文件》作出的实质性变动是《</w:t>
      </w:r>
      <w:r>
        <w:rPr>
          <w:rFonts w:hint="eastAsia" w:ascii="宋体" w:hAnsi="宋体"/>
          <w:color w:val="auto"/>
          <w:sz w:val="24"/>
          <w:lang w:eastAsia="zh-CN"/>
        </w:rPr>
        <w:t>谈判</w:t>
      </w:r>
      <w:r>
        <w:rPr>
          <w:rFonts w:hint="eastAsia" w:ascii="宋体" w:hAnsi="宋体"/>
          <w:color w:val="auto"/>
          <w:sz w:val="24"/>
        </w:rPr>
        <w:t>文件》的有效组成部分。</w:t>
      </w:r>
    </w:p>
    <w:p w14:paraId="3759372A">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 xml:space="preserve">6 </w:t>
      </w:r>
      <w:r>
        <w:rPr>
          <w:rFonts w:hint="eastAsia" w:ascii="宋体" w:hAnsi="宋体"/>
          <w:color w:val="auto"/>
          <w:sz w:val="24"/>
        </w:rPr>
        <w:t>供应商应当按照《</w:t>
      </w:r>
      <w:r>
        <w:rPr>
          <w:rFonts w:hint="eastAsia" w:ascii="宋体" w:hAnsi="宋体"/>
          <w:color w:val="auto"/>
          <w:sz w:val="24"/>
          <w:lang w:eastAsia="zh-CN"/>
        </w:rPr>
        <w:t>谈判</w:t>
      </w:r>
      <w:r>
        <w:rPr>
          <w:rFonts w:hint="eastAsia" w:ascii="宋体" w:hAnsi="宋体"/>
          <w:color w:val="auto"/>
          <w:sz w:val="24"/>
        </w:rPr>
        <w:t>文件》的变动情况和</w:t>
      </w:r>
      <w:r>
        <w:rPr>
          <w:rFonts w:hint="eastAsia" w:ascii="宋体" w:hAnsi="宋体"/>
          <w:color w:val="auto"/>
          <w:sz w:val="24"/>
          <w:lang w:eastAsia="zh-CN"/>
        </w:rPr>
        <w:t>谈判</w:t>
      </w:r>
      <w:r>
        <w:rPr>
          <w:rFonts w:hint="eastAsia" w:ascii="宋体" w:hAnsi="宋体"/>
          <w:color w:val="auto"/>
          <w:sz w:val="24"/>
        </w:rPr>
        <w:t>小组的要求重新提交《响应文件》或修订《响应文件》相应条款，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供应商或其法定代表人的电子签名。</w:t>
      </w:r>
    </w:p>
    <w:p w14:paraId="0A23544D">
      <w:pPr>
        <w:autoSpaceDE w:val="0"/>
        <w:autoSpaceDN w:val="0"/>
        <w:adjustRightInd w:val="0"/>
        <w:snapToGrid w:val="0"/>
        <w:spacing w:beforeLines="50" w:line="300" w:lineRule="auto"/>
        <w:ind w:firstLine="566" w:firstLineChars="236"/>
        <w:jc w:val="left"/>
        <w:rPr>
          <w:rFonts w:hint="eastAsia" w:ascii="宋体" w:eastAsia="宋体"/>
          <w:color w:val="auto"/>
          <w:sz w:val="24"/>
          <w:lang w:eastAsia="zh-CN"/>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 xml:space="preserve">7 </w:t>
      </w:r>
      <w:r>
        <w:rPr>
          <w:rFonts w:hint="eastAsia" w:ascii="宋体" w:hAnsi="宋体"/>
          <w:color w:val="auto"/>
          <w:sz w:val="24"/>
        </w:rPr>
        <w:t>价格</w:t>
      </w:r>
      <w:r>
        <w:rPr>
          <w:rFonts w:hint="eastAsia" w:ascii="宋体" w:hAnsi="宋体"/>
          <w:color w:val="auto"/>
          <w:sz w:val="24"/>
          <w:lang w:eastAsia="zh-CN"/>
        </w:rPr>
        <w:t>谈判</w:t>
      </w:r>
    </w:p>
    <w:p w14:paraId="41082684">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 xml:space="preserve">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14:paraId="0A9E4638">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 xml:space="preserve">7.2 </w:t>
      </w:r>
      <w:r>
        <w:rPr>
          <w:rFonts w:hint="eastAsia" w:ascii="宋体" w:hAnsi="宋体"/>
          <w:color w:val="auto"/>
          <w:sz w:val="24"/>
          <w:lang w:eastAsia="zh-CN"/>
        </w:rPr>
        <w:t>谈判</w:t>
      </w:r>
      <w:r>
        <w:rPr>
          <w:rFonts w:hint="eastAsia" w:ascii="宋体" w:hAnsi="宋体"/>
          <w:color w:val="auto"/>
          <w:sz w:val="24"/>
        </w:rPr>
        <w:t>小组应当要求所有继续参加</w:t>
      </w:r>
      <w:r>
        <w:rPr>
          <w:rFonts w:hint="eastAsia" w:ascii="宋体" w:hAnsi="宋体"/>
          <w:color w:val="auto"/>
          <w:sz w:val="24"/>
          <w:lang w:eastAsia="zh-CN"/>
        </w:rPr>
        <w:t>谈判</w:t>
      </w:r>
      <w:r>
        <w:rPr>
          <w:rFonts w:hint="eastAsia" w:ascii="宋体" w:hAnsi="宋体"/>
          <w:color w:val="auto"/>
          <w:sz w:val="24"/>
        </w:rPr>
        <w:t>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家。最后报价是《响应文件》的有效组成部分。</w:t>
      </w:r>
    </w:p>
    <w:p w14:paraId="55658602">
      <w:pPr>
        <w:autoSpaceDE w:val="0"/>
        <w:autoSpaceDN w:val="0"/>
        <w:adjustRightInd w:val="0"/>
        <w:snapToGrid w:val="0"/>
        <w:spacing w:beforeLines="50" w:line="300" w:lineRule="auto"/>
        <w:ind w:firstLine="566" w:firstLineChars="236"/>
        <w:jc w:val="left"/>
        <w:rPr>
          <w:rFonts w:ascii="宋体" w:hAnsi="宋体"/>
          <w:color w:val="auto"/>
          <w:sz w:val="24"/>
        </w:rPr>
      </w:pPr>
      <w:r>
        <w:rPr>
          <w:rFonts w:ascii="宋体" w:hAnsi="宋体"/>
          <w:color w:val="auto"/>
          <w:sz w:val="24"/>
        </w:rPr>
        <w:t>3.</w:t>
      </w:r>
      <w:r>
        <w:rPr>
          <w:rFonts w:hint="eastAsia" w:ascii="宋体" w:hAnsi="宋体"/>
          <w:color w:val="auto"/>
          <w:sz w:val="24"/>
          <w:lang w:val="en-US" w:eastAsia="zh-CN"/>
        </w:rPr>
        <w:t>5</w:t>
      </w:r>
      <w:r>
        <w:rPr>
          <w:rFonts w:ascii="宋体"/>
          <w:color w:val="auto"/>
          <w:sz w:val="24"/>
        </w:rPr>
        <w:t>.</w:t>
      </w:r>
      <w:r>
        <w:rPr>
          <w:rFonts w:ascii="宋体" w:hAnsi="宋体"/>
          <w:color w:val="auto"/>
          <w:sz w:val="24"/>
        </w:rPr>
        <w:t>8</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文件》的实质性变动影响到供应商因此无法继续参加</w:t>
      </w:r>
      <w:r>
        <w:rPr>
          <w:rFonts w:hint="eastAsia" w:ascii="宋体" w:hAnsi="宋体"/>
          <w:color w:val="auto"/>
          <w:sz w:val="24"/>
          <w:lang w:eastAsia="zh-CN"/>
        </w:rPr>
        <w:t>谈判</w:t>
      </w:r>
      <w:r>
        <w:rPr>
          <w:rFonts w:hint="eastAsia" w:ascii="宋体" w:hAnsi="宋体"/>
          <w:color w:val="auto"/>
          <w:sz w:val="24"/>
        </w:rPr>
        <w:t>的，供应商可以在提交最后报价之前退出</w:t>
      </w:r>
      <w:r>
        <w:rPr>
          <w:rFonts w:hint="eastAsia" w:ascii="宋体" w:hAnsi="宋体"/>
          <w:color w:val="auto"/>
          <w:sz w:val="24"/>
          <w:lang w:eastAsia="zh-CN"/>
        </w:rPr>
        <w:t>谈判</w:t>
      </w:r>
      <w:r>
        <w:rPr>
          <w:rFonts w:hint="eastAsia" w:ascii="宋体" w:hAnsi="宋体"/>
          <w:color w:val="auto"/>
          <w:sz w:val="24"/>
        </w:rPr>
        <w:t>。其《响应文件》按无效处理的供应商，所提交的最后报价也按无效处理。</w:t>
      </w:r>
    </w:p>
    <w:p w14:paraId="3253905E">
      <w:pPr>
        <w:autoSpaceDE w:val="0"/>
        <w:autoSpaceDN w:val="0"/>
        <w:adjustRightInd w:val="0"/>
        <w:snapToGrid w:val="0"/>
        <w:spacing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lang w:val="en-US" w:eastAsia="zh-CN"/>
        </w:rPr>
        <w:t>5</w:t>
      </w:r>
      <w:r>
        <w:rPr>
          <w:rFonts w:ascii="宋体" w:hAnsi="宋体"/>
          <w:b/>
          <w:color w:val="auto"/>
          <w:sz w:val="24"/>
          <w:highlight w:val="none"/>
        </w:rPr>
        <w:t>.9</w:t>
      </w:r>
      <w:r>
        <w:rPr>
          <w:rFonts w:hint="eastAsia" w:ascii="宋体" w:hAnsi="宋体"/>
          <w:b/>
          <w:color w:val="auto"/>
          <w:sz w:val="24"/>
          <w:highlight w:val="none"/>
        </w:rPr>
        <w:t xml:space="preserve"> 供应商提交最后报价应在系统中填列分项报价，分项报价自动汇总价。</w:t>
      </w:r>
    </w:p>
    <w:p w14:paraId="5DAEB4A0">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lang w:val="en-US" w:eastAsia="zh-CN"/>
        </w:rPr>
        <w:t>5</w:t>
      </w:r>
      <w:r>
        <w:rPr>
          <w:rFonts w:ascii="宋体" w:hAnsi="宋体"/>
          <w:b/>
          <w:color w:val="auto"/>
          <w:sz w:val="24"/>
        </w:rPr>
        <w:t xml:space="preserve">.10 </w:t>
      </w:r>
      <w:r>
        <w:rPr>
          <w:rFonts w:hint="eastAsia"/>
          <w:b/>
          <w:color w:val="auto"/>
          <w:sz w:val="24"/>
          <w:szCs w:val="24"/>
        </w:rPr>
        <w:t>本项目在开标后只进行一轮报价，即最后报价。网</w:t>
      </w:r>
      <w:r>
        <w:rPr>
          <w:b/>
          <w:color w:val="auto"/>
          <w:sz w:val="24"/>
          <w:szCs w:val="24"/>
        </w:rPr>
        <w:t>上交易系统中</w:t>
      </w:r>
      <w:r>
        <w:rPr>
          <w:rFonts w:hint="eastAsia"/>
          <w:b/>
          <w:color w:val="auto"/>
          <w:sz w:val="24"/>
          <w:szCs w:val="24"/>
        </w:rPr>
        <w:t>管理员发起最后报价后，</w:t>
      </w:r>
      <w:r>
        <w:rPr>
          <w:rFonts w:hint="eastAsia" w:ascii="宋体" w:hAnsi="宋体"/>
          <w:b/>
          <w:color w:val="auto"/>
          <w:sz w:val="24"/>
        </w:rPr>
        <w:t>如供应商未在指定时限内提交最后报价，视为该供应商根据</w:t>
      </w:r>
      <w:r>
        <w:rPr>
          <w:rFonts w:hint="eastAsia" w:ascii="宋体" w:hAnsi="宋体"/>
          <w:b/>
          <w:color w:val="auto"/>
          <w:sz w:val="24"/>
          <w:lang w:eastAsia="zh-CN"/>
        </w:rPr>
        <w:t>谈判</w:t>
      </w:r>
      <w:r>
        <w:rPr>
          <w:rFonts w:hint="eastAsia" w:ascii="宋体" w:hAnsi="宋体"/>
          <w:b/>
          <w:color w:val="auto"/>
          <w:sz w:val="24"/>
        </w:rPr>
        <w:t>情况退出</w:t>
      </w:r>
      <w:r>
        <w:rPr>
          <w:rFonts w:hint="eastAsia" w:ascii="宋体" w:hAnsi="宋体"/>
          <w:b/>
          <w:color w:val="auto"/>
          <w:sz w:val="24"/>
          <w:lang w:eastAsia="zh-CN"/>
        </w:rPr>
        <w:t>谈判</w:t>
      </w:r>
      <w:r>
        <w:rPr>
          <w:rFonts w:hint="eastAsia" w:ascii="宋体" w:hAnsi="宋体"/>
          <w:b/>
          <w:color w:val="auto"/>
          <w:sz w:val="24"/>
        </w:rPr>
        <w:t>。</w:t>
      </w:r>
    </w:p>
    <w:p w14:paraId="7428F734">
      <w:pPr>
        <w:autoSpaceDE w:val="0"/>
        <w:autoSpaceDN w:val="0"/>
        <w:adjustRightInd w:val="0"/>
        <w:snapToGrid w:val="0"/>
        <w:spacing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lang w:val="en-US" w:eastAsia="zh-CN"/>
        </w:rPr>
        <w:t>5</w:t>
      </w:r>
      <w:r>
        <w:rPr>
          <w:rFonts w:ascii="宋体" w:hAnsi="宋体"/>
          <w:b/>
          <w:color w:val="auto"/>
          <w:sz w:val="24"/>
        </w:rPr>
        <w:t xml:space="preserve">.11 </w:t>
      </w:r>
      <w:r>
        <w:rPr>
          <w:rFonts w:hint="eastAsia" w:ascii="宋体" w:hAnsi="宋体"/>
          <w:b/>
          <w:color w:val="auto"/>
          <w:sz w:val="24"/>
        </w:rPr>
        <w:t>供应商在网上报价过程中，如遇到网上投标系统的操作问题，可通过网上预留的咨询电话进行咨询。供应商因未按照要求进行操作、供应商办理的数字证书失效等其他自身原因导致响应文件错误或无效的，</w:t>
      </w:r>
      <w:r>
        <w:rPr>
          <w:rFonts w:hint="eastAsia" w:ascii="宋体" w:hAnsi="宋体"/>
          <w:b/>
          <w:color w:val="auto"/>
          <w:sz w:val="24"/>
          <w:lang w:eastAsia="zh-CN"/>
        </w:rPr>
        <w:t>谈判</w:t>
      </w:r>
      <w:r>
        <w:rPr>
          <w:rFonts w:hint="eastAsia" w:ascii="宋体" w:hAnsi="宋体"/>
          <w:b/>
          <w:color w:val="auto"/>
          <w:sz w:val="24"/>
        </w:rPr>
        <w:t>小组将认定其为无效投</w:t>
      </w:r>
      <w:r>
        <w:rPr>
          <w:rFonts w:ascii="宋体" w:hAnsi="宋体"/>
          <w:b/>
          <w:color w:val="auto"/>
          <w:sz w:val="24"/>
        </w:rPr>
        <w:t>标</w:t>
      </w:r>
      <w:r>
        <w:rPr>
          <w:rFonts w:hint="eastAsia" w:ascii="宋体" w:hAnsi="宋体"/>
          <w:b/>
          <w:color w:val="auto"/>
          <w:sz w:val="24"/>
        </w:rPr>
        <w:t>。</w:t>
      </w:r>
    </w:p>
    <w:p w14:paraId="484D1EEE">
      <w:pPr>
        <w:autoSpaceDE w:val="0"/>
        <w:autoSpaceDN w:val="0"/>
        <w:adjustRightInd w:val="0"/>
        <w:snapToGrid w:val="0"/>
        <w:spacing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color w:val="auto"/>
          <w:sz w:val="24"/>
        </w:rPr>
        <w:t>：</w:t>
      </w:r>
    </w:p>
    <w:p w14:paraId="5736F1D8">
      <w:pPr>
        <w:autoSpaceDE w:val="0"/>
        <w:autoSpaceDN w:val="0"/>
        <w:adjustRightInd w:val="0"/>
        <w:snapToGrid w:val="0"/>
        <w:spacing w:beforeLines="50" w:line="300" w:lineRule="auto"/>
        <w:ind w:firstLine="566" w:firstLineChars="236"/>
        <w:jc w:val="left"/>
        <w:rPr>
          <w:rFonts w:hint="eastAsia" w:ascii="宋体"/>
          <w:color w:val="auto"/>
          <w:sz w:val="24"/>
        </w:rPr>
      </w:pPr>
      <w:r>
        <w:rPr>
          <w:rFonts w:ascii="宋体"/>
          <w:color w:val="auto"/>
          <w:sz w:val="24"/>
        </w:rPr>
        <w:t xml:space="preserve">3.6.1 </w:t>
      </w:r>
      <w:r>
        <w:rPr>
          <w:rFonts w:hint="eastAsia" w:ascii="宋体"/>
          <w:color w:val="auto"/>
          <w:sz w:val="24"/>
        </w:rPr>
        <w:t>谈判小组对排名第一的、报价最低的、投标或</w:t>
      </w:r>
      <w:r>
        <w:rPr>
          <w:rFonts w:hint="eastAsia" w:ascii="宋体"/>
          <w:color w:val="auto"/>
          <w:sz w:val="24"/>
          <w:lang w:val="en-US" w:eastAsia="zh-CN"/>
        </w:rPr>
        <w:t>响应</w:t>
      </w:r>
      <w:r>
        <w:rPr>
          <w:rFonts w:hint="eastAsia" w:ascii="宋体"/>
          <w:color w:val="auto"/>
          <w:sz w:val="24"/>
        </w:rPr>
        <w:t>文件被认定为无效的情</w:t>
      </w:r>
    </w:p>
    <w:p w14:paraId="3DC4A6ED">
      <w:pPr>
        <w:autoSpaceDE w:val="0"/>
        <w:autoSpaceDN w:val="0"/>
        <w:adjustRightInd w:val="0"/>
        <w:snapToGrid w:val="0"/>
        <w:spacing w:beforeLines="50" w:line="300" w:lineRule="auto"/>
        <w:jc w:val="left"/>
        <w:rPr>
          <w:rFonts w:ascii="宋体"/>
          <w:color w:val="auto"/>
          <w:sz w:val="24"/>
        </w:rPr>
      </w:pPr>
      <w:r>
        <w:rPr>
          <w:rFonts w:hint="eastAsia" w:ascii="宋体"/>
          <w:color w:val="auto"/>
          <w:sz w:val="24"/>
        </w:rPr>
        <w:t>形进行按谈判文件实质性要求重点复核。</w:t>
      </w:r>
    </w:p>
    <w:p w14:paraId="4C076ADB">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评审结果</w:t>
      </w:r>
    </w:p>
    <w:p w14:paraId="6EC17F31">
      <w:pPr>
        <w:autoSpaceDE w:val="0"/>
        <w:autoSpaceDN w:val="0"/>
        <w:adjustRightInd w:val="0"/>
        <w:snapToGrid w:val="0"/>
        <w:spacing w:before="156" w:beforeLines="50" w:line="300" w:lineRule="auto"/>
        <w:ind w:firstLine="616" w:firstLineChars="257"/>
        <w:jc w:val="left"/>
        <w:rPr>
          <w:rFonts w:ascii="宋体" w:hAnsi="宋体"/>
          <w:color w:val="auto"/>
          <w:sz w:val="24"/>
        </w:rPr>
      </w:pPr>
      <w:r>
        <w:rPr>
          <w:rFonts w:ascii="宋体" w:hAnsi="宋体"/>
          <w:color w:val="auto"/>
          <w:sz w:val="24"/>
        </w:rPr>
        <w:t>3.</w:t>
      </w:r>
      <w:r>
        <w:rPr>
          <w:rFonts w:hint="eastAsia" w:ascii="宋体" w:hAnsi="宋体"/>
          <w:color w:val="auto"/>
          <w:sz w:val="24"/>
        </w:rPr>
        <w:t xml:space="preserve">7 </w:t>
      </w:r>
      <w:r>
        <w:rPr>
          <w:rFonts w:ascii="宋体" w:hAnsi="宋体"/>
          <w:color w:val="auto"/>
          <w:sz w:val="24"/>
        </w:rPr>
        <w:t>.1</w:t>
      </w:r>
      <w:r>
        <w:rPr>
          <w:rFonts w:hint="eastAsia" w:ascii="宋体" w:hAnsi="宋体"/>
          <w:color w:val="auto"/>
          <w:sz w:val="24"/>
        </w:rPr>
        <w:t xml:space="preserve"> 谈判小组从质量和服务均能满足谈判文件实质性响应要求的投标人中，按照报价由低到高的顺序提出</w:t>
      </w:r>
      <w:r>
        <w:rPr>
          <w:rFonts w:ascii="宋体" w:hAnsi="宋体"/>
          <w:color w:val="auto"/>
          <w:sz w:val="24"/>
        </w:rPr>
        <w:t>3</w:t>
      </w:r>
      <w:r>
        <w:rPr>
          <w:rFonts w:hint="eastAsia" w:ascii="宋体" w:hAnsi="宋体"/>
          <w:color w:val="auto"/>
          <w:sz w:val="24"/>
        </w:rPr>
        <w:t>名以上成交候选人，并编写书面评审报告。</w:t>
      </w:r>
    </w:p>
    <w:p w14:paraId="2D80D8E3">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确定成交供应商：按第三章“投标人须知前附表”</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14:paraId="778F0EE0">
      <w:pPr>
        <w:autoSpaceDE w:val="0"/>
        <w:autoSpaceDN w:val="0"/>
        <w:adjustRightInd w:val="0"/>
        <w:snapToGrid w:val="0"/>
        <w:spacing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lang w:eastAsia="zh-CN"/>
        </w:rPr>
        <w:t>谈判</w:t>
      </w:r>
      <w:r>
        <w:rPr>
          <w:rFonts w:hint="eastAsia" w:ascii="黑体" w:hAnsi="黑体" w:eastAsia="黑体"/>
          <w:b/>
          <w:color w:val="auto"/>
          <w:sz w:val="24"/>
        </w:rPr>
        <w:t>终止</w:t>
      </w:r>
    </w:p>
    <w:p w14:paraId="321893C3">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w:t>
      </w:r>
      <w:r>
        <w:rPr>
          <w:rFonts w:hint="eastAsia" w:ascii="宋体" w:hAnsi="宋体"/>
          <w:color w:val="auto"/>
          <w:sz w:val="24"/>
          <w:lang w:eastAsia="zh-CN"/>
        </w:rPr>
        <w:t>谈判</w:t>
      </w:r>
      <w:r>
        <w:rPr>
          <w:rFonts w:hint="eastAsia" w:ascii="宋体" w:hAnsi="宋体"/>
          <w:color w:val="auto"/>
          <w:sz w:val="24"/>
        </w:rPr>
        <w:t>活动：</w:t>
      </w:r>
    </w:p>
    <w:p w14:paraId="4B4EA906">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w:t>
      </w:r>
      <w:r>
        <w:rPr>
          <w:rFonts w:hint="eastAsia" w:ascii="宋体" w:hAnsi="宋体"/>
          <w:color w:val="auto"/>
          <w:sz w:val="24"/>
          <w:lang w:eastAsia="zh-CN"/>
        </w:rPr>
        <w:t>谈判</w:t>
      </w:r>
      <w:r>
        <w:rPr>
          <w:rFonts w:hint="eastAsia" w:ascii="宋体" w:hAnsi="宋体"/>
          <w:color w:val="auto"/>
          <w:sz w:val="24"/>
        </w:rPr>
        <w:t>采购方式适用情形的；</w:t>
      </w:r>
    </w:p>
    <w:p w14:paraId="33B5F711">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14:paraId="7F20F1AB">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）除《政府采购竞争性</w:t>
      </w:r>
      <w:r>
        <w:rPr>
          <w:rFonts w:hint="eastAsia" w:ascii="宋体" w:hAnsi="宋体"/>
          <w:color w:val="auto"/>
          <w:sz w:val="24"/>
          <w:lang w:eastAsia="zh-CN"/>
        </w:rPr>
        <w:t>谈判</w:t>
      </w:r>
      <w:r>
        <w:rPr>
          <w:rFonts w:hint="eastAsia" w:ascii="宋体" w:hAnsi="宋体"/>
          <w:color w:val="auto"/>
          <w:sz w:val="24"/>
        </w:rPr>
        <w:t>采购方式管理暂行办法》第二十一条第三款规定的情形外，在采购过程中符合竞争要求的供应商或者报价未超过预算金额的供应商不足</w:t>
      </w:r>
      <w:r>
        <w:rPr>
          <w:rFonts w:ascii="宋体" w:hAnsi="宋体"/>
          <w:color w:val="auto"/>
          <w:sz w:val="24"/>
        </w:rPr>
        <w:t>3</w:t>
      </w:r>
      <w:r>
        <w:rPr>
          <w:rFonts w:hint="eastAsia" w:ascii="宋体" w:hAnsi="宋体"/>
          <w:color w:val="auto"/>
          <w:sz w:val="24"/>
        </w:rPr>
        <w:t>家的。</w:t>
      </w:r>
    </w:p>
    <w:p w14:paraId="230076A3">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p>
    <w:p w14:paraId="12C19032">
      <w:pPr>
        <w:autoSpaceDE w:val="0"/>
        <w:autoSpaceDN w:val="0"/>
        <w:adjustRightInd w:val="0"/>
        <w:snapToGrid w:val="0"/>
        <w:spacing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lang w:eastAsia="zh-CN"/>
        </w:rPr>
        <w:t>谈判</w:t>
      </w:r>
      <w:r>
        <w:rPr>
          <w:rFonts w:hint="eastAsia" w:ascii="宋体" w:hAnsi="宋体"/>
          <w:color w:val="auto"/>
          <w:sz w:val="24"/>
        </w:rPr>
        <w:t>小组要在采购项目（标段</w:t>
      </w:r>
      <w:r>
        <w:rPr>
          <w:rFonts w:hint="eastAsia" w:ascii="宋体" w:hAnsi="宋体" w:cs="楷体_GB2312"/>
          <w:color w:val="auto"/>
          <w:sz w:val="24"/>
          <w:lang w:val="zh-CN"/>
        </w:rPr>
        <w:t>&lt;包&gt;</w:t>
      </w: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失败时，出具《</w:t>
      </w:r>
      <w:r>
        <w:rPr>
          <w:rFonts w:hint="eastAsia" w:ascii="宋体" w:hAnsi="宋体"/>
          <w:color w:val="auto"/>
          <w:sz w:val="24"/>
          <w:lang w:eastAsia="zh-CN"/>
        </w:rPr>
        <w:t>谈判</w:t>
      </w:r>
      <w:r>
        <w:rPr>
          <w:rFonts w:hint="eastAsia" w:ascii="宋体" w:hAnsi="宋体"/>
          <w:color w:val="auto"/>
          <w:sz w:val="24"/>
        </w:rPr>
        <w:t>文件》是否存在不合理条款的论证意见，要协助采购人、采购代理机构、财政部门答复质疑或处理投诉事项。　</w:t>
      </w:r>
    </w:p>
    <w:p w14:paraId="09D199A3">
      <w:pPr>
        <w:autoSpaceDE w:val="0"/>
        <w:autoSpaceDN w:val="0"/>
        <w:adjustRightInd w:val="0"/>
        <w:snapToGrid w:val="0"/>
        <w:spacing w:beforeLines="50" w:line="300" w:lineRule="auto"/>
        <w:ind w:firstLine="566" w:firstLineChars="236"/>
        <w:jc w:val="left"/>
        <w:rPr>
          <w:rFonts w:ascii="宋体"/>
          <w:color w:val="auto"/>
          <w:sz w:val="24"/>
        </w:rPr>
      </w:pPr>
    </w:p>
    <w:p w14:paraId="5CD707F9">
      <w:pPr>
        <w:widowControl w:val="0"/>
        <w:adjustRightInd w:val="0"/>
        <w:snapToGrid w:val="0"/>
        <w:spacing w:before="156" w:beforeLines="50" w:line="300" w:lineRule="auto"/>
        <w:ind w:left="23" w:firstLine="556"/>
        <w:jc w:val="left"/>
        <w:outlineLvl w:val="1"/>
        <w:rPr>
          <w:rFonts w:cs="楷体_GB2312" w:asciiTheme="minorEastAsia" w:hAnsiTheme="minorEastAsia" w:eastAsiaTheme="minorEastAsia"/>
          <w:b/>
          <w:bCs/>
          <w:color w:val="auto"/>
          <w:sz w:val="28"/>
          <w:szCs w:val="28"/>
          <w:lang w:val="zh-CN"/>
        </w:rPr>
      </w:pPr>
      <w:bookmarkStart w:id="34" w:name="_Toc122071123"/>
      <w:bookmarkStart w:id="35" w:name="_Toc20705"/>
      <w:r>
        <w:rPr>
          <w:rFonts w:cs="楷体_GB2312" w:asciiTheme="minorEastAsia" w:hAnsiTheme="minorEastAsia" w:eastAsiaTheme="minorEastAsia"/>
          <w:b/>
          <w:bCs/>
          <w:color w:val="auto"/>
          <w:sz w:val="28"/>
          <w:szCs w:val="28"/>
          <w:lang w:val="zh-CN"/>
        </w:rPr>
        <w:t xml:space="preserve">4. </w:t>
      </w:r>
      <w:r>
        <w:rPr>
          <w:rFonts w:hint="eastAsia" w:cs="楷体_GB2312" w:asciiTheme="minorEastAsia" w:hAnsiTheme="minorEastAsia" w:eastAsiaTheme="minorEastAsia"/>
          <w:b/>
          <w:bCs/>
          <w:color w:val="auto"/>
          <w:sz w:val="28"/>
          <w:szCs w:val="28"/>
          <w:lang w:val="zh-CN"/>
        </w:rPr>
        <w:t>政府采购促进中小企业发展扶持政策（通用）</w:t>
      </w:r>
      <w:bookmarkEnd w:id="34"/>
      <w:bookmarkEnd w:id="35"/>
    </w:p>
    <w:p w14:paraId="21F04C54">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4.1</w:t>
      </w:r>
      <w:r>
        <w:rPr>
          <w:rFonts w:asciiTheme="minorEastAsia" w:hAnsiTheme="minorEastAsia" w:eastAsiaTheme="minorEastAsia"/>
          <w:color w:val="auto"/>
          <w:sz w:val="24"/>
        </w:rPr>
        <w:t>在政府采购活动中，投标人提供的货物、工程或者服务符合下列情形的， 享受</w:t>
      </w:r>
      <w:r>
        <w:rPr>
          <w:rFonts w:hint="eastAsia" w:asciiTheme="minorEastAsia" w:hAnsiTheme="minorEastAsia" w:eastAsiaTheme="minorEastAsia"/>
          <w:color w:val="auto"/>
          <w:sz w:val="24"/>
        </w:rPr>
        <w:t>《政府采购促进中小企业发展管理办法》</w:t>
      </w:r>
      <w:r>
        <w:rPr>
          <w:rFonts w:asciiTheme="minorEastAsia" w:hAnsiTheme="minorEastAsia" w:eastAsiaTheme="minorEastAsia"/>
          <w:color w:val="auto"/>
          <w:sz w:val="24"/>
        </w:rPr>
        <w:t>规定的中小企业扶持政策：</w:t>
      </w:r>
    </w:p>
    <w:p w14:paraId="3891B806">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（一）在货物采购项目中，货物由中小企业制造，即货物由中小企业生产且使用该中小企业商号或者注册商标；</w:t>
      </w:r>
    </w:p>
    <w:p w14:paraId="27707FC8">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（二）在工程采购项目中，工程由中小企业承建，即工程施工单位为中小企业；</w:t>
      </w:r>
    </w:p>
    <w:p w14:paraId="6CE1091A">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（三）在服务采购项目中，服务由中小企业承接，即提供服务的人员为中小企业依照《中华人民共和国劳动合同法》订立劳动合同的从业人员</w:t>
      </w:r>
      <w:r>
        <w:rPr>
          <w:rFonts w:hint="eastAsia" w:asciiTheme="minorEastAsia" w:hAnsiTheme="minorEastAsia" w:eastAsiaTheme="minorEastAsia"/>
          <w:color w:val="auto"/>
          <w:sz w:val="24"/>
        </w:rPr>
        <w:t>。</w:t>
      </w:r>
    </w:p>
    <w:p w14:paraId="711271AA">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asciiTheme="minorEastAsia" w:hAnsiTheme="minorEastAsia" w:eastAsiaTheme="minorEastAsia"/>
          <w:color w:val="auto"/>
          <w:sz w:val="24"/>
        </w:rPr>
        <w:t>在货物采购项目中，投标人提供的货物既有中小企业制造货物，也有大型企业制造货物的，不享受中小企业扶持政策。</w:t>
      </w:r>
    </w:p>
    <w:p w14:paraId="5614D5A9">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以联合体形式参加政府采购活动，联合体各方均为中小企业的，联合体视同中小企业。其中，联合体各方均为</w:t>
      </w:r>
      <w:r>
        <w:rPr>
          <w:rFonts w:hint="eastAsia" w:asciiTheme="minorEastAsia" w:hAnsiTheme="minorEastAsia" w:eastAsiaTheme="minorEastAsia"/>
          <w:color w:val="auto"/>
          <w:sz w:val="24"/>
        </w:rPr>
        <w:t>中小</w:t>
      </w:r>
      <w:r>
        <w:rPr>
          <w:rFonts w:asciiTheme="minorEastAsia" w:hAnsiTheme="minorEastAsia" w:eastAsiaTheme="minorEastAsia"/>
          <w:color w:val="auto"/>
          <w:sz w:val="24"/>
        </w:rPr>
        <w:t>企业的，联合体视同</w:t>
      </w:r>
      <w:r>
        <w:rPr>
          <w:rFonts w:hint="eastAsia" w:asciiTheme="minorEastAsia" w:hAnsiTheme="minorEastAsia" w:eastAsiaTheme="minorEastAsia"/>
          <w:color w:val="auto"/>
          <w:sz w:val="24"/>
        </w:rPr>
        <w:t>中小</w:t>
      </w:r>
      <w:r>
        <w:rPr>
          <w:rFonts w:asciiTheme="minorEastAsia" w:hAnsiTheme="minorEastAsia" w:eastAsiaTheme="minorEastAsia"/>
          <w:color w:val="auto"/>
          <w:sz w:val="24"/>
        </w:rPr>
        <w:t>企业。</w:t>
      </w:r>
    </w:p>
    <w:p w14:paraId="717DA78E">
      <w:pPr>
        <w:autoSpaceDE w:val="0"/>
        <w:autoSpaceDN w:val="0"/>
        <w:adjustRightInd w:val="0"/>
        <w:snapToGrid w:val="0"/>
        <w:spacing w:before="156" w:beforeLines="50" w:line="300" w:lineRule="auto"/>
        <w:ind w:firstLine="566" w:firstLineChars="236"/>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4.2 符合中小企业划分标准的个体工商户，在政府采购活动中视同中小企业。</w:t>
      </w:r>
    </w:p>
    <w:p w14:paraId="105CF731">
      <w:pPr>
        <w:adjustRightInd w:val="0"/>
        <w:snapToGrid w:val="0"/>
        <w:spacing w:before="156" w:beforeLines="50" w:line="300" w:lineRule="auto"/>
        <w:ind w:firstLine="555"/>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3监狱企业、符合法</w:t>
      </w:r>
      <w:r>
        <w:rPr>
          <w:rFonts w:asciiTheme="minorEastAsia" w:hAnsiTheme="minorEastAsia" w:eastAsiaTheme="minorEastAsia"/>
          <w:color w:val="auto"/>
          <w:sz w:val="24"/>
        </w:rPr>
        <w:t>定</w:t>
      </w:r>
      <w:r>
        <w:rPr>
          <w:rFonts w:hint="eastAsia" w:asciiTheme="minorEastAsia" w:hAnsiTheme="minorEastAsia" w:eastAsiaTheme="minorEastAsia"/>
          <w:color w:val="auto"/>
          <w:sz w:val="24"/>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30A7E8CF">
      <w:pPr>
        <w:adjustRightInd w:val="0"/>
        <w:snapToGrid w:val="0"/>
        <w:spacing w:before="156" w:beforeLines="50" w:line="300" w:lineRule="auto"/>
        <w:ind w:firstLine="555"/>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3</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 xml:space="preserve"> 享受政府采购支持政策的残疾人福利性单位应当同时满足以下条件：</w:t>
      </w:r>
    </w:p>
    <w:p w14:paraId="39A4545E">
      <w:pPr>
        <w:adjustRightInd w:val="0"/>
        <w:snapToGrid w:val="0"/>
        <w:spacing w:before="156" w:beforeLines="50" w:line="300" w:lineRule="auto"/>
        <w:ind w:firstLine="555"/>
        <w:rPr>
          <w:rFonts w:asciiTheme="minorEastAsia" w:hAnsiTheme="minorEastAsia" w:eastAsiaTheme="minorEastAsia"/>
          <w:color w:val="auto"/>
          <w:sz w:val="24"/>
        </w:rPr>
      </w:pPr>
      <w:r>
        <w:rPr>
          <w:rFonts w:hint="eastAsia" w:asciiTheme="minorEastAsia" w:hAnsiTheme="minorEastAsia" w:eastAsiaTheme="minorEastAsia"/>
          <w:color w:val="auto"/>
          <w:sz w:val="24"/>
        </w:rPr>
        <w:t>（1）安置的残疾人占本单位在职职工人数的比例不低于25%（含25%），并且安置的残疾人人数不少于10人（含10人）；</w:t>
      </w:r>
    </w:p>
    <w:p w14:paraId="36BCFB4A">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（2）依法与安置的每位残疾人签订了一年以上（含一年）的劳动合同或服务协议；</w:t>
      </w:r>
    </w:p>
    <w:p w14:paraId="48E98285">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（3）为安置的每位残疾人按月足额缴纳了基本养老保险、基本医疗保险、失业保险、工伤保险和生育保险等社会保险费；</w:t>
      </w:r>
    </w:p>
    <w:p w14:paraId="4AAEBC37">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（4）通过银行等金融机构向安置的每位残疾人，按月支付了不低于单位所在区县适用的经省级人民政府批准的月最低工资标准的工资；</w:t>
      </w:r>
    </w:p>
    <w:p w14:paraId="6D789915">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（5）提供本单位制造的货物、承担的工程或者服务（以下简称产品），或者提供其他残疾人福利性单位制造的货物（不包括使用非残疾人福利性单位注册商标的货物）。</w:t>
      </w:r>
    </w:p>
    <w:p w14:paraId="674EF68C">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62B1E">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4.4参加本次政府招标项目的中小企业应按附件格式提供《中小企业声明函》。如招标文件接受以联合体形式参加投标的，联合体各方均应按附件格式提供《中小企业声明函》。</w:t>
      </w:r>
    </w:p>
    <w:p w14:paraId="17983498">
      <w:pPr>
        <w:adjustRightInd w:val="0"/>
        <w:snapToGrid w:val="0"/>
        <w:spacing w:before="156" w:beforeLines="50" w:line="300" w:lineRule="auto"/>
        <w:ind w:firstLine="555"/>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投标人按照财库〔2020〕46号规定及招标文件要求提供声明函内容不实的，属于提供虚假材料谋取中标、成交，依照《中华人民共和国政府采购法》等国家有关规定追究相应责任。</w:t>
      </w:r>
    </w:p>
    <w:p w14:paraId="154851F6">
      <w:pPr>
        <w:adjustRightInd w:val="0"/>
        <w:snapToGrid w:val="0"/>
        <w:spacing w:before="156" w:beforeLines="50" w:line="300" w:lineRule="auto"/>
        <w:ind w:firstLine="555"/>
        <w:rPr>
          <w:rFonts w:asciiTheme="minorEastAsia" w:hAnsiTheme="minorEastAsia" w:eastAsiaTheme="minorEastAsia"/>
          <w:b/>
          <w:color w:val="auto"/>
          <w:sz w:val="24"/>
          <w:highlight w:val="yellow"/>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5</w:t>
      </w:r>
      <w:r>
        <w:rPr>
          <w:rFonts w:hint="eastAsia" w:asciiTheme="minorEastAsia" w:hAnsiTheme="minorEastAsia" w:eastAsiaTheme="minorEastAsia"/>
          <w:b/>
          <w:color w:val="auto"/>
          <w:sz w:val="24"/>
        </w:rPr>
        <w:t>本次政府招标项目专门面向中小企业，专门面向中小企业的采购项目无价格扣除。</w:t>
      </w:r>
    </w:p>
    <w:p w14:paraId="25A96717">
      <w:pPr>
        <w:adjustRightInd w:val="0"/>
        <w:snapToGrid w:val="0"/>
        <w:spacing w:before="156" w:beforeLines="50" w:line="300" w:lineRule="auto"/>
        <w:ind w:firstLine="555"/>
        <w:rPr>
          <w:rFonts w:asciiTheme="minorEastAsia" w:hAnsiTheme="minorEastAsia" w:eastAsiaTheme="minorEastAsia"/>
          <w:color w:val="auto"/>
          <w:sz w:val="24"/>
        </w:rPr>
      </w:pPr>
      <w:r>
        <w:rPr>
          <w:rFonts w:hint="eastAsia" w:asciiTheme="minorEastAsia" w:hAnsiTheme="minorEastAsia" w:eastAsiaTheme="minorEastAsia"/>
          <w:color w:val="auto"/>
          <w:sz w:val="24"/>
        </w:rPr>
        <w:t>4.6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64EB6B24">
      <w:pPr>
        <w:adjustRightInd w:val="0"/>
        <w:snapToGrid w:val="0"/>
        <w:spacing w:before="156" w:beforeLines="50" w:line="300" w:lineRule="auto"/>
        <w:ind w:firstLine="555"/>
        <w:rPr>
          <w:rFonts w:asciiTheme="minorEastAsia" w:hAnsiTheme="minorEastAsia" w:eastAsiaTheme="minorEastAsia"/>
          <w:color w:val="auto"/>
          <w:sz w:val="24"/>
        </w:rPr>
      </w:pPr>
      <w:r>
        <w:rPr>
          <w:rFonts w:hint="eastAsia" w:asciiTheme="minorEastAsia" w:hAnsiTheme="minorEastAsia" w:eastAsiaTheme="minorEastAsia"/>
          <w:color w:val="auto"/>
          <w:sz w:val="24"/>
        </w:rPr>
        <w:t>4.7中标、成交投标人享受妆效企业扶持政策的，中标、成交投标人的《中小企业声明函》将随中标、成交结果公开。</w:t>
      </w:r>
    </w:p>
    <w:p w14:paraId="5C7551E2">
      <w:pPr>
        <w:adjustRightInd w:val="0"/>
        <w:snapToGrid w:val="0"/>
        <w:spacing w:before="156" w:beforeLines="50" w:line="300" w:lineRule="auto"/>
        <w:ind w:firstLine="555"/>
        <w:rPr>
          <w:rFonts w:asciiTheme="minorEastAsia" w:hAnsiTheme="minorEastAsia" w:eastAsiaTheme="minorEastAsia"/>
          <w:color w:val="auto"/>
          <w:sz w:val="24"/>
        </w:rPr>
      </w:pPr>
      <w:r>
        <w:rPr>
          <w:rFonts w:hint="eastAsia" w:asciiTheme="minorEastAsia" w:hAnsiTheme="minorEastAsia" w:eastAsiaTheme="minorEastAsia"/>
          <w:color w:val="auto"/>
          <w:sz w:val="24"/>
        </w:rPr>
        <w:t>4.8依法享受扶持政策获得政府采购合同的，中小企业不得将合同分包给大中型企业，中型企业不得将合同分包给大型企业。</w:t>
      </w:r>
    </w:p>
    <w:p w14:paraId="0AACCB1A">
      <w:pPr>
        <w:adjustRightInd w:val="0"/>
        <w:snapToGrid w:val="0"/>
        <w:spacing w:before="156" w:beforeLines="50" w:line="300" w:lineRule="auto"/>
        <w:ind w:firstLine="555"/>
        <w:rPr>
          <w:rFonts w:hint="eastAsia" w:cs="宋体"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rPr>
        <w:t>4.9政府采购监督检查、投诉处理及政府采购行政处罚中对中小企业的认定，由货物制造商或者工程、服务投标人注册登记所在地的县级以上人民政府中小企业主管部门负责。</w:t>
      </w:r>
    </w:p>
    <w:p w14:paraId="5245692A">
      <w:pPr>
        <w:widowControl w:val="0"/>
        <w:snapToGrid w:val="0"/>
        <w:spacing w:line="657" w:lineRule="atLeast"/>
        <w:jc w:val="center"/>
        <w:outlineLvl w:val="0"/>
        <w:rPr>
          <w:rFonts w:ascii="黑体" w:eastAsia="黑体"/>
          <w:b/>
          <w:color w:val="auto"/>
          <w:sz w:val="36"/>
          <w:szCs w:val="36"/>
        </w:rPr>
      </w:pPr>
      <w:r>
        <w:rPr>
          <w:rFonts w:ascii="黑体" w:eastAsia="黑体"/>
          <w:b/>
          <w:color w:val="auto"/>
          <w:sz w:val="36"/>
          <w:szCs w:val="36"/>
        </w:rPr>
        <w:br w:type="page"/>
      </w:r>
    </w:p>
    <w:p w14:paraId="5DA78FA5">
      <w:pPr>
        <w:widowControl w:val="0"/>
        <w:snapToGrid w:val="0"/>
        <w:spacing w:line="657" w:lineRule="atLeast"/>
        <w:jc w:val="center"/>
        <w:outlineLvl w:val="0"/>
        <w:rPr>
          <w:rFonts w:ascii="黑体" w:eastAsia="黑体"/>
          <w:b/>
          <w:color w:val="auto"/>
          <w:sz w:val="36"/>
          <w:szCs w:val="36"/>
        </w:rPr>
      </w:pPr>
      <w:bookmarkStart w:id="36" w:name="_Toc106792525"/>
      <w:r>
        <w:rPr>
          <w:rFonts w:hint="eastAsia" w:ascii="黑体" w:eastAsia="黑体"/>
          <w:b/>
          <w:color w:val="auto"/>
          <w:sz w:val="36"/>
          <w:szCs w:val="36"/>
        </w:rPr>
        <w:t>第五章</w:t>
      </w:r>
      <w:r>
        <w:rPr>
          <w:rFonts w:ascii="黑体" w:eastAsia="黑体"/>
          <w:b/>
          <w:color w:val="auto"/>
          <w:sz w:val="36"/>
          <w:szCs w:val="36"/>
        </w:rPr>
        <w:t xml:space="preserve">  </w:t>
      </w:r>
      <w:r>
        <w:rPr>
          <w:rFonts w:hint="eastAsia" w:ascii="黑体" w:eastAsia="黑体"/>
          <w:b/>
          <w:color w:val="auto"/>
          <w:sz w:val="36"/>
          <w:szCs w:val="36"/>
        </w:rPr>
        <w:t>合同主要条款</w:t>
      </w:r>
      <w:bookmarkEnd w:id="36"/>
    </w:p>
    <w:p w14:paraId="1D4F520C">
      <w:pPr>
        <w:widowControl w:val="0"/>
        <w:snapToGrid w:val="0"/>
        <w:spacing w:line="657" w:lineRule="atLeast"/>
        <w:jc w:val="center"/>
        <w:rPr>
          <w:rFonts w:ascii="黑体" w:eastAsia="黑体"/>
          <w:b/>
          <w:color w:val="auto"/>
          <w:spacing w:val="20"/>
          <w:sz w:val="36"/>
          <w:szCs w:val="36"/>
        </w:rPr>
      </w:pPr>
    </w:p>
    <w:p w14:paraId="0C5387F0">
      <w:pPr>
        <w:spacing w:before="312" w:beforeLines="100" w:line="500" w:lineRule="exact"/>
        <w:ind w:firstLine="602" w:firstLineChars="200"/>
        <w:jc w:val="center"/>
        <w:rPr>
          <w:rFonts w:asciiTheme="minorEastAsia" w:hAnsiTheme="minorEastAsia" w:eastAsiaTheme="minorEastAsia"/>
          <w:b/>
          <w:sz w:val="30"/>
          <w:szCs w:val="30"/>
          <w:lang w:val="zh-CN"/>
        </w:rPr>
      </w:pPr>
      <w:r>
        <w:rPr>
          <w:rFonts w:hint="eastAsia" w:asciiTheme="minorEastAsia" w:hAnsiTheme="minorEastAsia" w:eastAsiaTheme="minorEastAsia"/>
          <w:b/>
          <w:sz w:val="30"/>
          <w:szCs w:val="30"/>
          <w:lang w:val="zh-CN"/>
        </w:rPr>
        <w:t>服 务 合 同</w:t>
      </w:r>
    </w:p>
    <w:p w14:paraId="000BEA09">
      <w:pPr>
        <w:spacing w:line="500" w:lineRule="exact"/>
        <w:ind w:firstLine="602" w:firstLineChars="200"/>
        <w:jc w:val="center"/>
        <w:rPr>
          <w:rFonts w:cs="宋体" w:asciiTheme="minorEastAsia" w:hAnsiTheme="minorEastAsia" w:eastAsiaTheme="minorEastAsia"/>
          <w:sz w:val="24"/>
          <w:szCs w:val="24"/>
        </w:rPr>
      </w:pPr>
      <w:r>
        <w:rPr>
          <w:rFonts w:hint="eastAsia" w:asciiTheme="minorEastAsia" w:hAnsiTheme="minorEastAsia" w:eastAsiaTheme="minorEastAsia"/>
          <w:b/>
          <w:sz w:val="30"/>
          <w:szCs w:val="30"/>
          <w:lang w:val="zh-CN"/>
        </w:rPr>
        <w:t>(仅供参考，具体以实际签订为准)</w:t>
      </w:r>
    </w:p>
    <w:p w14:paraId="6AD7E272">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合同编号：</w:t>
      </w:r>
    </w:p>
    <w:p w14:paraId="54C47478">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甲方：（采购人）</w:t>
      </w:r>
    </w:p>
    <w:p w14:paraId="2B2EF1C5">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乙方：（供应商）</w:t>
      </w:r>
    </w:p>
    <w:p w14:paraId="0B002B07">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甲、乙双方持</w:t>
      </w:r>
      <w:r>
        <w:rPr>
          <w:rFonts w:hint="eastAsia" w:cs="Times New Roman" w:asciiTheme="minorEastAsia" w:hAnsiTheme="minorEastAsia" w:eastAsiaTheme="minorEastAsia"/>
          <w:color w:val="auto"/>
          <w:sz w:val="24"/>
          <w:lang w:eastAsia="zh-CN"/>
        </w:rPr>
        <w:t>中弘天合工程咨询有限公司</w:t>
      </w:r>
      <w:r>
        <w:rPr>
          <w:rFonts w:hint="eastAsia" w:cs="Times New Roman" w:asciiTheme="minorEastAsia" w:hAnsiTheme="minorEastAsia" w:eastAsiaTheme="minorEastAsia"/>
          <w:color w:val="auto"/>
          <w:sz w:val="24"/>
          <w:u w:val="single"/>
        </w:rPr>
        <w:t xml:space="preserve">     </w:t>
      </w:r>
      <w:r>
        <w:rPr>
          <w:rFonts w:hint="eastAsia" w:cs="Times New Roman" w:asciiTheme="minorEastAsia" w:hAnsiTheme="minorEastAsia" w:eastAsiaTheme="minorEastAsia"/>
          <w:color w:val="auto"/>
          <w:sz w:val="24"/>
        </w:rPr>
        <w:t>年</w:t>
      </w:r>
      <w:r>
        <w:rPr>
          <w:rFonts w:hint="eastAsia" w:cs="Times New Roman" w:asciiTheme="minorEastAsia" w:hAnsiTheme="minorEastAsia" w:eastAsiaTheme="minorEastAsia"/>
          <w:color w:val="auto"/>
          <w:sz w:val="24"/>
          <w:u w:val="single"/>
        </w:rPr>
        <w:t xml:space="preserve">    </w:t>
      </w:r>
      <w:r>
        <w:rPr>
          <w:rFonts w:hint="eastAsia" w:cs="Times New Roman" w:asciiTheme="minorEastAsia" w:hAnsiTheme="minorEastAsia" w:eastAsiaTheme="minorEastAsia"/>
          <w:color w:val="auto"/>
          <w:sz w:val="24"/>
        </w:rPr>
        <w:t>月</w:t>
      </w:r>
      <w:r>
        <w:rPr>
          <w:rFonts w:hint="eastAsia" w:cs="Times New Roman" w:asciiTheme="minorEastAsia" w:hAnsiTheme="minorEastAsia" w:eastAsiaTheme="minorEastAsia"/>
          <w:color w:val="auto"/>
          <w:sz w:val="24"/>
          <w:u w:val="single"/>
        </w:rPr>
        <w:t xml:space="preserve">    </w:t>
      </w:r>
      <w:r>
        <w:rPr>
          <w:rFonts w:hint="eastAsia" w:cs="Times New Roman" w:asciiTheme="minorEastAsia" w:hAnsiTheme="minorEastAsia" w:eastAsiaTheme="minorEastAsia"/>
          <w:color w:val="auto"/>
          <w:sz w:val="24"/>
        </w:rPr>
        <w:t>日签发的（采购人及项目名称）〔采购编号：      〕中标通知书，根据招标文件及 其 修 改 补 充 澄 清 、投标文件及其修改补充澄清的内容 ，经双方平等协商一致 ，达成以下合同条 款：</w:t>
      </w:r>
    </w:p>
    <w:p w14:paraId="6C6B70DE">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一、本合同所指服务为此次招标的服务， 包括（详细注明内容），合同总价款为元 （大写：                ）。</w:t>
      </w:r>
    </w:p>
    <w:p w14:paraId="362B651D">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本合同为固定总价合同 ， 不因人工 、 费用 、 材料和设备等价格的波动 而影响合同价格。</w:t>
      </w:r>
    </w:p>
    <w:p w14:paraId="50996FB5">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二、服务质量要求及乙方对质量负责条件和期限：</w:t>
      </w:r>
    </w:p>
    <w:p w14:paraId="2607F0AA">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按国家及行业标准、采购文件及投标文件等相应条款制订</w:t>
      </w:r>
    </w:p>
    <w:p w14:paraId="5D9A3C87">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三、服务时间、地点、方式：</w:t>
      </w:r>
    </w:p>
    <w:p w14:paraId="262B7EB0">
      <w:pPr>
        <w:adjustRightInd w:val="0"/>
        <w:snapToGrid w:val="0"/>
        <w:spacing w:before="156" w:beforeLines="50" w:line="300" w:lineRule="auto"/>
        <w:ind w:firstLine="555"/>
        <w:rPr>
          <w:rFonts w:hint="eastAsia" w:cs="Times New Roman" w:asciiTheme="minorEastAsia" w:hAnsiTheme="minorEastAsia" w:eastAsiaTheme="minorEastAsia"/>
          <w:color w:val="auto"/>
          <w:sz w:val="24"/>
        </w:rPr>
      </w:pPr>
      <w:r>
        <w:rPr>
          <w:rFonts w:hint="eastAsia" w:cs="Times New Roman" w:asciiTheme="minorEastAsia" w:hAnsiTheme="minorEastAsia" w:eastAsiaTheme="minorEastAsia"/>
          <w:color w:val="auto"/>
          <w:sz w:val="24"/>
        </w:rPr>
        <w:t>按国家及行业标准、采购文件及投标文件等相应条款制订</w:t>
      </w:r>
    </w:p>
    <w:p w14:paraId="354D31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四、验收程序和要求</w:t>
      </w:r>
    </w:p>
    <w:p w14:paraId="0315E1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1、验收时间：项目具备验收条件时，由采购人成立验收工作组负责验收。技术复 杂、社会影响较大的货物类项目， 可以根据需要设置出厂检验、到货检验、安装调试检 验、配套服务检验等多重验收环节；服务类项目，可根据项目特点对服务期内的服务实 施情况进行分期考核，结合考核情况和服务效果进行验收。</w:t>
      </w:r>
    </w:p>
    <w:p w14:paraId="24889D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2、验收工作组：合同履约验收工作应成立验收工作组专门负责。</w:t>
      </w:r>
    </w:p>
    <w:p w14:paraId="7CB980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直接参与该项目政府采购活动的主要负责人不得作为验收工作的主要负责人。对 于采购人和使用人分离的采购项目，应当邀请实际使用人参与验收；政府向社会公众提 供的公共服务项目，验收时应当邀请服务对象参与并出具意见，验收结果应当向社会公 告。</w:t>
      </w:r>
    </w:p>
    <w:p w14:paraId="3CD049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2.1、政府采购合同金额在 10 万元以下（含10万元）的项目，原则上可以不邀请评审专家参加，组织方成立验收小组自行验收。自行验收时，验收小组应仔细对照采购文件及合同，对标的物的数量、质量、规格、型号等参数逐一核对，并编制验收报告。 组织方认为不能独立完成验收任务的，可以邀请评审专家参与验收。</w:t>
      </w:r>
    </w:p>
    <w:p w14:paraId="712CA5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2.2、政府采购合同金额 50 万元以下的（含 50 万元）的项目，验收工作组应不少 于三人；政府采购合同金额 50 万元以上的项目，验收工作组应由采购人领导牵头，财 务、审计、监察、资产管理、技术等部门人员参与， 成员不少于五人。验收工作原则上 应当邀请采购项目评审专家参加验收；大型、复杂或者技术性很强的政府采购项目，应 当邀请国家认可的质量检测机构参加验收工作；国家规定强制性检测的采购项目，采购 人必须委托国家认可专业检测机构进行验收。</w:t>
      </w:r>
    </w:p>
    <w:p w14:paraId="084511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3、验收时，验收小组按照采购合同的约定对每一项技术、服务、安全标准的履约 情况进行确认。验收时需要进行破坏性试验的， 供应商应进行充分的配合并提供备品备 件。</w:t>
      </w:r>
    </w:p>
    <w:p w14:paraId="25760AE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4、验收报告：验收后，由采购人及专家等出具验收报告（自行验收的，由采购人 出具），国家规定强制性检测的采购项目应附国家认可的专业检测机构出具的验收报告。</w:t>
      </w:r>
    </w:p>
    <w:p w14:paraId="37DBBA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5、验收中发现成交供应商未按合同约定的时间、地点或方式履约， 提供的货物或 服务的数量、质量、性能、功能达不到合同约定的，或者提供假冒伪劣产品等违反合 同约定的，验收人员应在验收报告中注明违约情形和事项，并应及时通知财政部门。 属假冒伪劣产品的，同时向工商管理、质量监督等行政执法部门举报。</w:t>
      </w:r>
    </w:p>
    <w:p w14:paraId="3A63909C">
      <w:pPr>
        <w:spacing w:before="237" w:line="221" w:lineRule="auto"/>
        <w:ind w:left="577"/>
        <w:rPr>
          <w:rFonts w:ascii="宋体" w:hAnsi="宋体" w:eastAsia="宋体" w:cs="宋体"/>
          <w:sz w:val="24"/>
          <w:szCs w:val="24"/>
        </w:rPr>
      </w:pPr>
      <w:r>
        <w:rPr>
          <w:rFonts w:ascii="宋体" w:hAnsi="宋体" w:eastAsia="宋体" w:cs="宋体"/>
          <w:sz w:val="24"/>
          <w:szCs w:val="24"/>
        </w:rPr>
        <w:t>五、履约保证金：</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356D7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六、付款程序：按投标人须知相关条款编列。</w:t>
      </w:r>
    </w:p>
    <w:p w14:paraId="46D4FE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七、合同遵行《保障中小企业款项支付条例》。</w:t>
      </w:r>
    </w:p>
    <w:p w14:paraId="67344B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八、责任和义务</w:t>
      </w:r>
    </w:p>
    <w:p w14:paraId="5332F1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1、甲方的责任和义务</w:t>
      </w:r>
    </w:p>
    <w:p w14:paraId="48F0EC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（1）对乙方给予必要的协助。</w:t>
      </w:r>
    </w:p>
    <w:p w14:paraId="75DF4E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（2）按时验收、及时支付资金；</w:t>
      </w:r>
    </w:p>
    <w:p w14:paraId="1D5724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（3）遵守国家法律法规，不得要求乙方虚开发票，不得向乙方索要“好处 ”、 “回扣”、“礼品”，或要求乙方提供合同以外的其他物品或服务；</w:t>
      </w:r>
    </w:p>
    <w:p w14:paraId="294711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（4）对乙方未按合同约定履约在验收报告中注明违约情形和事项，并应及时通知 财政部门。违反相关法规的向相关行政执法部门举报。</w:t>
      </w:r>
    </w:p>
    <w:p w14:paraId="10AB92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（5）其他法律法规规定应尽的义务。</w:t>
      </w:r>
    </w:p>
    <w:p w14:paraId="6A2F9E6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2、乙方的责任和义务</w:t>
      </w:r>
    </w:p>
    <w:p w14:paraId="2B9C67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（1）严格按采购文件要求与投标文件的质量及服务承诺执行，保质、按期履行。</w:t>
      </w:r>
    </w:p>
    <w:p w14:paraId="2A4C05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（2）不得将合同权利义务全部或部分转让给第三人。</w:t>
      </w:r>
    </w:p>
    <w:p w14:paraId="772CC4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（3）验收合格前，对货物和人员的安全负责，应采取安全措施，确保人员、材料、 设备和设施的安全，防止货物验收合格前的人身伤害和财产损失；应对其履行合同所 雇佣的全部人员的工伤事故承担责任。</w:t>
      </w:r>
    </w:p>
    <w:p w14:paraId="05A3DA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（4）遵守法律、依法纳税</w:t>
      </w:r>
    </w:p>
    <w:p w14:paraId="0C4BC5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（5）遵守职业道德和行业规范，坚决杜绝送礼、回扣、报销费用等一切不正当竞 争行为和商业贿赂行为；对甲方索要回扣、礼品等违规行为，向安阳市财政局政府采 购监督管理科及相关执法机关举报。</w:t>
      </w:r>
    </w:p>
    <w:p w14:paraId="2AA087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（6）其他法律法规规定应尽的义务。</w:t>
      </w:r>
    </w:p>
    <w:p w14:paraId="0BA104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九、违约责任：</w:t>
      </w:r>
    </w:p>
    <w:p w14:paraId="7F9CAD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1、甲方无正当理由拒付款项的， 向乙方偿付拒收拒付部分款项总额  %的违约金。</w:t>
      </w:r>
    </w:p>
    <w:p w14:paraId="7674C1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2、乙方提供服务不符合合同规定，甲方有权拒付相关款项。</w:t>
      </w:r>
    </w:p>
    <w:p w14:paraId="1B2C16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3、乙方逾期，乙方向甲方每日偿付     %赔偿费。</w:t>
      </w:r>
    </w:p>
    <w:p w14:paraId="691516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十、《采购文件》及其修改补充、投标文件及其修改补充澄清均为本合同的组成 部分。</w:t>
      </w:r>
    </w:p>
    <w:p w14:paraId="4FB950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十一、本合同发生争议时双方应按合同条款协商解决。双方协商不成的，可以根 据仲裁协议向当地仲裁机构申请仲裁。当事人没有订立仲裁协议或者仲裁协议无效的， 可以向当地人民法院起诉。</w:t>
      </w:r>
    </w:p>
    <w:p w14:paraId="5B9ED0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十二、合同生效及其它：</w:t>
      </w:r>
    </w:p>
    <w:p w14:paraId="0B8736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本合同经甲乙双方代表签字、加盖公章和骑缝章后生效。本合同一式    份，甲乙 双方各持   份。</w:t>
      </w:r>
    </w:p>
    <w:p w14:paraId="2C8198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甲方要在合同签订后 1 个工作日内登陆安阳市政府采购网进行备案并公告。</w:t>
      </w:r>
    </w:p>
    <w:p w14:paraId="21EDA1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融资政策：政府采购合同融资是河南省财政厅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 </w:t>
      </w:r>
    </w:p>
    <w:p w14:paraId="4F1C03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贷款渠道和提供贷款的金融机构，可在河南省政府采购网“河南省政府采购合同融资平台”查询联系。</w:t>
      </w:r>
    </w:p>
    <w:p w14:paraId="01528C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乙方：</w:t>
      </w:r>
    </w:p>
    <w:p w14:paraId="2479BE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地址：</w:t>
      </w:r>
    </w:p>
    <w:p w14:paraId="755EF9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w:t>
      </w:r>
    </w:p>
    <w:p w14:paraId="2AA6F6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委托代理人：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委托代理人：</w:t>
      </w:r>
    </w:p>
    <w:p w14:paraId="74874A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电话：</w:t>
      </w:r>
    </w:p>
    <w:p w14:paraId="263146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开户银行：</w:t>
      </w:r>
    </w:p>
    <w:p w14:paraId="58493C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银行账号：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银行账号：</w:t>
      </w:r>
    </w:p>
    <w:p w14:paraId="15652D6E">
      <w:pPr>
        <w:spacing w:before="78" w:line="222" w:lineRule="auto"/>
        <w:ind w:left="564"/>
        <w:rPr>
          <w:rFonts w:ascii="宋体" w:hAnsi="宋体" w:eastAsia="宋体" w:cs="宋体"/>
          <w:sz w:val="24"/>
          <w:szCs w:val="24"/>
        </w:rPr>
      </w:pPr>
      <w:r>
        <w:rPr>
          <w:rFonts w:ascii="宋体" w:hAnsi="宋体" w:eastAsia="宋体" w:cs="宋体"/>
          <w:spacing w:val="-7"/>
          <w:sz w:val="24"/>
          <w:szCs w:val="24"/>
        </w:rPr>
        <w:t>签约时间：</w:t>
      </w:r>
      <w:r>
        <w:rPr>
          <w:rFonts w:ascii="宋体" w:hAnsi="宋体" w:eastAsia="宋体" w:cs="宋体"/>
          <w:spacing w:val="1"/>
          <w:sz w:val="24"/>
          <w:szCs w:val="24"/>
        </w:rPr>
        <w:t xml:space="preserve">       </w:t>
      </w:r>
      <w:r>
        <w:rPr>
          <w:rFonts w:hint="eastAsia" w:ascii="宋体" w:hAnsi="宋体" w:cs="宋体"/>
          <w:spacing w:val="1"/>
          <w:sz w:val="24"/>
          <w:szCs w:val="24"/>
          <w:lang w:val="en-US" w:eastAsia="zh-CN"/>
        </w:rPr>
        <w:t xml:space="preserve">            </w:t>
      </w:r>
      <w:r>
        <w:rPr>
          <w:rFonts w:ascii="宋体" w:hAnsi="宋体" w:eastAsia="宋体" w:cs="宋体"/>
          <w:spacing w:val="1"/>
          <w:sz w:val="24"/>
          <w:szCs w:val="24"/>
        </w:rPr>
        <w:t xml:space="preserve">   </w:t>
      </w:r>
      <w:r>
        <w:rPr>
          <w:rFonts w:ascii="宋体" w:hAnsi="宋体" w:eastAsia="宋体" w:cs="宋体"/>
          <w:spacing w:val="-7"/>
          <w:sz w:val="24"/>
          <w:szCs w:val="24"/>
        </w:rPr>
        <w:t>签约地点：</w:t>
      </w:r>
    </w:p>
    <w:p w14:paraId="21A61AF6">
      <w:pPr>
        <w:pStyle w:val="6"/>
        <w:tabs>
          <w:tab w:val="left" w:pos="567"/>
        </w:tabs>
        <w:spacing w:line="242" w:lineRule="auto"/>
      </w:pPr>
    </w:p>
    <w:p w14:paraId="5EB206DD">
      <w:pPr>
        <w:spacing w:line="240" w:lineRule="auto"/>
        <w:jc w:val="left"/>
        <w:textAlignment w:val="auto"/>
        <w:rPr>
          <w:rFonts w:ascii="宋体"/>
          <w:b/>
          <w:color w:val="auto"/>
          <w:sz w:val="36"/>
          <w:szCs w:val="36"/>
          <w:lang w:val="zh-CN"/>
        </w:rPr>
      </w:pPr>
      <w:r>
        <w:rPr>
          <w:rFonts w:ascii="宋体"/>
          <w:b/>
          <w:color w:val="auto"/>
          <w:sz w:val="36"/>
          <w:szCs w:val="36"/>
          <w:lang w:val="zh-CN"/>
        </w:rPr>
        <w:br w:type="page"/>
      </w:r>
    </w:p>
    <w:p w14:paraId="7E982258">
      <w:pPr>
        <w:autoSpaceDE w:val="0"/>
        <w:autoSpaceDN w:val="0"/>
        <w:adjustRightInd w:val="0"/>
        <w:spacing w:line="360" w:lineRule="auto"/>
        <w:jc w:val="center"/>
        <w:outlineLvl w:val="0"/>
        <w:rPr>
          <w:rFonts w:ascii="黑体" w:hAnsi="黑体" w:eastAsia="黑体"/>
          <w:b/>
          <w:color w:val="auto"/>
          <w:sz w:val="36"/>
          <w:szCs w:val="36"/>
          <w:lang w:val="zh-CN"/>
        </w:rPr>
      </w:pPr>
      <w:bookmarkStart w:id="37" w:name="_Toc106792526"/>
      <w:r>
        <w:rPr>
          <w:rFonts w:hint="eastAsia" w:ascii="黑体" w:hAnsi="黑体" w:eastAsia="黑体"/>
          <w:b/>
          <w:color w:val="auto"/>
          <w:sz w:val="36"/>
          <w:szCs w:val="36"/>
          <w:lang w:val="zh-CN"/>
        </w:rPr>
        <w:t>第六章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《响应文件》格式</w:t>
      </w:r>
      <w:bookmarkEnd w:id="37"/>
    </w:p>
    <w:p w14:paraId="18DFD83F">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供应商应按“供应商须知</w:t>
      </w:r>
      <w:r>
        <w:rPr>
          <w:rFonts w:ascii="宋体"/>
          <w:color w:val="auto"/>
          <w:szCs w:val="21"/>
          <w:lang w:val="zh-CN"/>
        </w:rPr>
        <w:t>--</w:t>
      </w:r>
      <w:r>
        <w:rPr>
          <w:rFonts w:hint="eastAsia" w:ascii="宋体" w:hAnsi="宋体"/>
          <w:color w:val="auto"/>
          <w:szCs w:val="21"/>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lang w:val="zh-CN"/>
        </w:rPr>
        <w:t>。</w:t>
      </w:r>
    </w:p>
    <w:p w14:paraId="0ED2F9DB">
      <w:pPr>
        <w:autoSpaceDE w:val="0"/>
        <w:autoSpaceDN w:val="0"/>
        <w:adjustRightInd w:val="0"/>
        <w:spacing w:line="276" w:lineRule="auto"/>
        <w:ind w:firstLine="882" w:firstLineChars="245"/>
        <w:jc w:val="left"/>
        <w:rPr>
          <w:rFonts w:ascii="宋体"/>
          <w:color w:val="auto"/>
          <w:sz w:val="36"/>
          <w:szCs w:val="36"/>
          <w:lang w:val="zh-CN"/>
        </w:rPr>
      </w:pPr>
    </w:p>
    <w:p w14:paraId="1144DCD8">
      <w:pPr>
        <w:autoSpaceDE w:val="0"/>
        <w:autoSpaceDN w:val="0"/>
        <w:adjustRightInd w:val="0"/>
        <w:spacing w:line="360" w:lineRule="auto"/>
        <w:ind w:right="-817"/>
        <w:rPr>
          <w:rFonts w:ascii="宋体"/>
          <w:color w:val="auto"/>
          <w:sz w:val="24"/>
          <w:u w:val="single"/>
        </w:rPr>
      </w:pPr>
    </w:p>
    <w:p w14:paraId="20C58CE1">
      <w:pPr>
        <w:autoSpaceDE w:val="0"/>
        <w:autoSpaceDN w:val="0"/>
        <w:adjustRightInd w:val="0"/>
        <w:spacing w:line="360" w:lineRule="auto"/>
        <w:ind w:firstLine="480" w:firstLineChars="200"/>
        <w:jc w:val="left"/>
        <w:rPr>
          <w:rFonts w:ascii="宋体"/>
          <w:color w:val="auto"/>
          <w:sz w:val="24"/>
          <w:u w:val="single"/>
        </w:rPr>
      </w:pPr>
    </w:p>
    <w:p w14:paraId="4F4DA39D">
      <w:pPr>
        <w:spacing w:line="360" w:lineRule="auto"/>
        <w:ind w:firstLine="2223" w:firstLineChars="396"/>
        <w:rPr>
          <w:rFonts w:ascii="宋体" w:hAnsi="宋体" w:cs="宋体"/>
          <w:b/>
          <w:bCs/>
          <w:spacing w:val="100"/>
          <w:sz w:val="36"/>
          <w:szCs w:val="36"/>
        </w:rPr>
      </w:pPr>
      <w:r>
        <w:rPr>
          <w:rFonts w:hint="eastAsia" w:ascii="宋体" w:hAnsi="宋体" w:cs="宋体"/>
          <w:b/>
          <w:bCs/>
          <w:spacing w:val="100"/>
          <w:sz w:val="36"/>
          <w:szCs w:val="36"/>
          <w:u w:val="single"/>
        </w:rPr>
        <w:t xml:space="preserve">      </w:t>
      </w:r>
      <w:r>
        <w:rPr>
          <w:rFonts w:hint="eastAsia" w:ascii="宋体" w:hAnsi="宋体" w:cs="宋体"/>
          <w:b/>
          <w:bCs/>
          <w:spacing w:val="100"/>
          <w:sz w:val="36"/>
          <w:szCs w:val="36"/>
          <w:u w:val="single"/>
          <w:lang w:val="en-US" w:eastAsia="zh-CN"/>
        </w:rPr>
        <w:t xml:space="preserve">   </w:t>
      </w:r>
      <w:r>
        <w:rPr>
          <w:rFonts w:hint="eastAsia" w:ascii="宋体" w:hAnsi="宋体" w:cs="宋体"/>
          <w:b/>
          <w:bCs/>
          <w:spacing w:val="100"/>
          <w:sz w:val="36"/>
          <w:szCs w:val="36"/>
          <w:u w:val="single"/>
        </w:rPr>
        <w:t xml:space="preserve">  </w:t>
      </w:r>
      <w:r>
        <w:rPr>
          <w:rFonts w:hint="eastAsia" w:ascii="宋体" w:hAnsi="宋体" w:cs="宋体"/>
          <w:b/>
          <w:bCs/>
          <w:spacing w:val="100"/>
          <w:sz w:val="48"/>
          <w:szCs w:val="48"/>
        </w:rPr>
        <w:t>项目</w:t>
      </w:r>
    </w:p>
    <w:p w14:paraId="63211D29">
      <w:pPr>
        <w:spacing w:line="360" w:lineRule="auto"/>
        <w:ind w:left="4550" w:leftChars="1500" w:hanging="1400" w:hangingChars="166"/>
        <w:rPr>
          <w:rFonts w:ascii="宋体" w:hAnsi="宋体" w:cs="宋体"/>
          <w:b/>
          <w:sz w:val="84"/>
          <w:szCs w:val="84"/>
        </w:rPr>
      </w:pPr>
    </w:p>
    <w:p w14:paraId="511A1B2F">
      <w:pPr>
        <w:spacing w:line="360" w:lineRule="auto"/>
        <w:ind w:left="5678" w:leftChars="299" w:hanging="5050" w:hangingChars="466"/>
        <w:jc w:val="center"/>
        <w:rPr>
          <w:rFonts w:ascii="宋体" w:hAnsi="宋体" w:cs="宋体"/>
          <w:b/>
          <w:spacing w:val="60"/>
          <w:sz w:val="96"/>
          <w:szCs w:val="96"/>
        </w:rPr>
      </w:pPr>
      <w:r>
        <w:rPr>
          <w:rFonts w:hint="eastAsia" w:ascii="宋体" w:hAnsi="宋体" w:cs="宋体"/>
          <w:b/>
          <w:spacing w:val="60"/>
          <w:sz w:val="96"/>
          <w:szCs w:val="96"/>
          <w:lang w:eastAsia="zh-CN"/>
        </w:rPr>
        <w:t>符合性响应</w:t>
      </w:r>
      <w:r>
        <w:rPr>
          <w:rFonts w:hint="eastAsia" w:ascii="宋体" w:hAnsi="宋体" w:cs="宋体"/>
          <w:b/>
          <w:spacing w:val="60"/>
          <w:sz w:val="96"/>
          <w:szCs w:val="96"/>
        </w:rPr>
        <w:t>文件</w:t>
      </w:r>
    </w:p>
    <w:p w14:paraId="3EF0E722">
      <w:pPr>
        <w:spacing w:line="360" w:lineRule="auto"/>
        <w:ind w:firstLine="1700" w:firstLineChars="545"/>
        <w:rPr>
          <w:rFonts w:ascii="宋体" w:hAnsi="宋体" w:cs="宋体"/>
          <w:b/>
          <w:sz w:val="32"/>
          <w:szCs w:val="32"/>
        </w:rPr>
      </w:pPr>
      <w:r>
        <w:rPr>
          <w:rFonts w:ascii="宋体" w:hAnsi="宋体" w:eastAsia="宋体" w:cs="宋体"/>
          <w:spacing w:val="-4"/>
          <w:sz w:val="32"/>
          <w:szCs w:val="32"/>
        </w:rPr>
        <w:t>项目编号</w:t>
      </w:r>
      <w:r>
        <w:rPr>
          <w:rFonts w:hint="eastAsia" w:ascii="宋体" w:hAnsi="宋体" w:cs="宋体"/>
          <w:b/>
          <w:sz w:val="32"/>
          <w:szCs w:val="32"/>
        </w:rPr>
        <w:t>：</w:t>
      </w:r>
      <w:r>
        <w:rPr>
          <w:rFonts w:hint="eastAsia" w:ascii="宋体" w:hAnsi="宋体" w:cs="宋体"/>
          <w:b/>
          <w:sz w:val="32"/>
          <w:szCs w:val="32"/>
          <w:u w:val="single"/>
        </w:rPr>
        <w:t xml:space="preserve">                     </w:t>
      </w:r>
    </w:p>
    <w:p w14:paraId="0E7F4CDE">
      <w:pPr>
        <w:spacing w:line="360" w:lineRule="auto"/>
        <w:rPr>
          <w:rFonts w:ascii="宋体" w:hAnsi="宋体" w:cs="宋体"/>
          <w:b/>
          <w:sz w:val="36"/>
          <w:szCs w:val="36"/>
        </w:rPr>
      </w:pPr>
    </w:p>
    <w:p w14:paraId="06DE695D">
      <w:pPr>
        <w:autoSpaceDE w:val="0"/>
        <w:autoSpaceDN w:val="0"/>
        <w:adjustRightInd w:val="0"/>
        <w:spacing w:line="360" w:lineRule="auto"/>
        <w:jc w:val="center"/>
        <w:rPr>
          <w:rFonts w:ascii="宋体"/>
          <w:color w:val="auto"/>
          <w:sz w:val="24"/>
        </w:rPr>
      </w:pPr>
    </w:p>
    <w:p w14:paraId="20088F1A">
      <w:pPr>
        <w:pStyle w:val="39"/>
        <w:spacing w:line="360" w:lineRule="auto"/>
        <w:rPr>
          <w:rFonts w:hAnsi="宋体"/>
          <w:color w:val="auto"/>
          <w:szCs w:val="24"/>
          <w:u w:val="single"/>
        </w:rPr>
      </w:pPr>
    </w:p>
    <w:p w14:paraId="415C0434">
      <w:pPr>
        <w:pStyle w:val="3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供应商（电子签章）：</w:t>
      </w:r>
      <w:r>
        <w:rPr>
          <w:rFonts w:hAnsi="宋体"/>
          <w:color w:val="auto"/>
          <w:sz w:val="28"/>
          <w:szCs w:val="28"/>
          <w:u w:val="single"/>
        </w:rPr>
        <w:t xml:space="preserve">                                    </w:t>
      </w:r>
    </w:p>
    <w:p w14:paraId="596DCAFD">
      <w:pPr>
        <w:pStyle w:val="39"/>
        <w:spacing w:line="360" w:lineRule="auto"/>
        <w:ind w:firstLine="280" w:firstLineChars="100"/>
        <w:rPr>
          <w:rFonts w:hAnsi="宋体"/>
          <w:color w:val="auto"/>
          <w:sz w:val="28"/>
          <w:szCs w:val="28"/>
        </w:rPr>
      </w:pPr>
    </w:p>
    <w:p w14:paraId="21EB9235">
      <w:pPr>
        <w:pStyle w:val="39"/>
        <w:spacing w:line="360" w:lineRule="auto"/>
        <w:ind w:firstLine="280" w:firstLineChars="100"/>
        <w:rPr>
          <w:rFonts w:hAnsi="宋体"/>
          <w:color w:val="auto"/>
          <w:sz w:val="28"/>
          <w:szCs w:val="28"/>
          <w:u w:val="single"/>
        </w:rPr>
      </w:pPr>
      <w:r>
        <w:rPr>
          <w:rFonts w:hint="eastAsia" w:hAnsi="宋体"/>
          <w:color w:val="auto"/>
          <w:sz w:val="28"/>
          <w:szCs w:val="28"/>
        </w:rPr>
        <w:t>法定代表人（电子签名）：</w:t>
      </w:r>
      <w:r>
        <w:rPr>
          <w:rFonts w:hAnsi="宋体"/>
          <w:color w:val="auto"/>
          <w:sz w:val="28"/>
          <w:szCs w:val="28"/>
          <w:u w:val="single"/>
        </w:rPr>
        <w:t xml:space="preserve">                              </w:t>
      </w:r>
    </w:p>
    <w:p w14:paraId="4EAD990C">
      <w:pPr>
        <w:widowControl/>
        <w:ind w:firstLine="840" w:firstLineChars="300"/>
        <w:jc w:val="left"/>
        <w:rPr>
          <w:rFonts w:hAnsi="宋体"/>
          <w:sz w:val="28"/>
          <w:szCs w:val="28"/>
          <w:highlight w:val="none"/>
        </w:rPr>
      </w:pPr>
      <w:r>
        <w:rPr>
          <w:rFonts w:hint="eastAsia" w:ascii="宋体" w:hAnsi="宋体" w:cs="宋体"/>
          <w:kern w:val="0"/>
          <w:sz w:val="28"/>
          <w:szCs w:val="28"/>
          <w:highlight w:val="none"/>
        </w:rPr>
        <w:t>投标日期：</w:t>
      </w:r>
      <w:r>
        <w:rPr>
          <w:rFonts w:hint="eastAsia" w:ascii="宋体" w:hAnsi="宋体" w:cs="宋体"/>
          <w:kern w:val="0"/>
          <w:sz w:val="28"/>
          <w:szCs w:val="28"/>
          <w:highlight w:val="none"/>
          <w:u w:val="single" w:color="auto"/>
          <w:lang w:val="en-US" w:eastAsia="zh-CN"/>
        </w:rPr>
        <w:t xml:space="preserve">     </w:t>
      </w:r>
      <w:r>
        <w:rPr>
          <w:rFonts w:hint="eastAsia" w:ascii="宋体" w:hAnsi="宋体" w:cs="宋体"/>
          <w:color w:val="000000"/>
          <w:kern w:val="0"/>
          <w:sz w:val="30"/>
          <w:szCs w:val="30"/>
          <w:highlight w:val="none"/>
        </w:rPr>
        <w:t>年</w:t>
      </w:r>
      <w:r>
        <w:rPr>
          <w:rFonts w:hint="eastAsia" w:ascii="宋体" w:hAnsi="宋体" w:cs="宋体"/>
          <w:color w:val="000000"/>
          <w:kern w:val="0"/>
          <w:sz w:val="30"/>
          <w:szCs w:val="30"/>
          <w:highlight w:val="none"/>
          <w:u w:val="single" w:color="auto"/>
          <w:lang w:val="en-US" w:eastAsia="zh-CN"/>
        </w:rPr>
        <w:t xml:space="preserve">   </w:t>
      </w:r>
      <w:r>
        <w:rPr>
          <w:rFonts w:hint="eastAsia" w:ascii="宋体" w:hAnsi="宋体" w:cs="宋体"/>
          <w:color w:val="000000"/>
          <w:kern w:val="0"/>
          <w:sz w:val="30"/>
          <w:szCs w:val="30"/>
          <w:highlight w:val="none"/>
        </w:rPr>
        <w:t>月</w:t>
      </w:r>
      <w:r>
        <w:rPr>
          <w:rFonts w:hint="eastAsia" w:ascii="宋体" w:hAnsi="宋体" w:cs="宋体"/>
          <w:color w:val="000000"/>
          <w:kern w:val="0"/>
          <w:sz w:val="30"/>
          <w:szCs w:val="30"/>
          <w:highlight w:val="none"/>
          <w:u w:val="single" w:color="auto"/>
          <w:lang w:val="en-US" w:eastAsia="zh-CN"/>
        </w:rPr>
        <w:t xml:space="preserve">  </w:t>
      </w:r>
      <w:r>
        <w:rPr>
          <w:rFonts w:hint="eastAsia" w:ascii="宋体" w:hAnsi="宋体" w:cs="宋体"/>
          <w:color w:val="000000"/>
          <w:kern w:val="0"/>
          <w:sz w:val="30"/>
          <w:szCs w:val="30"/>
          <w:highlight w:val="none"/>
        </w:rPr>
        <w:t>日</w:t>
      </w:r>
    </w:p>
    <w:p w14:paraId="3BBBEB8C">
      <w:pPr>
        <w:pStyle w:val="39"/>
        <w:spacing w:line="360" w:lineRule="auto"/>
        <w:jc w:val="both"/>
        <w:rPr>
          <w:rFonts w:hAnsi="宋体"/>
          <w:color w:val="auto"/>
          <w:sz w:val="28"/>
          <w:szCs w:val="28"/>
        </w:rPr>
      </w:pPr>
    </w:p>
    <w:p w14:paraId="26697D15">
      <w:pPr>
        <w:widowControl w:val="0"/>
        <w:tabs>
          <w:tab w:val="left" w:pos="9365"/>
        </w:tabs>
        <w:snapToGrid w:val="0"/>
        <w:spacing w:before="56" w:after="56" w:line="560" w:lineRule="atLeast"/>
        <w:jc w:val="left"/>
        <w:textAlignment w:val="top"/>
        <w:rPr>
          <w:color w:val="auto"/>
          <w:sz w:val="28"/>
        </w:rPr>
      </w:pPr>
      <w:r>
        <w:rPr>
          <w:rFonts w:ascii="宋体" w:cs="楷体_GB2312"/>
          <w:b/>
          <w:bCs/>
          <w:color w:val="auto"/>
          <w:sz w:val="44"/>
          <w:szCs w:val="44"/>
          <w:lang w:val="zh-CN"/>
        </w:rPr>
        <w:br w:type="page"/>
      </w:r>
      <w:bookmarkStart w:id="38" w:name="OLE_LINK35"/>
      <w:bookmarkStart w:id="39" w:name="OLE_LINK10"/>
    </w:p>
    <w:p w14:paraId="366C97E7">
      <w:pPr>
        <w:spacing w:line="351" w:lineRule="atLeast"/>
        <w:ind w:left="419"/>
        <w:jc w:val="center"/>
        <w:rPr>
          <w:rFonts w:ascii="黑体" w:eastAsia="黑体"/>
          <w:b/>
          <w:color w:val="auto"/>
          <w:spacing w:val="60"/>
          <w:sz w:val="36"/>
          <w:szCs w:val="36"/>
        </w:rPr>
      </w:pPr>
      <w:r>
        <w:rPr>
          <w:rFonts w:hint="eastAsia" w:ascii="黑体" w:eastAsia="黑体"/>
          <w:b/>
          <w:color w:val="auto"/>
          <w:spacing w:val="60"/>
          <w:sz w:val="36"/>
          <w:szCs w:val="36"/>
        </w:rPr>
        <w:t>一、投标书</w:t>
      </w:r>
      <w:bookmarkEnd w:id="38"/>
    </w:p>
    <w:bookmarkEnd w:id="39"/>
    <w:p w14:paraId="485C6664">
      <w:pPr>
        <w:widowControl w:val="0"/>
        <w:snapToGrid w:val="0"/>
        <w:spacing w:line="560" w:lineRule="exact"/>
        <w:rPr>
          <w:color w:val="auto"/>
          <w:sz w:val="28"/>
        </w:rPr>
      </w:pPr>
    </w:p>
    <w:p w14:paraId="11D31B29">
      <w:pPr>
        <w:widowControl w:val="0"/>
        <w:snapToGrid w:val="0"/>
        <w:spacing w:line="360" w:lineRule="auto"/>
        <w:rPr>
          <w:rFonts w:hint="eastAsia" w:eastAsia="宋体"/>
          <w:color w:val="auto"/>
          <w:sz w:val="24"/>
          <w:szCs w:val="24"/>
          <w:lang w:eastAsia="zh-CN"/>
        </w:rPr>
      </w:pPr>
      <w:r>
        <w:rPr>
          <w:rFonts w:hint="eastAsia"/>
          <w:color w:val="auto"/>
          <w:sz w:val="24"/>
          <w:szCs w:val="24"/>
        </w:rPr>
        <w:t>致：</w:t>
      </w:r>
      <w:r>
        <w:rPr>
          <w:rFonts w:hint="eastAsia"/>
          <w:color w:val="auto"/>
          <w:sz w:val="24"/>
          <w:szCs w:val="24"/>
          <w:lang w:eastAsia="zh-CN"/>
        </w:rPr>
        <w:t>中弘天合工程咨询有限公司</w:t>
      </w:r>
    </w:p>
    <w:p w14:paraId="2D099AA9">
      <w:pPr>
        <w:widowControl w:val="0"/>
        <w:snapToGrid w:val="0"/>
        <w:spacing w:line="360" w:lineRule="auto"/>
        <w:ind w:firstLine="578"/>
        <w:textAlignment w:val="top"/>
        <w:rPr>
          <w:color w:val="auto"/>
          <w:sz w:val="24"/>
          <w:szCs w:val="24"/>
        </w:rPr>
      </w:pPr>
      <w:r>
        <w:rPr>
          <w:rFonts w:hint="eastAsia"/>
          <w:color w:val="auto"/>
          <w:sz w:val="24"/>
          <w:szCs w:val="24"/>
        </w:rPr>
        <w:t>根据贵方竞争性</w:t>
      </w:r>
      <w:r>
        <w:rPr>
          <w:rFonts w:hint="eastAsia"/>
          <w:color w:val="auto"/>
          <w:sz w:val="24"/>
          <w:szCs w:val="24"/>
          <w:lang w:eastAsia="zh-CN"/>
        </w:rPr>
        <w:t>谈判</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w:t>
      </w:r>
      <w:r>
        <w:rPr>
          <w:rFonts w:hint="eastAsia"/>
          <w:color w:val="auto"/>
          <w:sz w:val="24"/>
          <w:szCs w:val="24"/>
          <w:lang w:eastAsia="zh-CN"/>
        </w:rPr>
        <w:t>谈判</w:t>
      </w:r>
      <w:r>
        <w:rPr>
          <w:rFonts w:hint="eastAsia"/>
          <w:color w:val="auto"/>
          <w:sz w:val="24"/>
          <w:szCs w:val="24"/>
        </w:rPr>
        <w:t>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14:paraId="391CFB4E">
      <w:pPr>
        <w:adjustRightInd w:val="0"/>
        <w:snapToGrid w:val="0"/>
        <w:spacing w:before="156" w:beforeLines="50" w:line="300" w:lineRule="auto"/>
        <w:ind w:firstLine="539"/>
        <w:textAlignment w:val="top"/>
        <w:rPr>
          <w:rFonts w:asciiTheme="minorEastAsia" w:hAnsiTheme="minorEastAsia" w:eastAsiaTheme="minorEastAsia"/>
          <w:b/>
          <w:color w:val="auto"/>
        </w:rPr>
      </w:pPr>
      <w:r>
        <w:rPr>
          <w:rFonts w:hint="eastAsia" w:cs="楷体_GB2312" w:asciiTheme="minorEastAsia" w:hAnsiTheme="minorEastAsia" w:eastAsiaTheme="minorEastAsia"/>
          <w:b/>
          <w:color w:val="auto"/>
          <w:sz w:val="24"/>
          <w:lang w:val="zh-CN"/>
        </w:rPr>
        <w:t>响应</w:t>
      </w:r>
      <w:r>
        <w:rPr>
          <w:rFonts w:cs="楷体_GB2312" w:asciiTheme="minorEastAsia" w:hAnsiTheme="minorEastAsia" w:eastAsiaTheme="minorEastAsia"/>
          <w:b/>
          <w:color w:val="auto"/>
          <w:sz w:val="24"/>
          <w:lang w:val="zh-CN"/>
        </w:rPr>
        <w:t>文件</w:t>
      </w:r>
    </w:p>
    <w:p w14:paraId="28A69272">
      <w:pPr>
        <w:spacing w:before="100" w:line="220" w:lineRule="auto"/>
        <w:ind w:left="55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宋体" w:hAnsi="宋体" w:eastAsia="宋体" w:cs="宋体"/>
          <w:spacing w:val="-7"/>
          <w:sz w:val="24"/>
          <w:szCs w:val="24"/>
        </w:rPr>
        <w:t>）投标书。</w:t>
      </w:r>
    </w:p>
    <w:p w14:paraId="1001671E">
      <w:pPr>
        <w:spacing w:before="104" w:line="221" w:lineRule="auto"/>
        <w:ind w:left="554"/>
        <w:rPr>
          <w:rFonts w:ascii="宋体" w:hAnsi="宋体" w:eastAsia="宋体" w:cs="宋体"/>
          <w:sz w:val="24"/>
          <w:szCs w:val="24"/>
        </w:rPr>
      </w:pPr>
      <w:r>
        <w:rPr>
          <w:rFonts w:ascii="宋体" w:hAnsi="宋体" w:eastAsia="宋体" w:cs="宋体"/>
          <w:spacing w:val="-2"/>
          <w:sz w:val="24"/>
          <w:szCs w:val="24"/>
        </w:rPr>
        <w:t>（2）开标一览表</w:t>
      </w:r>
    </w:p>
    <w:p w14:paraId="7B1CC266">
      <w:pPr>
        <w:spacing w:before="102" w:line="219" w:lineRule="auto"/>
        <w:ind w:left="554"/>
        <w:rPr>
          <w:rFonts w:ascii="宋体" w:hAnsi="宋体" w:eastAsia="宋体" w:cs="宋体"/>
          <w:sz w:val="24"/>
          <w:szCs w:val="24"/>
        </w:rPr>
      </w:pPr>
      <w:r>
        <w:rPr>
          <w:rFonts w:ascii="宋体" w:hAnsi="宋体" w:eastAsia="宋体" w:cs="宋体"/>
          <w:spacing w:val="-2"/>
          <w:sz w:val="24"/>
          <w:szCs w:val="24"/>
        </w:rPr>
        <w:t>（3）分项报价（即投标人的投标报价明细表）</w:t>
      </w:r>
    </w:p>
    <w:p w14:paraId="62DBA940">
      <w:pPr>
        <w:spacing w:before="105" w:line="220" w:lineRule="auto"/>
        <w:ind w:left="554"/>
        <w:rPr>
          <w:rFonts w:ascii="宋体" w:hAnsi="宋体" w:eastAsia="宋体" w:cs="宋体"/>
          <w:sz w:val="24"/>
          <w:szCs w:val="24"/>
        </w:rPr>
      </w:pPr>
      <w:r>
        <w:rPr>
          <w:rFonts w:ascii="宋体" w:hAnsi="宋体" w:eastAsia="宋体" w:cs="宋体"/>
          <w:spacing w:val="-2"/>
          <w:sz w:val="24"/>
          <w:szCs w:val="24"/>
        </w:rPr>
        <w:t>（4）服务方案及服务质量承诺</w:t>
      </w:r>
    </w:p>
    <w:p w14:paraId="45B718E3">
      <w:pPr>
        <w:spacing w:before="102" w:line="220" w:lineRule="auto"/>
        <w:ind w:left="55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）服务拟投入设备清单及其技术参数</w:t>
      </w:r>
    </w:p>
    <w:p w14:paraId="5F2B935B">
      <w:pPr>
        <w:spacing w:before="103" w:line="220" w:lineRule="auto"/>
        <w:ind w:left="554"/>
        <w:rPr>
          <w:rFonts w:ascii="宋体" w:hAnsi="宋体" w:eastAsia="宋体" w:cs="宋体"/>
          <w:sz w:val="24"/>
          <w:szCs w:val="24"/>
        </w:rPr>
      </w:pPr>
      <w:r>
        <w:rPr>
          <w:rFonts w:ascii="宋体" w:hAnsi="宋体" w:eastAsia="宋体" w:cs="宋体"/>
          <w:spacing w:val="-2"/>
          <w:sz w:val="24"/>
          <w:szCs w:val="24"/>
        </w:rPr>
        <w:t>（6）服务拟投入的人员情况表</w:t>
      </w:r>
    </w:p>
    <w:p w14:paraId="09336546">
      <w:pPr>
        <w:spacing w:before="104" w:line="220" w:lineRule="auto"/>
        <w:ind w:left="554"/>
        <w:rPr>
          <w:rFonts w:ascii="宋体" w:hAnsi="宋体" w:eastAsia="宋体" w:cs="宋体"/>
          <w:sz w:val="24"/>
          <w:szCs w:val="24"/>
        </w:rPr>
      </w:pPr>
      <w:r>
        <w:rPr>
          <w:rFonts w:ascii="宋体" w:hAnsi="宋体" w:eastAsia="宋体" w:cs="宋体"/>
          <w:spacing w:val="-5"/>
          <w:sz w:val="24"/>
          <w:szCs w:val="24"/>
        </w:rPr>
        <w:t>（7）偏差表</w:t>
      </w:r>
    </w:p>
    <w:p w14:paraId="3604120F">
      <w:pPr>
        <w:spacing w:before="102" w:line="220" w:lineRule="auto"/>
        <w:ind w:left="554"/>
        <w:rPr>
          <w:rFonts w:ascii="宋体" w:hAnsi="宋体" w:eastAsia="宋体" w:cs="宋体"/>
          <w:sz w:val="24"/>
          <w:szCs w:val="24"/>
        </w:rPr>
      </w:pPr>
      <w:r>
        <w:rPr>
          <w:rFonts w:ascii="宋体" w:hAnsi="宋体" w:eastAsia="宋体" w:cs="宋体"/>
          <w:spacing w:val="-4"/>
          <w:sz w:val="24"/>
          <w:szCs w:val="24"/>
        </w:rPr>
        <w:t>（8）反商业贿赂承诺书。</w:t>
      </w:r>
    </w:p>
    <w:p w14:paraId="4864D597">
      <w:pPr>
        <w:spacing w:before="103" w:line="220" w:lineRule="auto"/>
        <w:ind w:left="554"/>
        <w:rPr>
          <w:rFonts w:ascii="宋体" w:hAnsi="宋体" w:eastAsia="宋体" w:cs="宋体"/>
          <w:sz w:val="24"/>
          <w:szCs w:val="24"/>
        </w:rPr>
      </w:pPr>
      <w:r>
        <w:rPr>
          <w:rFonts w:ascii="宋体" w:hAnsi="宋体" w:eastAsia="宋体" w:cs="宋体"/>
          <w:spacing w:val="-5"/>
          <w:sz w:val="24"/>
          <w:szCs w:val="24"/>
        </w:rPr>
        <w:t>（9）履约承诺书。</w:t>
      </w:r>
    </w:p>
    <w:p w14:paraId="3F245C2D">
      <w:pPr>
        <w:spacing w:before="103" w:line="220" w:lineRule="auto"/>
        <w:ind w:left="554"/>
        <w:rPr>
          <w:rFonts w:ascii="宋体" w:hAnsi="宋体" w:eastAsia="宋体" w:cs="宋体"/>
          <w:sz w:val="24"/>
          <w:szCs w:val="24"/>
        </w:rPr>
      </w:pPr>
      <w:r>
        <w:rPr>
          <w:rFonts w:ascii="宋体" w:hAnsi="宋体" w:eastAsia="宋体" w:cs="宋体"/>
          <w:spacing w:val="-1"/>
          <w:sz w:val="24"/>
          <w:szCs w:val="24"/>
        </w:rPr>
        <w:t>（10）招标项目要求及采购需求所需的其他材料（按条</w:t>
      </w:r>
      <w:r>
        <w:rPr>
          <w:rFonts w:ascii="宋体" w:hAnsi="宋体" w:eastAsia="宋体" w:cs="宋体"/>
          <w:spacing w:val="-2"/>
          <w:sz w:val="24"/>
          <w:szCs w:val="24"/>
        </w:rPr>
        <w:t>款需要）</w:t>
      </w:r>
    </w:p>
    <w:p w14:paraId="6F02B405">
      <w:pPr>
        <w:spacing w:before="103" w:line="220" w:lineRule="auto"/>
        <w:ind w:left="554"/>
        <w:rPr>
          <w:rFonts w:ascii="宋体" w:hAnsi="宋体" w:eastAsia="宋体" w:cs="宋体"/>
          <w:sz w:val="24"/>
          <w:szCs w:val="24"/>
        </w:rPr>
      </w:pPr>
      <w:r>
        <w:rPr>
          <w:rFonts w:ascii="宋体" w:hAnsi="宋体" w:eastAsia="宋体" w:cs="宋体"/>
          <w:spacing w:val="-2"/>
          <w:sz w:val="24"/>
          <w:szCs w:val="24"/>
        </w:rPr>
        <w:t>（11）投标人须知所需的其他材料（按条款需要）</w:t>
      </w:r>
    </w:p>
    <w:p w14:paraId="01046704">
      <w:pPr>
        <w:spacing w:before="103" w:line="220" w:lineRule="auto"/>
        <w:ind w:left="554"/>
        <w:rPr>
          <w:rFonts w:ascii="宋体" w:hAnsi="宋体" w:eastAsia="宋体" w:cs="宋体"/>
          <w:sz w:val="24"/>
          <w:szCs w:val="24"/>
        </w:rPr>
      </w:pPr>
      <w:r>
        <w:rPr>
          <w:rFonts w:ascii="宋体" w:hAnsi="宋体" w:eastAsia="宋体" w:cs="宋体"/>
          <w:spacing w:val="-2"/>
          <w:sz w:val="24"/>
          <w:szCs w:val="24"/>
        </w:rPr>
        <w:t>（12）评标办法所需的其他材料（按条款需要）</w:t>
      </w:r>
    </w:p>
    <w:p w14:paraId="3E4734D5">
      <w:pPr>
        <w:spacing w:before="103" w:line="220" w:lineRule="auto"/>
        <w:ind w:left="536"/>
        <w:rPr>
          <w:rFonts w:ascii="宋体" w:hAnsi="宋体" w:eastAsia="宋体" w:cs="宋体"/>
          <w:sz w:val="24"/>
          <w:szCs w:val="24"/>
        </w:rPr>
      </w:pPr>
      <w:r>
        <w:rPr>
          <w:rFonts w:ascii="宋体" w:hAnsi="宋体" w:eastAsia="宋体" w:cs="宋体"/>
          <w:spacing w:val="-2"/>
          <w:sz w:val="24"/>
          <w:szCs w:val="24"/>
        </w:rPr>
        <w:t>（13）投标人认为有必要提交的其它材料</w:t>
      </w:r>
    </w:p>
    <w:p w14:paraId="288472E3">
      <w:pPr>
        <w:adjustRightInd w:val="0"/>
        <w:snapToGrid w:val="0"/>
        <w:spacing w:before="156" w:beforeLines="50" w:line="300" w:lineRule="auto"/>
        <w:ind w:firstLine="539"/>
        <w:textAlignment w:val="top"/>
        <w:rPr>
          <w:rFonts w:cs="楷体_GB2312" w:asciiTheme="minorEastAsia" w:hAnsiTheme="minorEastAsia" w:eastAsiaTheme="minorEastAsia"/>
          <w:b/>
          <w:color w:val="auto"/>
          <w:sz w:val="24"/>
          <w:lang w:val="zh-CN"/>
        </w:rPr>
      </w:pPr>
      <w:r>
        <w:rPr>
          <w:rFonts w:hint="eastAsia" w:cs="楷体_GB2312" w:asciiTheme="minorEastAsia" w:hAnsiTheme="minorEastAsia" w:eastAsiaTheme="minorEastAsia"/>
          <w:b/>
          <w:color w:val="auto"/>
          <w:sz w:val="24"/>
          <w:lang w:val="zh-CN"/>
        </w:rPr>
        <w:t>资</w:t>
      </w:r>
      <w:r>
        <w:rPr>
          <w:rFonts w:cs="楷体_GB2312" w:asciiTheme="minorEastAsia" w:hAnsiTheme="minorEastAsia" w:eastAsiaTheme="minorEastAsia"/>
          <w:b/>
          <w:color w:val="auto"/>
          <w:sz w:val="24"/>
          <w:lang w:val="zh-CN"/>
        </w:rPr>
        <w:t>格性</w:t>
      </w:r>
      <w:r>
        <w:rPr>
          <w:rFonts w:hint="eastAsia" w:cs="楷体_GB2312" w:asciiTheme="minorEastAsia" w:hAnsiTheme="minorEastAsia" w:eastAsiaTheme="minorEastAsia"/>
          <w:b/>
          <w:color w:val="auto"/>
          <w:sz w:val="24"/>
          <w:lang w:val="zh-CN"/>
        </w:rPr>
        <w:t>证明文件</w:t>
      </w:r>
    </w:p>
    <w:p w14:paraId="1B1CF61F">
      <w:pPr>
        <w:spacing w:before="103" w:line="220" w:lineRule="auto"/>
        <w:ind w:left="554"/>
        <w:rPr>
          <w:rFonts w:ascii="宋体" w:hAnsi="宋体" w:eastAsia="宋体" w:cs="宋体"/>
          <w:sz w:val="24"/>
          <w:szCs w:val="24"/>
        </w:rPr>
      </w:pPr>
      <w:r>
        <w:rPr>
          <w:rFonts w:ascii="宋体" w:hAnsi="宋体" w:eastAsia="宋体" w:cs="宋体"/>
          <w:spacing w:val="-4"/>
          <w:sz w:val="24"/>
          <w:szCs w:val="24"/>
        </w:rPr>
        <w:t>（14）关于资格的声明函</w:t>
      </w:r>
    </w:p>
    <w:p w14:paraId="2CD64002">
      <w:pPr>
        <w:spacing w:before="102" w:line="220" w:lineRule="auto"/>
        <w:ind w:left="554"/>
        <w:rPr>
          <w:rFonts w:ascii="宋体" w:hAnsi="宋体" w:eastAsia="宋体" w:cs="宋体"/>
          <w:sz w:val="24"/>
          <w:szCs w:val="24"/>
        </w:rPr>
      </w:pPr>
      <w:r>
        <w:rPr>
          <w:rFonts w:ascii="宋体" w:hAnsi="宋体" w:eastAsia="宋体" w:cs="宋体"/>
          <w:spacing w:val="-2"/>
          <w:sz w:val="24"/>
          <w:szCs w:val="24"/>
        </w:rPr>
        <w:t>（15）资格要求相关证明材料（文件）</w:t>
      </w:r>
    </w:p>
    <w:p w14:paraId="0E25ABC6">
      <w:pPr>
        <w:widowControl w:val="0"/>
        <w:snapToGrid w:val="0"/>
        <w:spacing w:line="360" w:lineRule="auto"/>
        <w:ind w:firstLine="578"/>
        <w:textAlignment w:val="top"/>
        <w:rPr>
          <w:rFonts w:asciiTheme="minorEastAsia" w:hAnsiTheme="minorEastAsia" w:eastAsiaTheme="minorEastAsia"/>
          <w:color w:val="auto"/>
          <w:sz w:val="24"/>
          <w:szCs w:val="24"/>
        </w:rPr>
      </w:pPr>
    </w:p>
    <w:p w14:paraId="1B0F35E2">
      <w:pPr>
        <w:widowControl w:val="0"/>
        <w:snapToGrid w:val="0"/>
        <w:spacing w:beforeLines="50" w:line="300" w:lineRule="auto"/>
        <w:ind w:firstLine="556"/>
        <w:rPr>
          <w:color w:val="auto"/>
          <w:sz w:val="24"/>
          <w:szCs w:val="24"/>
        </w:rPr>
      </w:pPr>
      <w:r>
        <w:rPr>
          <w:rFonts w:hint="eastAsia"/>
          <w:color w:val="auto"/>
          <w:sz w:val="24"/>
          <w:szCs w:val="24"/>
        </w:rPr>
        <w:t>据此函，签字代表宣布同意如下：</w:t>
      </w:r>
    </w:p>
    <w:p w14:paraId="220EA360">
      <w:pPr>
        <w:widowControl w:val="0"/>
        <w:snapToGrid w:val="0"/>
        <w:spacing w:beforeLines="50" w:line="300" w:lineRule="auto"/>
        <w:ind w:firstLine="556"/>
        <w:rPr>
          <w:color w:val="auto"/>
          <w:sz w:val="24"/>
          <w:szCs w:val="24"/>
        </w:rPr>
      </w:pPr>
      <w:r>
        <w:rPr>
          <w:color w:val="auto"/>
          <w:sz w:val="24"/>
          <w:szCs w:val="24"/>
        </w:rPr>
        <w:t>1.</w:t>
      </w:r>
      <w:r>
        <w:rPr>
          <w:rFonts w:hint="eastAsia"/>
          <w:color w:val="auto"/>
          <w:sz w:val="24"/>
          <w:szCs w:val="24"/>
        </w:rPr>
        <w:t>所附“《响应文件》开标一览表”中规定的应提供和交付的投标总价为：</w:t>
      </w:r>
    </w:p>
    <w:p w14:paraId="028402C8">
      <w:pPr>
        <w:widowControl w:val="0"/>
        <w:snapToGrid w:val="0"/>
        <w:spacing w:beforeLines="50" w:line="300" w:lineRule="auto"/>
        <w:ind w:left="550" w:leftChars="262"/>
        <w:rPr>
          <w:color w:val="auto"/>
          <w:sz w:val="24"/>
          <w:szCs w:val="24"/>
        </w:rPr>
      </w:pPr>
      <w:r>
        <w:rPr>
          <w:rFonts w:hint="eastAsia"/>
          <w:color w:val="auto"/>
          <w:sz w:val="24"/>
          <w:szCs w:val="24"/>
        </w:rPr>
        <w:t>人民币</w:t>
      </w:r>
      <w:r>
        <w:rPr>
          <w:color w:val="auto"/>
          <w:sz w:val="24"/>
          <w:szCs w:val="24"/>
          <w:u w:val="single"/>
        </w:rPr>
        <w:tab/>
      </w:r>
      <w:r>
        <w:rPr>
          <w:rFonts w:hint="eastAsia"/>
          <w:color w:val="auto"/>
          <w:sz w:val="24"/>
          <w:szCs w:val="24"/>
          <w:u w:val="single"/>
        </w:rPr>
        <w:t xml:space="preserve">  </w:t>
      </w:r>
      <w:r>
        <w:rPr>
          <w:rFonts w:hint="eastAsia"/>
          <w:color w:val="auto"/>
          <w:sz w:val="24"/>
          <w:szCs w:val="24"/>
        </w:rPr>
        <w:t>，即</w:t>
      </w:r>
      <w:r>
        <w:rPr>
          <w:color w:val="auto"/>
          <w:sz w:val="24"/>
          <w:szCs w:val="24"/>
          <w:u w:val="single"/>
        </w:rPr>
        <w:tab/>
      </w:r>
      <w:r>
        <w:rPr>
          <w:color w:val="auto"/>
          <w:sz w:val="24"/>
          <w:szCs w:val="24"/>
          <w:u w:val="single"/>
        </w:rPr>
        <w:tab/>
      </w:r>
      <w:r>
        <w:rPr>
          <w:color w:val="auto"/>
          <w:sz w:val="24"/>
          <w:szCs w:val="24"/>
          <w:u w:val="single"/>
        </w:rPr>
        <w:tab/>
      </w:r>
      <w:r>
        <w:rPr>
          <w:rFonts w:hint="eastAsia"/>
          <w:color w:val="auto"/>
          <w:sz w:val="24"/>
          <w:szCs w:val="24"/>
        </w:rPr>
        <w:t>（文字表述），交验期：</w:t>
      </w:r>
      <w:r>
        <w:rPr>
          <w:rFonts w:hint="eastAsia"/>
          <w:color w:val="auto"/>
          <w:sz w:val="24"/>
          <w:szCs w:val="24"/>
          <w:u w:val="single"/>
        </w:rPr>
        <w:t xml:space="preserve">                   </w:t>
      </w:r>
      <w:r>
        <w:rPr>
          <w:rFonts w:hint="eastAsia"/>
          <w:color w:val="auto"/>
          <w:sz w:val="24"/>
          <w:szCs w:val="24"/>
        </w:rPr>
        <w:t>，交验地点：</w:t>
      </w:r>
      <w:r>
        <w:rPr>
          <w:rFonts w:hint="eastAsia"/>
          <w:color w:val="auto"/>
          <w:sz w:val="24"/>
          <w:szCs w:val="24"/>
          <w:u w:val="single"/>
        </w:rPr>
        <w:t xml:space="preserve">                                 </w:t>
      </w:r>
      <w:r>
        <w:rPr>
          <w:rFonts w:hint="eastAsia"/>
          <w:color w:val="auto"/>
          <w:sz w:val="24"/>
          <w:szCs w:val="24"/>
        </w:rPr>
        <w:t>。</w:t>
      </w:r>
    </w:p>
    <w:p w14:paraId="3C9C56F7">
      <w:pPr>
        <w:widowControl w:val="0"/>
        <w:snapToGrid w:val="0"/>
        <w:spacing w:beforeLines="50" w:line="300" w:lineRule="auto"/>
        <w:ind w:firstLine="556"/>
        <w:rPr>
          <w:color w:val="auto"/>
          <w:sz w:val="24"/>
          <w:szCs w:val="24"/>
        </w:rPr>
      </w:pPr>
      <w:r>
        <w:rPr>
          <w:color w:val="auto"/>
          <w:sz w:val="24"/>
          <w:szCs w:val="24"/>
        </w:rPr>
        <w:t>2.</w:t>
      </w:r>
      <w:r>
        <w:rPr>
          <w:rFonts w:hint="eastAsia"/>
          <w:color w:val="auto"/>
          <w:sz w:val="24"/>
          <w:szCs w:val="24"/>
        </w:rPr>
        <w:t>如果我单位的投标书被接受，我单位将履行《</w:t>
      </w:r>
      <w:r>
        <w:rPr>
          <w:rFonts w:hint="eastAsia"/>
          <w:color w:val="auto"/>
          <w:sz w:val="24"/>
          <w:szCs w:val="24"/>
          <w:lang w:eastAsia="zh-CN"/>
        </w:rPr>
        <w:t>谈判</w:t>
      </w:r>
      <w:r>
        <w:rPr>
          <w:rFonts w:hint="eastAsia"/>
          <w:color w:val="auto"/>
          <w:sz w:val="24"/>
          <w:szCs w:val="24"/>
        </w:rPr>
        <w:t>文件》中规定的每一项要求，按期、按质、按量履行合同。</w:t>
      </w:r>
    </w:p>
    <w:p w14:paraId="22C528BB">
      <w:pPr>
        <w:widowControl w:val="0"/>
        <w:snapToGrid w:val="0"/>
        <w:spacing w:beforeLines="50" w:line="300" w:lineRule="auto"/>
        <w:ind w:firstLine="556"/>
        <w:rPr>
          <w:color w:val="auto"/>
          <w:sz w:val="24"/>
          <w:szCs w:val="24"/>
        </w:rPr>
      </w:pPr>
      <w:r>
        <w:rPr>
          <w:color w:val="auto"/>
          <w:sz w:val="24"/>
          <w:szCs w:val="24"/>
        </w:rPr>
        <w:t xml:space="preserve">3. </w:t>
      </w:r>
      <w:r>
        <w:rPr>
          <w:rFonts w:hint="eastAsia"/>
          <w:color w:val="auto"/>
          <w:sz w:val="24"/>
          <w:szCs w:val="24"/>
        </w:rPr>
        <w:t>我单位愿按《中华人民共和国民法典》履行我单位的全部责任。</w:t>
      </w:r>
    </w:p>
    <w:p w14:paraId="3F1F0207">
      <w:pPr>
        <w:widowControl w:val="0"/>
        <w:snapToGrid w:val="0"/>
        <w:spacing w:beforeLines="50" w:line="300" w:lineRule="auto"/>
        <w:ind w:firstLine="556"/>
        <w:rPr>
          <w:color w:val="auto"/>
          <w:sz w:val="24"/>
          <w:szCs w:val="24"/>
        </w:rPr>
      </w:pPr>
      <w:r>
        <w:rPr>
          <w:color w:val="auto"/>
          <w:sz w:val="24"/>
          <w:szCs w:val="24"/>
        </w:rPr>
        <w:t xml:space="preserve">4. </w:t>
      </w:r>
      <w:r>
        <w:rPr>
          <w:rFonts w:hint="eastAsia"/>
          <w:color w:val="auto"/>
          <w:sz w:val="24"/>
          <w:szCs w:val="24"/>
        </w:rPr>
        <w:t>我单位已详细阅读并完全理解、同意《</w:t>
      </w:r>
      <w:r>
        <w:rPr>
          <w:rFonts w:hint="eastAsia"/>
          <w:color w:val="auto"/>
          <w:sz w:val="24"/>
          <w:szCs w:val="24"/>
          <w:lang w:eastAsia="zh-CN"/>
        </w:rPr>
        <w:t>谈判</w:t>
      </w:r>
      <w:r>
        <w:rPr>
          <w:rFonts w:hint="eastAsia"/>
          <w:color w:val="auto"/>
          <w:sz w:val="24"/>
          <w:szCs w:val="24"/>
        </w:rPr>
        <w:t>文件》的全部内容，包括澄清、修改、补充文件（竞争性</w:t>
      </w:r>
      <w:r>
        <w:rPr>
          <w:rFonts w:hint="eastAsia"/>
          <w:color w:val="auto"/>
          <w:sz w:val="24"/>
          <w:szCs w:val="24"/>
          <w:lang w:eastAsia="zh-CN"/>
        </w:rPr>
        <w:t>谈判</w:t>
      </w:r>
      <w:r>
        <w:rPr>
          <w:rFonts w:hint="eastAsia"/>
          <w:color w:val="auto"/>
          <w:sz w:val="24"/>
          <w:szCs w:val="24"/>
        </w:rPr>
        <w:t>公告所述媒体公布）以及全部参考资料和有关附件；除我单位在《</w:t>
      </w:r>
      <w:r>
        <w:rPr>
          <w:rFonts w:hint="eastAsia"/>
          <w:color w:val="auto"/>
          <w:sz w:val="24"/>
          <w:szCs w:val="24"/>
          <w:lang w:eastAsia="zh-CN"/>
        </w:rPr>
        <w:t>谈判</w:t>
      </w:r>
      <w:r>
        <w:rPr>
          <w:rFonts w:hint="eastAsia"/>
          <w:color w:val="auto"/>
          <w:sz w:val="24"/>
          <w:szCs w:val="24"/>
        </w:rPr>
        <w:t>文件》规定期间内书面提出的疑问外，我单位放弃对这方面有不明及误解的权力。</w:t>
      </w:r>
    </w:p>
    <w:p w14:paraId="36BA62C1">
      <w:pPr>
        <w:widowControl w:val="0"/>
        <w:snapToGrid w:val="0"/>
        <w:spacing w:beforeLines="50" w:line="300" w:lineRule="auto"/>
        <w:ind w:firstLine="556"/>
        <w:rPr>
          <w:color w:val="auto"/>
          <w:sz w:val="24"/>
          <w:szCs w:val="24"/>
        </w:rPr>
      </w:pPr>
      <w:r>
        <w:rPr>
          <w:color w:val="auto"/>
          <w:sz w:val="24"/>
          <w:szCs w:val="24"/>
        </w:rPr>
        <w:t>5.</w:t>
      </w:r>
      <w:r>
        <w:rPr>
          <w:rFonts w:hint="eastAsia"/>
          <w:color w:val="auto"/>
          <w:sz w:val="24"/>
          <w:szCs w:val="24"/>
        </w:rPr>
        <w:t>《响应文件》自开启日起有效期为</w:t>
      </w:r>
      <w:r>
        <w:rPr>
          <w:color w:val="auto"/>
          <w:sz w:val="24"/>
          <w:szCs w:val="24"/>
        </w:rPr>
        <w:t>90</w:t>
      </w:r>
      <w:r>
        <w:rPr>
          <w:rFonts w:hint="eastAsia"/>
          <w:color w:val="auto"/>
          <w:sz w:val="24"/>
          <w:szCs w:val="24"/>
        </w:rPr>
        <w:t>日历天。</w:t>
      </w:r>
    </w:p>
    <w:p w14:paraId="5E527B9D">
      <w:pPr>
        <w:widowControl w:val="0"/>
        <w:snapToGrid w:val="0"/>
        <w:spacing w:beforeLines="50" w:line="300" w:lineRule="auto"/>
        <w:ind w:firstLine="556"/>
        <w:rPr>
          <w:color w:val="auto"/>
          <w:sz w:val="24"/>
          <w:szCs w:val="24"/>
        </w:rPr>
      </w:pPr>
      <w:r>
        <w:rPr>
          <w:rFonts w:hint="eastAsia"/>
          <w:color w:val="auto"/>
          <w:sz w:val="24"/>
          <w:szCs w:val="24"/>
        </w:rPr>
        <w:t>6.我单位承诺按照《</w:t>
      </w:r>
      <w:r>
        <w:rPr>
          <w:rFonts w:hint="eastAsia"/>
          <w:color w:val="auto"/>
          <w:sz w:val="24"/>
          <w:szCs w:val="24"/>
          <w:lang w:eastAsia="zh-CN"/>
        </w:rPr>
        <w:t>谈判</w:t>
      </w:r>
      <w:r>
        <w:rPr>
          <w:rFonts w:hint="eastAsia"/>
          <w:color w:val="auto"/>
          <w:sz w:val="24"/>
          <w:szCs w:val="24"/>
        </w:rPr>
        <w:t>文件》规定的付款方式执行。</w:t>
      </w:r>
    </w:p>
    <w:p w14:paraId="53313421">
      <w:pPr>
        <w:widowControl w:val="0"/>
        <w:snapToGrid w:val="0"/>
        <w:spacing w:beforeLines="50" w:line="300" w:lineRule="auto"/>
        <w:ind w:firstLine="556"/>
        <w:rPr>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lang w:eastAsia="zh-CN"/>
        </w:rPr>
        <w:t>谈判</w:t>
      </w:r>
      <w:r>
        <w:rPr>
          <w:rFonts w:hint="eastAsia"/>
          <w:color w:val="auto"/>
          <w:sz w:val="24"/>
          <w:szCs w:val="24"/>
        </w:rPr>
        <w:t>文件“第三章3.5.5 违背承诺的责任追究措施”，我单位承担相应法律责任及违约责任。</w:t>
      </w:r>
    </w:p>
    <w:p w14:paraId="67836A86">
      <w:pPr>
        <w:widowControl w:val="0"/>
        <w:snapToGrid w:val="0"/>
        <w:spacing w:beforeLines="50" w:line="300" w:lineRule="auto"/>
        <w:ind w:firstLine="556"/>
        <w:rPr>
          <w:color w:val="auto"/>
          <w:sz w:val="24"/>
          <w:szCs w:val="24"/>
        </w:rPr>
      </w:pPr>
      <w:r>
        <w:rPr>
          <w:rFonts w:hint="eastAsia"/>
          <w:color w:val="auto"/>
          <w:sz w:val="24"/>
          <w:szCs w:val="24"/>
        </w:rPr>
        <w:t>8</w:t>
      </w:r>
      <w:r>
        <w:rPr>
          <w:color w:val="auto"/>
          <w:sz w:val="24"/>
          <w:szCs w:val="24"/>
        </w:rPr>
        <w:t xml:space="preserve">. </w:t>
      </w:r>
      <w:r>
        <w:rPr>
          <w:rFonts w:hint="eastAsia"/>
          <w:color w:val="auto"/>
          <w:sz w:val="24"/>
          <w:szCs w:val="24"/>
        </w:rPr>
        <w:t>我单位同意提供按照贵方可能要求的与</w:t>
      </w:r>
      <w:r>
        <w:rPr>
          <w:rFonts w:hint="eastAsia"/>
          <w:color w:val="auto"/>
          <w:sz w:val="24"/>
          <w:szCs w:val="24"/>
          <w:lang w:eastAsia="zh-CN"/>
        </w:rPr>
        <w:t>谈判</w:t>
      </w:r>
      <w:r>
        <w:rPr>
          <w:rFonts w:hint="eastAsia"/>
          <w:color w:val="auto"/>
          <w:sz w:val="24"/>
          <w:szCs w:val="24"/>
        </w:rPr>
        <w:t>有关的一切数据或资料，理解贵方不一定要接受最低价的投标或收到的任何投标。</w:t>
      </w:r>
    </w:p>
    <w:p w14:paraId="14EAFBD2">
      <w:pPr>
        <w:widowControl w:val="0"/>
        <w:snapToGrid w:val="0"/>
        <w:spacing w:line="560" w:lineRule="exact"/>
        <w:ind w:firstLine="555"/>
        <w:rPr>
          <w:color w:val="auto"/>
          <w:sz w:val="24"/>
          <w:szCs w:val="24"/>
        </w:rPr>
      </w:pPr>
      <w:r>
        <w:rPr>
          <w:rFonts w:hint="eastAsia"/>
          <w:color w:val="auto"/>
          <w:sz w:val="24"/>
          <w:szCs w:val="24"/>
        </w:rPr>
        <w:t>9</w:t>
      </w:r>
      <w:r>
        <w:rPr>
          <w:color w:val="auto"/>
          <w:sz w:val="24"/>
          <w:szCs w:val="24"/>
        </w:rPr>
        <w:t>.</w:t>
      </w:r>
      <w:r>
        <w:rPr>
          <w:rFonts w:hint="eastAsia"/>
          <w:color w:val="auto"/>
          <w:sz w:val="24"/>
          <w:szCs w:val="24"/>
        </w:rPr>
        <w:t>与本投标有关的一切正式往来请寄：</w:t>
      </w:r>
    </w:p>
    <w:p w14:paraId="221F3708">
      <w:pPr>
        <w:widowControl w:val="0"/>
        <w:snapToGrid w:val="0"/>
        <w:spacing w:line="560" w:lineRule="exact"/>
        <w:ind w:firstLine="555"/>
        <w:jc w:val="left"/>
        <w:rPr>
          <w:color w:val="auto"/>
          <w:sz w:val="24"/>
          <w:szCs w:val="24"/>
        </w:rPr>
      </w:pPr>
      <w:r>
        <w:rPr>
          <w:rFonts w:hint="eastAsia"/>
          <w:color w:val="auto"/>
          <w:sz w:val="24"/>
          <w:szCs w:val="24"/>
        </w:rPr>
        <w:t>地址：</w:t>
      </w:r>
      <w:r>
        <w:rPr>
          <w:color w:val="auto"/>
          <w:sz w:val="24"/>
          <w:szCs w:val="24"/>
        </w:rPr>
        <w:tab/>
      </w:r>
      <w:r>
        <w:rPr>
          <w:color w:val="auto"/>
          <w:sz w:val="24"/>
          <w:szCs w:val="24"/>
        </w:rPr>
        <w:tab/>
      </w:r>
      <w:r>
        <w:rPr>
          <w:rFonts w:hint="eastAsia"/>
          <w:color w:val="auto"/>
          <w:sz w:val="24"/>
          <w:szCs w:val="24"/>
        </w:rPr>
        <w:t>邮政编码：</w:t>
      </w:r>
      <w:r>
        <w:rPr>
          <w:color w:val="auto"/>
          <w:sz w:val="24"/>
          <w:szCs w:val="24"/>
        </w:rPr>
        <w:tab/>
      </w:r>
    </w:p>
    <w:p w14:paraId="4FE1DB9F">
      <w:pPr>
        <w:widowControl w:val="0"/>
        <w:snapToGrid w:val="0"/>
        <w:spacing w:line="560" w:lineRule="exact"/>
        <w:ind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rFonts w:hint="eastAsia"/>
          <w:color w:val="auto"/>
          <w:sz w:val="24"/>
          <w:szCs w:val="24"/>
        </w:rPr>
        <w:t>传真：</w:t>
      </w:r>
    </w:p>
    <w:p w14:paraId="69FC5AB1">
      <w:pPr>
        <w:widowControl w:val="0"/>
        <w:snapToGrid w:val="0"/>
        <w:spacing w:line="560" w:lineRule="exact"/>
        <w:ind w:firstLine="555"/>
        <w:rPr>
          <w:color w:val="auto"/>
          <w:sz w:val="24"/>
          <w:szCs w:val="24"/>
        </w:rPr>
      </w:pPr>
    </w:p>
    <w:p w14:paraId="36926310">
      <w:pPr>
        <w:widowControl w:val="0"/>
        <w:snapToGrid w:val="0"/>
        <w:spacing w:line="560" w:lineRule="exact"/>
        <w:ind w:firstLine="555"/>
        <w:rPr>
          <w:color w:val="auto"/>
          <w:sz w:val="24"/>
          <w:szCs w:val="24"/>
        </w:rPr>
      </w:pPr>
    </w:p>
    <w:p w14:paraId="2D8BC559">
      <w:pPr>
        <w:widowControl w:val="0"/>
        <w:snapToGrid w:val="0"/>
        <w:spacing w:line="560" w:lineRule="exact"/>
        <w:ind w:firstLine="555"/>
        <w:rPr>
          <w:color w:val="auto"/>
          <w:sz w:val="24"/>
          <w:szCs w:val="24"/>
        </w:rPr>
      </w:pPr>
    </w:p>
    <w:p w14:paraId="4A6A9B32">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3FD438EF">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w:t>
      </w:r>
      <w:r>
        <w:rPr>
          <w:rFonts w:hint="eastAsia"/>
          <w:color w:val="auto"/>
          <w:sz w:val="24"/>
          <w:szCs w:val="24"/>
        </w:rPr>
        <w:t>（电子签名）</w:t>
      </w:r>
      <w:r>
        <w:rPr>
          <w:rFonts w:hint="eastAsia" w:ascii="宋体" w:hAnsi="宋体" w:cs="楷体_GB2312"/>
          <w:color w:val="auto"/>
          <w:sz w:val="24"/>
          <w:lang w:val="zh-CN"/>
        </w:rPr>
        <w:t>：</w:t>
      </w:r>
      <w:r>
        <w:rPr>
          <w:rFonts w:ascii="宋体" w:hAnsi="宋体" w:cs="楷体_GB2312"/>
          <w:color w:val="auto"/>
          <w:sz w:val="24"/>
          <w:lang w:val="zh-CN"/>
        </w:rPr>
        <w:t xml:space="preserve">  </w:t>
      </w:r>
    </w:p>
    <w:p w14:paraId="156C8C1A">
      <w:pPr>
        <w:autoSpaceDE w:val="0"/>
        <w:autoSpaceDN w:val="0"/>
        <w:adjustRightInd w:val="0"/>
        <w:spacing w:line="360" w:lineRule="auto"/>
        <w:ind w:right="-817"/>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7D01E806">
      <w:pPr>
        <w:spacing w:line="240" w:lineRule="auto"/>
        <w:jc w:val="left"/>
        <w:textAlignment w:val="auto"/>
        <w:rPr>
          <w:color w:val="auto"/>
          <w:sz w:val="24"/>
          <w:szCs w:val="24"/>
        </w:rPr>
      </w:pPr>
      <w:r>
        <w:rPr>
          <w:color w:val="auto"/>
          <w:sz w:val="24"/>
          <w:szCs w:val="24"/>
        </w:rPr>
        <w:br w:type="page"/>
      </w:r>
    </w:p>
    <w:p w14:paraId="311D58DE">
      <w:pPr>
        <w:widowControl w:val="0"/>
        <w:snapToGrid w:val="0"/>
        <w:spacing w:line="560" w:lineRule="exact"/>
        <w:jc w:val="center"/>
        <w:rPr>
          <w:rFonts w:ascii="黑体" w:hAnsi="黑体" w:eastAsia="黑体"/>
          <w:b/>
          <w:color w:val="auto"/>
          <w:sz w:val="30"/>
          <w:szCs w:val="30"/>
        </w:rPr>
      </w:pPr>
      <w:r>
        <w:rPr>
          <w:rFonts w:hint="eastAsia" w:eastAsia="方正黑体简体"/>
          <w:b/>
          <w:color w:val="auto"/>
          <w:sz w:val="30"/>
          <w:szCs w:val="30"/>
        </w:rPr>
        <w:t>二、</w:t>
      </w:r>
      <w:r>
        <w:rPr>
          <w:rFonts w:hint="eastAsia" w:ascii="黑体" w:hAnsi="黑体" w:eastAsia="黑体"/>
          <w:b/>
          <w:color w:val="auto"/>
          <w:sz w:val="30"/>
          <w:szCs w:val="30"/>
        </w:rPr>
        <w:t>开标一览表</w:t>
      </w:r>
    </w:p>
    <w:p w14:paraId="2B1A94A0">
      <w:pPr>
        <w:widowControl w:val="0"/>
        <w:snapToGrid w:val="0"/>
        <w:spacing w:line="560" w:lineRule="exact"/>
        <w:jc w:val="left"/>
        <w:rPr>
          <w:b/>
          <w:color w:val="auto"/>
          <w:sz w:val="24"/>
          <w:szCs w:val="24"/>
        </w:rPr>
      </w:pPr>
    </w:p>
    <w:p w14:paraId="5C02D5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u w:color="000000"/>
          <w:lang w:val="en-US" w:eastAsia="zh-CN" w:bidi="ar"/>
        </w:rPr>
        <w:t>注：</w:t>
      </w:r>
      <w:r>
        <w:rPr>
          <w:rFonts w:hint="eastAsia" w:ascii="宋体" w:hAnsi="宋体" w:eastAsia="宋体" w:cs="宋体"/>
          <w:b/>
          <w:bCs/>
          <w:color w:val="000000"/>
          <w:kern w:val="0"/>
          <w:sz w:val="24"/>
          <w:szCs w:val="24"/>
          <w:u w:color="000000"/>
          <w:lang w:val="en-US" w:eastAsia="zh-CN" w:bidi="ar"/>
        </w:rPr>
        <w:t>1、供应商需在安阳市公共资源电子交易平台新系统响应文件制作工具中、按系统要求填列开标一览表（报价一览表），系统中填列的开标一览表（报价一览表）为供应商《响</w:t>
      </w:r>
    </w:p>
    <w:p w14:paraId="5AFDA3B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b/>
          <w:bCs/>
          <w:color w:val="000000"/>
          <w:kern w:val="0"/>
          <w:sz w:val="24"/>
          <w:szCs w:val="24"/>
          <w:u w:color="000000"/>
          <w:lang w:val="en-US" w:eastAsia="zh-CN" w:bidi="ar"/>
        </w:rPr>
        <w:t xml:space="preserve">应文件》（响应文件）的一部分。 </w:t>
      </w:r>
    </w:p>
    <w:p w14:paraId="763825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u w:color="000000"/>
          <w:lang w:val="en-US" w:eastAsia="zh-CN" w:bidi="ar"/>
        </w:rPr>
        <w:t>2、供应商的投标报价（价格构成）应包括谈判文件所述投标报价的所有内容。</w:t>
      </w:r>
    </w:p>
    <w:p w14:paraId="093075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u w:color="000000"/>
          <w:lang w:val="en-US" w:eastAsia="zh-CN" w:bidi="ar"/>
        </w:rPr>
        <w:t xml:space="preserve">3、供应商可对谈判文件中所列的所有标段（包）进行分别投标，也可选择其中一个标段（包）或几个标段（包）投标，但不得将谈判文件规定的同一标段（包）的内容拆开投标，否则将按无效投标处理。 </w:t>
      </w:r>
    </w:p>
    <w:p w14:paraId="7F7FF3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u w:color="000000"/>
          <w:lang w:val="en-US" w:eastAsia="zh-CN" w:bidi="ar"/>
        </w:rPr>
        <w:t xml:space="preserve">4、开标一览表与报价明细表有差别时，以开标一览表为准；大写文字表示的数据与小写 </w:t>
      </w:r>
    </w:p>
    <w:p w14:paraId="6FCCB6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u w:color="000000"/>
          <w:lang w:val="en-US" w:eastAsia="zh-CN" w:bidi="ar"/>
        </w:rPr>
        <w:t>数字表示的有差别时，以大写文字表示的数据为准。</w:t>
      </w:r>
    </w:p>
    <w:p w14:paraId="01AAB7B5">
      <w:pPr>
        <w:widowControl w:val="0"/>
        <w:snapToGrid w:val="0"/>
        <w:spacing w:line="560" w:lineRule="exact"/>
        <w:ind w:firstLine="562" w:firstLineChars="200"/>
        <w:jc w:val="left"/>
        <w:rPr>
          <w:b/>
          <w:color w:val="auto"/>
          <w:sz w:val="28"/>
        </w:rPr>
      </w:pPr>
    </w:p>
    <w:p w14:paraId="482CC4EC">
      <w:pPr>
        <w:widowControl w:val="0"/>
        <w:snapToGrid w:val="0"/>
        <w:spacing w:line="560" w:lineRule="exact"/>
        <w:jc w:val="center"/>
        <w:rPr>
          <w:rFonts w:ascii="黑体" w:hAnsi="黑体" w:eastAsia="黑体"/>
          <w:b/>
          <w:color w:val="auto"/>
          <w:sz w:val="30"/>
          <w:szCs w:val="30"/>
        </w:rPr>
      </w:pPr>
      <w:r>
        <w:rPr>
          <w:rFonts w:ascii="黑体" w:hAnsi="黑体" w:eastAsia="黑体"/>
          <w:b/>
          <w:color w:val="auto"/>
          <w:sz w:val="30"/>
          <w:szCs w:val="30"/>
        </w:rPr>
        <w:br w:type="page"/>
      </w:r>
    </w:p>
    <w:p w14:paraId="1C312F32">
      <w:pPr>
        <w:widowControl w:val="0"/>
        <w:snapToGrid w:val="0"/>
        <w:spacing w:line="560" w:lineRule="exact"/>
        <w:jc w:val="center"/>
        <w:rPr>
          <w:rFonts w:ascii="黑体" w:hAnsi="黑体" w:eastAsia="黑体"/>
          <w:color w:val="auto"/>
          <w:sz w:val="28"/>
        </w:rPr>
      </w:pPr>
      <w:r>
        <w:rPr>
          <w:rFonts w:hint="eastAsia" w:ascii="黑体" w:hAnsi="黑体" w:eastAsia="黑体"/>
          <w:b/>
          <w:color w:val="auto"/>
          <w:sz w:val="30"/>
          <w:szCs w:val="30"/>
        </w:rPr>
        <w:t>三、分项报价</w:t>
      </w:r>
    </w:p>
    <w:p w14:paraId="0D23CF4E">
      <w:pPr>
        <w:widowControl w:val="0"/>
        <w:snapToGrid w:val="0"/>
        <w:spacing w:line="560" w:lineRule="exact"/>
        <w:jc w:val="left"/>
        <w:rPr>
          <w:color w:val="auto"/>
          <w:sz w:val="28"/>
        </w:rPr>
      </w:pPr>
    </w:p>
    <w:p w14:paraId="3D6197B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（格式自拟）</w:t>
      </w:r>
    </w:p>
    <w:p w14:paraId="53430DF2">
      <w:pPr>
        <w:widowControl w:val="0"/>
        <w:snapToGrid w:val="0"/>
        <w:spacing w:line="560" w:lineRule="exact"/>
        <w:ind w:firstLine="482" w:firstLineChars="200"/>
        <w:jc w:val="left"/>
        <w:rPr>
          <w:b/>
          <w:color w:val="auto"/>
          <w:sz w:val="24"/>
          <w:szCs w:val="24"/>
        </w:rPr>
      </w:pPr>
    </w:p>
    <w:p w14:paraId="4E17D951">
      <w:pPr>
        <w:widowControl w:val="0"/>
        <w:snapToGrid w:val="0"/>
        <w:spacing w:line="560" w:lineRule="exact"/>
        <w:jc w:val="left"/>
        <w:rPr>
          <w:color w:val="auto"/>
          <w:sz w:val="28"/>
        </w:rPr>
      </w:pPr>
    </w:p>
    <w:p w14:paraId="18BA69B6">
      <w:pPr>
        <w:spacing w:line="240" w:lineRule="auto"/>
        <w:jc w:val="left"/>
        <w:textAlignment w:val="auto"/>
        <w:rPr>
          <w:color w:val="auto"/>
          <w:sz w:val="28"/>
        </w:rPr>
      </w:pPr>
    </w:p>
    <w:p w14:paraId="66E1B10D">
      <w:pPr>
        <w:rPr>
          <w:rFonts w:hint="eastAsia" w:ascii="黑体" w:hAnsi="黑体" w:eastAsia="黑体"/>
          <w:b/>
          <w:color w:val="auto"/>
          <w:sz w:val="30"/>
          <w:szCs w:val="30"/>
        </w:rPr>
      </w:pPr>
      <w:r>
        <w:rPr>
          <w:rFonts w:hint="eastAsia" w:ascii="黑体" w:hAnsi="黑体" w:eastAsia="黑体"/>
          <w:b/>
          <w:color w:val="auto"/>
          <w:sz w:val="30"/>
          <w:szCs w:val="30"/>
        </w:rPr>
        <w:br w:type="page"/>
      </w:r>
    </w:p>
    <w:p w14:paraId="3D09A5E4">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四、</w:t>
      </w:r>
      <w:r>
        <w:rPr>
          <w:rFonts w:hint="eastAsia" w:asciiTheme="minorEastAsia" w:hAnsiTheme="minorEastAsia" w:eastAsiaTheme="minorEastAsia"/>
          <w:b/>
          <w:color w:val="auto"/>
          <w:sz w:val="28"/>
          <w:szCs w:val="28"/>
        </w:rPr>
        <w:t>服务方案及服务质量承诺</w:t>
      </w:r>
    </w:p>
    <w:p w14:paraId="676AD144">
      <w:pPr>
        <w:widowControl w:val="0"/>
        <w:snapToGrid w:val="0"/>
        <w:spacing w:line="560" w:lineRule="exact"/>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（格式自定）</w:t>
      </w:r>
    </w:p>
    <w:p w14:paraId="09649846">
      <w:pP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项目名称：</w:t>
      </w:r>
    </w:p>
    <w:p w14:paraId="1A4457DF">
      <w:pP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项目编号：</w:t>
      </w:r>
    </w:p>
    <w:p w14:paraId="3106BB8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7232E5E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1A8C1FC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08E4A9E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1413C09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54AABFF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1F8A7EE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54D58931">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2B4A7BB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sz w:val="24"/>
          <w:szCs w:val="22"/>
        </w:rPr>
      </w:pPr>
    </w:p>
    <w:p w14:paraId="6708F837">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2003F6F0">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14:paraId="3E9582DF">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14915152">
      <w:pPr>
        <w:spacing w:line="240" w:lineRule="auto"/>
        <w:rPr>
          <w:color w:val="auto"/>
          <w:sz w:val="24"/>
        </w:rPr>
      </w:pPr>
    </w:p>
    <w:p w14:paraId="46B11785">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bookmarkStart w:id="40" w:name="OLE_LINK22"/>
    </w:p>
    <w:bookmarkEnd w:id="40"/>
    <w:p w14:paraId="714C184E">
      <w:pPr>
        <w:spacing w:before="97" w:line="221" w:lineRule="auto"/>
        <w:ind w:left="2179"/>
        <w:rPr>
          <w:rFonts w:ascii="黑体" w:hAnsi="黑体" w:eastAsia="黑体" w:cs="黑体"/>
          <w:sz w:val="30"/>
          <w:szCs w:val="30"/>
        </w:rPr>
      </w:pPr>
      <w:r>
        <w:rPr>
          <w:rFonts w:hint="eastAsia" w:ascii="黑体" w:hAnsi="黑体" w:eastAsia="黑体" w:cs="黑体"/>
          <w:b/>
          <w:bCs/>
          <w:spacing w:val="-3"/>
          <w:sz w:val="30"/>
          <w:szCs w:val="30"/>
          <w:lang w:eastAsia="zh-CN"/>
        </w:rPr>
        <w:t>五</w:t>
      </w:r>
      <w:r>
        <w:rPr>
          <w:rFonts w:ascii="黑体" w:hAnsi="黑体" w:eastAsia="黑体" w:cs="黑体"/>
          <w:b/>
          <w:bCs/>
          <w:spacing w:val="-3"/>
          <w:sz w:val="30"/>
          <w:szCs w:val="30"/>
        </w:rPr>
        <w:t>、服务拟投入设备清单及其技术参数</w:t>
      </w:r>
    </w:p>
    <w:p w14:paraId="1AD1A29A">
      <w:pP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项目名称：</w:t>
      </w:r>
    </w:p>
    <w:p w14:paraId="2161E065">
      <w:pPr>
        <w:rPr>
          <w:rFonts w:ascii="宋体" w:hAnsi="宋体" w:eastAsia="宋体" w:cs="宋体"/>
          <w:sz w:val="24"/>
          <w:szCs w:val="24"/>
        </w:rPr>
      </w:pPr>
      <w:r>
        <w:rPr>
          <w:rFonts w:hint="eastAsia" w:asciiTheme="minorEastAsia" w:hAnsiTheme="minorEastAsia" w:eastAsiaTheme="minorEastAsia"/>
          <w:b/>
          <w:color w:val="auto"/>
          <w:sz w:val="24"/>
          <w:szCs w:val="24"/>
        </w:rPr>
        <w:t>项目编号：</w:t>
      </w:r>
    </w:p>
    <w:tbl>
      <w:tblPr>
        <w:tblStyle w:val="86"/>
        <w:tblW w:w="93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920"/>
        <w:gridCol w:w="1350"/>
        <w:gridCol w:w="960"/>
        <w:gridCol w:w="1815"/>
        <w:gridCol w:w="2501"/>
      </w:tblGrid>
      <w:tr w14:paraId="08216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825" w:type="dxa"/>
            <w:tcBorders>
              <w:top w:val="single" w:color="000000" w:sz="8" w:space="0"/>
            </w:tcBorders>
            <w:vAlign w:val="center"/>
          </w:tcPr>
          <w:p w14:paraId="7C415B11">
            <w:pPr>
              <w:pStyle w:val="87"/>
              <w:keepNext w:val="0"/>
              <w:keepLines w:val="0"/>
              <w:pageBreakBefore w:val="0"/>
              <w:widowControl/>
              <w:kinsoku/>
              <w:wordWrap/>
              <w:overflowPunct/>
              <w:topLinePunct w:val="0"/>
              <w:autoSpaceDE/>
              <w:autoSpaceDN/>
              <w:bidi w:val="0"/>
              <w:adjustRightInd/>
              <w:snapToGrid/>
              <w:spacing w:before="69"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920" w:type="dxa"/>
            <w:tcBorders>
              <w:top w:val="single" w:color="000000" w:sz="8" w:space="0"/>
            </w:tcBorders>
            <w:vAlign w:val="center"/>
          </w:tcPr>
          <w:p w14:paraId="68092FA3">
            <w:pPr>
              <w:pStyle w:val="87"/>
              <w:keepNext w:val="0"/>
              <w:keepLines w:val="0"/>
              <w:pageBreakBefore w:val="0"/>
              <w:widowControl/>
              <w:kinsoku/>
              <w:wordWrap/>
              <w:overflowPunct/>
              <w:topLinePunct w:val="0"/>
              <w:autoSpaceDE/>
              <w:autoSpaceDN/>
              <w:bidi w:val="0"/>
              <w:adjustRightInd/>
              <w:snapToGrid/>
              <w:spacing w:before="69"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设备名称</w:t>
            </w:r>
          </w:p>
        </w:tc>
        <w:tc>
          <w:tcPr>
            <w:tcW w:w="1350" w:type="dxa"/>
            <w:tcBorders>
              <w:top w:val="single" w:color="000000" w:sz="8" w:space="0"/>
            </w:tcBorders>
            <w:vAlign w:val="center"/>
          </w:tcPr>
          <w:p w14:paraId="5691D353">
            <w:pPr>
              <w:pStyle w:val="87"/>
              <w:keepNext w:val="0"/>
              <w:keepLines w:val="0"/>
              <w:pageBreakBefore w:val="0"/>
              <w:widowControl/>
              <w:kinsoku/>
              <w:wordWrap/>
              <w:overflowPunct/>
              <w:topLinePunct w:val="0"/>
              <w:autoSpaceDE/>
              <w:autoSpaceDN/>
              <w:bidi w:val="0"/>
              <w:adjustRightInd/>
              <w:snapToGrid/>
              <w:spacing w:before="68"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w:t>
            </w:r>
          </w:p>
        </w:tc>
        <w:tc>
          <w:tcPr>
            <w:tcW w:w="960" w:type="dxa"/>
            <w:tcBorders>
              <w:top w:val="single" w:color="000000" w:sz="8" w:space="0"/>
            </w:tcBorders>
            <w:vAlign w:val="center"/>
          </w:tcPr>
          <w:p w14:paraId="25A7ADF6">
            <w:pPr>
              <w:pStyle w:val="87"/>
              <w:keepNext w:val="0"/>
              <w:keepLines w:val="0"/>
              <w:pageBreakBefore w:val="0"/>
              <w:widowControl/>
              <w:kinsoku/>
              <w:wordWrap/>
              <w:overflowPunct/>
              <w:topLinePunct w:val="0"/>
              <w:autoSpaceDE/>
              <w:autoSpaceDN/>
              <w:bidi w:val="0"/>
              <w:adjustRightInd/>
              <w:snapToGrid/>
              <w:spacing w:before="68"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数量</w:t>
            </w:r>
          </w:p>
        </w:tc>
        <w:tc>
          <w:tcPr>
            <w:tcW w:w="1815" w:type="dxa"/>
            <w:tcBorders>
              <w:top w:val="single" w:color="000000" w:sz="8" w:space="0"/>
            </w:tcBorders>
            <w:vAlign w:val="center"/>
          </w:tcPr>
          <w:p w14:paraId="27019688">
            <w:pPr>
              <w:pStyle w:val="87"/>
              <w:keepNext w:val="0"/>
              <w:keepLines w:val="0"/>
              <w:pageBreakBefore w:val="0"/>
              <w:widowControl/>
              <w:kinsoku/>
              <w:wordWrap/>
              <w:overflowPunct/>
              <w:topLinePunct w:val="0"/>
              <w:autoSpaceDE/>
              <w:autoSpaceDN/>
              <w:bidi w:val="0"/>
              <w:adjustRightInd/>
              <w:snapToGrid/>
              <w:spacing w:before="68"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w:t>
            </w:r>
          </w:p>
        </w:tc>
        <w:tc>
          <w:tcPr>
            <w:tcW w:w="2501" w:type="dxa"/>
            <w:tcBorders>
              <w:top w:val="single" w:color="000000" w:sz="8" w:space="0"/>
            </w:tcBorders>
            <w:vAlign w:val="center"/>
          </w:tcPr>
          <w:p w14:paraId="4266E3C8">
            <w:pPr>
              <w:pStyle w:val="87"/>
              <w:keepNext w:val="0"/>
              <w:keepLines w:val="0"/>
              <w:pageBreakBefore w:val="0"/>
              <w:widowControl/>
              <w:kinsoku/>
              <w:wordWrap/>
              <w:overflowPunct/>
              <w:topLinePunct w:val="0"/>
              <w:autoSpaceDE/>
              <w:autoSpaceDN/>
              <w:bidi w:val="0"/>
              <w:adjustRightInd/>
              <w:snapToGrid/>
              <w:spacing w:before="68"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技术参数</w:t>
            </w:r>
          </w:p>
        </w:tc>
      </w:tr>
      <w:tr w14:paraId="1D83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1" w:hRule="atLeast"/>
        </w:trPr>
        <w:tc>
          <w:tcPr>
            <w:tcW w:w="825" w:type="dxa"/>
            <w:vAlign w:val="center"/>
          </w:tcPr>
          <w:p w14:paraId="33A8410D">
            <w:pPr>
              <w:keepNext w:val="0"/>
              <w:keepLines w:val="0"/>
              <w:pageBreakBefore w:val="0"/>
              <w:widowControl/>
              <w:kinsoku/>
              <w:wordWrap/>
              <w:overflowPunct/>
              <w:topLinePunct w:val="0"/>
              <w:autoSpaceDE/>
              <w:autoSpaceDN/>
              <w:bidi w:val="0"/>
              <w:adjustRightInd/>
              <w:snapToGrid/>
              <w:spacing w:before="60"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20" w:type="dxa"/>
            <w:vAlign w:val="center"/>
          </w:tcPr>
          <w:p w14:paraId="0E472AB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350" w:type="dxa"/>
            <w:vAlign w:val="center"/>
          </w:tcPr>
          <w:p w14:paraId="0ECB815D">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960" w:type="dxa"/>
            <w:vAlign w:val="center"/>
          </w:tcPr>
          <w:p w14:paraId="6C173F5E">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815" w:type="dxa"/>
            <w:vAlign w:val="center"/>
          </w:tcPr>
          <w:p w14:paraId="78060199">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2501" w:type="dxa"/>
            <w:vAlign w:val="center"/>
          </w:tcPr>
          <w:p w14:paraId="4416191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r>
      <w:tr w14:paraId="7B43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825" w:type="dxa"/>
            <w:vAlign w:val="center"/>
          </w:tcPr>
          <w:p w14:paraId="6C15D7BD">
            <w:pPr>
              <w:keepNext w:val="0"/>
              <w:keepLines w:val="0"/>
              <w:pageBreakBefore w:val="0"/>
              <w:widowControl/>
              <w:kinsoku/>
              <w:wordWrap/>
              <w:overflowPunct/>
              <w:topLinePunct w:val="0"/>
              <w:autoSpaceDE/>
              <w:autoSpaceDN/>
              <w:bidi w:val="0"/>
              <w:adjustRightInd/>
              <w:snapToGrid/>
              <w:spacing w:before="60"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20" w:type="dxa"/>
            <w:vAlign w:val="center"/>
          </w:tcPr>
          <w:p w14:paraId="6F601C8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350" w:type="dxa"/>
            <w:vAlign w:val="center"/>
          </w:tcPr>
          <w:p w14:paraId="7C880E7B">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960" w:type="dxa"/>
            <w:vAlign w:val="center"/>
          </w:tcPr>
          <w:p w14:paraId="776E81F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815" w:type="dxa"/>
            <w:vAlign w:val="center"/>
          </w:tcPr>
          <w:p w14:paraId="68B5016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2501" w:type="dxa"/>
            <w:vAlign w:val="center"/>
          </w:tcPr>
          <w:p w14:paraId="61B4488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r>
      <w:tr w14:paraId="42E2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825" w:type="dxa"/>
            <w:vAlign w:val="center"/>
          </w:tcPr>
          <w:p w14:paraId="5A381F6A">
            <w:pPr>
              <w:keepNext w:val="0"/>
              <w:keepLines w:val="0"/>
              <w:pageBreakBefore w:val="0"/>
              <w:widowControl/>
              <w:kinsoku/>
              <w:wordWrap/>
              <w:overflowPunct/>
              <w:topLinePunct w:val="0"/>
              <w:autoSpaceDE/>
              <w:autoSpaceDN/>
              <w:bidi w:val="0"/>
              <w:adjustRightInd/>
              <w:snapToGrid/>
              <w:spacing w:before="60"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20" w:type="dxa"/>
            <w:vAlign w:val="center"/>
          </w:tcPr>
          <w:p w14:paraId="50BA6E1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350" w:type="dxa"/>
            <w:vAlign w:val="center"/>
          </w:tcPr>
          <w:p w14:paraId="37F1FB1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960" w:type="dxa"/>
            <w:vAlign w:val="center"/>
          </w:tcPr>
          <w:p w14:paraId="0940625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815" w:type="dxa"/>
            <w:vAlign w:val="center"/>
          </w:tcPr>
          <w:p w14:paraId="25F33F7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2501" w:type="dxa"/>
            <w:vAlign w:val="center"/>
          </w:tcPr>
          <w:p w14:paraId="5A103D42">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r>
      <w:tr w14:paraId="624B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825" w:type="dxa"/>
            <w:vAlign w:val="center"/>
          </w:tcPr>
          <w:p w14:paraId="1322800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p w14:paraId="0BB0B3D4">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p w14:paraId="3D4E733F">
            <w:pPr>
              <w:pStyle w:val="87"/>
              <w:keepNext w:val="0"/>
              <w:keepLines w:val="0"/>
              <w:pageBreakBefore w:val="0"/>
              <w:widowControl/>
              <w:kinsoku/>
              <w:wordWrap/>
              <w:overflowPunct/>
              <w:topLinePunct w:val="0"/>
              <w:autoSpaceDE/>
              <w:autoSpaceDN/>
              <w:bidi w:val="0"/>
              <w:adjustRightInd/>
              <w:snapToGrid/>
              <w:spacing w:before="68" w:line="360" w:lineRule="auto"/>
              <w:ind w:left="46"/>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2"/>
                <w:sz w:val="24"/>
                <w:szCs w:val="24"/>
              </w:rPr>
              <w:t>……</w:t>
            </w:r>
          </w:p>
        </w:tc>
        <w:tc>
          <w:tcPr>
            <w:tcW w:w="1920" w:type="dxa"/>
            <w:vAlign w:val="center"/>
          </w:tcPr>
          <w:p w14:paraId="48BBE058">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350" w:type="dxa"/>
            <w:vAlign w:val="center"/>
          </w:tcPr>
          <w:p w14:paraId="7D79B497">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960" w:type="dxa"/>
            <w:vAlign w:val="center"/>
          </w:tcPr>
          <w:p w14:paraId="277BA925">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1815" w:type="dxa"/>
            <w:vAlign w:val="center"/>
          </w:tcPr>
          <w:p w14:paraId="36B0DF73">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c>
          <w:tcPr>
            <w:tcW w:w="2501" w:type="dxa"/>
            <w:vAlign w:val="center"/>
          </w:tcPr>
          <w:p w14:paraId="1DE91240">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z w:val="24"/>
                <w:szCs w:val="24"/>
              </w:rPr>
            </w:pPr>
          </w:p>
        </w:tc>
      </w:tr>
    </w:tbl>
    <w:p w14:paraId="62B95D5D">
      <w:pPr>
        <w:keepNext w:val="0"/>
        <w:keepLines w:val="0"/>
        <w:pageBreakBefore w:val="0"/>
        <w:widowControl/>
        <w:kinsoku/>
        <w:wordWrap/>
        <w:overflowPunct/>
        <w:topLinePunct w:val="0"/>
        <w:autoSpaceDE/>
        <w:autoSpaceDN/>
        <w:bidi w:val="0"/>
        <w:adjustRightInd/>
        <w:snapToGrid/>
        <w:spacing w:before="52" w:line="360" w:lineRule="auto"/>
        <w:ind w:left="133"/>
        <w:textAlignment w:val="baseline"/>
        <w:rPr>
          <w:rFonts w:ascii="宋体" w:hAnsi="宋体" w:eastAsia="宋体" w:cs="宋体"/>
          <w:sz w:val="21"/>
          <w:szCs w:val="21"/>
        </w:rPr>
      </w:pPr>
      <w:r>
        <w:rPr>
          <w:rFonts w:hint="eastAsia" w:asciiTheme="minorEastAsia" w:hAnsiTheme="minorEastAsia" w:eastAsiaTheme="minorEastAsia" w:cstheme="minorEastAsia"/>
          <w:spacing w:val="-1"/>
          <w:sz w:val="24"/>
          <w:szCs w:val="24"/>
        </w:rPr>
        <w:t>注：投标人应详细填写服务投入设备的具体技术参数。包括货物的品牌型号、规格等技术参数。</w:t>
      </w:r>
    </w:p>
    <w:p w14:paraId="621C196F">
      <w:pPr>
        <w:pStyle w:val="6"/>
        <w:tabs>
          <w:tab w:val="left" w:pos="567"/>
        </w:tabs>
        <w:spacing w:line="318" w:lineRule="auto"/>
      </w:pPr>
    </w:p>
    <w:p w14:paraId="48686120">
      <w:pPr>
        <w:autoSpaceDE w:val="0"/>
        <w:autoSpaceDN w:val="0"/>
        <w:adjustRightInd w:val="0"/>
        <w:spacing w:line="360" w:lineRule="auto"/>
        <w:jc w:val="center"/>
        <w:rPr>
          <w:rFonts w:ascii="宋体"/>
          <w:color w:val="auto"/>
          <w:sz w:val="24"/>
        </w:rPr>
      </w:pPr>
    </w:p>
    <w:p w14:paraId="5F7498CC">
      <w:pPr>
        <w:autoSpaceDE w:val="0"/>
        <w:autoSpaceDN w:val="0"/>
        <w:adjustRightInd w:val="0"/>
        <w:spacing w:line="360" w:lineRule="auto"/>
        <w:jc w:val="left"/>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22666D8B">
      <w:pPr>
        <w:autoSpaceDE w:val="0"/>
        <w:autoSpaceDN w:val="0"/>
        <w:adjustRightInd w:val="0"/>
        <w:spacing w:line="360" w:lineRule="auto"/>
        <w:ind w:left="-2" w:right="-817" w:firstLine="2"/>
        <w:jc w:val="left"/>
        <w:rPr>
          <w:rFonts w:ascii="宋体" w:cs="楷体_GB2312"/>
          <w:color w:val="auto"/>
          <w:sz w:val="24"/>
          <w:lang w:val="zh-CN"/>
        </w:rPr>
      </w:pPr>
      <w:r>
        <w:rPr>
          <w:rFonts w:hint="eastAsia" w:ascii="宋体" w:hAnsi="宋体" w:cs="楷体_GB2312"/>
          <w:color w:val="auto"/>
          <w:sz w:val="24"/>
          <w:lang w:val="zh-CN"/>
        </w:rPr>
        <w:t>法定代表人</w:t>
      </w:r>
      <w:r>
        <w:rPr>
          <w:rFonts w:hint="eastAsia"/>
          <w:color w:val="auto"/>
          <w:sz w:val="24"/>
          <w:szCs w:val="24"/>
        </w:rPr>
        <w:t>（电子签名）</w:t>
      </w:r>
      <w:r>
        <w:rPr>
          <w:rFonts w:hint="eastAsia" w:ascii="宋体" w:hAnsi="宋体" w:cs="楷体_GB2312"/>
          <w:color w:val="auto"/>
          <w:sz w:val="24"/>
          <w:lang w:val="zh-CN"/>
        </w:rPr>
        <w:t>：</w:t>
      </w:r>
      <w:r>
        <w:rPr>
          <w:rFonts w:ascii="宋体" w:hAnsi="宋体" w:cs="楷体_GB2312"/>
          <w:color w:val="auto"/>
          <w:sz w:val="24"/>
          <w:lang w:val="zh-CN"/>
        </w:rPr>
        <w:t xml:space="preserve">  </w:t>
      </w:r>
    </w:p>
    <w:p w14:paraId="6FED2BCA">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5A40AEAD">
      <w:pPr>
        <w:spacing w:line="240" w:lineRule="auto"/>
        <w:jc w:val="left"/>
        <w:textAlignment w:val="auto"/>
        <w:rPr>
          <w:rFonts w:eastAsia="方正黑体简体"/>
          <w:b/>
          <w:color w:val="auto"/>
          <w:sz w:val="30"/>
          <w:szCs w:val="30"/>
        </w:rPr>
      </w:pPr>
    </w:p>
    <w:p w14:paraId="097E26E5">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14:paraId="068FC85E">
      <w:pPr>
        <w:spacing w:before="97" w:line="221" w:lineRule="auto"/>
        <w:ind w:left="266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3"/>
          <w:sz w:val="30"/>
          <w:szCs w:val="30"/>
          <w:lang w:eastAsia="zh-CN"/>
        </w:rPr>
        <w:t>六</w:t>
      </w:r>
      <w:r>
        <w:rPr>
          <w:rFonts w:hint="eastAsia" w:asciiTheme="minorEastAsia" w:hAnsiTheme="minorEastAsia" w:eastAsiaTheme="minorEastAsia" w:cstheme="minorEastAsia"/>
          <w:b/>
          <w:bCs/>
          <w:spacing w:val="-3"/>
          <w:sz w:val="30"/>
          <w:szCs w:val="30"/>
        </w:rPr>
        <w:t>、服务拟投入的人员情况表</w:t>
      </w:r>
    </w:p>
    <w:p w14:paraId="2F07E613">
      <w:pPr>
        <w:spacing w:before="175" w:line="223" w:lineRule="auto"/>
        <w:ind w:left="3662"/>
        <w:rPr>
          <w:rFonts w:ascii="黑体" w:hAnsi="黑体" w:eastAsia="黑体" w:cs="黑体"/>
          <w:sz w:val="30"/>
          <w:szCs w:val="30"/>
        </w:rPr>
      </w:pPr>
      <w:r>
        <w:rPr>
          <w:rFonts w:ascii="黑体" w:hAnsi="黑体" w:eastAsia="黑体" w:cs="黑体"/>
          <w:b/>
          <w:bCs/>
          <w:spacing w:val="-8"/>
          <w:sz w:val="30"/>
          <w:szCs w:val="30"/>
        </w:rPr>
        <w:t>（格式自定）</w:t>
      </w:r>
    </w:p>
    <w:p w14:paraId="2CD8C5E3">
      <w:pPr>
        <w:spacing w:before="78" w:line="220" w:lineRule="auto"/>
        <w:ind w:left="137"/>
        <w:rPr>
          <w:rFonts w:hint="eastAsia" w:ascii="宋体" w:hAnsi="宋体" w:eastAsia="宋体" w:cs="宋体"/>
          <w:spacing w:val="-7"/>
          <w:sz w:val="24"/>
          <w:szCs w:val="24"/>
          <w:u w:val="single"/>
          <w:lang w:val="en-US" w:eastAsia="zh-CN"/>
        </w:rPr>
      </w:pPr>
      <w:r>
        <w:rPr>
          <w:rFonts w:ascii="宋体" w:hAnsi="宋体" w:eastAsia="宋体" w:cs="宋体"/>
          <w:spacing w:val="-7"/>
          <w:sz w:val="24"/>
          <w:szCs w:val="24"/>
        </w:rPr>
        <w:t>项目名称：</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p>
    <w:p w14:paraId="02B9A016">
      <w:pPr>
        <w:spacing w:before="78" w:line="220" w:lineRule="auto"/>
        <w:ind w:left="137"/>
        <w:rPr>
          <w:rFonts w:ascii="宋体" w:hAnsi="宋体" w:eastAsia="宋体" w:cs="宋体"/>
          <w:spacing w:val="-7"/>
          <w:sz w:val="24"/>
          <w:szCs w:val="24"/>
        </w:rPr>
      </w:pPr>
      <w:r>
        <w:rPr>
          <w:rFonts w:ascii="宋体" w:hAnsi="宋体" w:eastAsia="宋体" w:cs="宋体"/>
          <w:spacing w:val="-7"/>
          <w:sz w:val="24"/>
          <w:szCs w:val="24"/>
        </w:rPr>
        <w:t>采购编号：</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lang w:val="en-US" w:eastAsia="zh-CN"/>
        </w:rPr>
        <w:t xml:space="preserve">              </w:t>
      </w:r>
      <w:r>
        <w:rPr>
          <w:rFonts w:ascii="宋体" w:hAnsi="宋体" w:eastAsia="宋体" w:cs="宋体"/>
          <w:spacing w:val="-7"/>
          <w:sz w:val="24"/>
          <w:szCs w:val="24"/>
          <w:u w:val="single"/>
        </w:rPr>
        <w:t xml:space="preserve">   </w:t>
      </w:r>
    </w:p>
    <w:p w14:paraId="228AC1BF">
      <w:pPr>
        <w:tabs>
          <w:tab w:val="left" w:pos="0"/>
        </w:tabs>
        <w:adjustRightInd w:val="0"/>
        <w:snapToGrid w:val="0"/>
        <w:spacing w:beforeLines="50" w:line="300" w:lineRule="auto"/>
        <w:ind w:right="510"/>
        <w:rPr>
          <w:rFonts w:ascii="宋体"/>
          <w:color w:val="auto"/>
          <w:spacing w:val="8"/>
          <w:szCs w:val="21"/>
        </w:rPr>
      </w:pPr>
    </w:p>
    <w:p w14:paraId="0B44CB2C">
      <w:pPr>
        <w:tabs>
          <w:tab w:val="left" w:pos="0"/>
        </w:tabs>
        <w:adjustRightInd w:val="0"/>
        <w:snapToGrid w:val="0"/>
        <w:spacing w:beforeLines="50" w:line="300" w:lineRule="auto"/>
        <w:ind w:right="510"/>
        <w:rPr>
          <w:rFonts w:ascii="宋体"/>
          <w:color w:val="auto"/>
          <w:spacing w:val="8"/>
          <w:szCs w:val="21"/>
        </w:rPr>
      </w:pPr>
    </w:p>
    <w:p w14:paraId="5F028795">
      <w:pPr>
        <w:pStyle w:val="2"/>
        <w:rPr>
          <w:rFonts w:ascii="宋体"/>
          <w:color w:val="auto"/>
          <w:spacing w:val="8"/>
          <w:szCs w:val="21"/>
        </w:rPr>
      </w:pPr>
    </w:p>
    <w:p w14:paraId="779A0501">
      <w:pPr>
        <w:pStyle w:val="2"/>
        <w:rPr>
          <w:rFonts w:ascii="宋体"/>
          <w:color w:val="auto"/>
          <w:spacing w:val="8"/>
          <w:szCs w:val="21"/>
        </w:rPr>
      </w:pPr>
    </w:p>
    <w:p w14:paraId="26212773">
      <w:pPr>
        <w:pStyle w:val="2"/>
        <w:rPr>
          <w:rFonts w:ascii="宋体"/>
          <w:color w:val="auto"/>
          <w:spacing w:val="8"/>
          <w:szCs w:val="21"/>
        </w:rPr>
      </w:pPr>
    </w:p>
    <w:p w14:paraId="378E9470">
      <w:pPr>
        <w:pStyle w:val="2"/>
        <w:rPr>
          <w:rFonts w:ascii="宋体"/>
          <w:color w:val="auto"/>
          <w:spacing w:val="8"/>
          <w:szCs w:val="21"/>
        </w:rPr>
      </w:pPr>
    </w:p>
    <w:p w14:paraId="374EEFB3">
      <w:pPr>
        <w:pStyle w:val="2"/>
        <w:rPr>
          <w:rFonts w:ascii="宋体"/>
          <w:color w:val="auto"/>
          <w:spacing w:val="8"/>
          <w:szCs w:val="21"/>
        </w:rPr>
      </w:pPr>
    </w:p>
    <w:p w14:paraId="6F474FB1">
      <w:pPr>
        <w:pStyle w:val="2"/>
        <w:rPr>
          <w:rFonts w:ascii="宋体"/>
          <w:color w:val="auto"/>
          <w:spacing w:val="8"/>
          <w:szCs w:val="21"/>
        </w:rPr>
      </w:pPr>
    </w:p>
    <w:p w14:paraId="3DADE0F0">
      <w:pPr>
        <w:pStyle w:val="2"/>
        <w:rPr>
          <w:rFonts w:ascii="宋体"/>
          <w:color w:val="auto"/>
          <w:spacing w:val="8"/>
          <w:szCs w:val="21"/>
        </w:rPr>
      </w:pPr>
    </w:p>
    <w:p w14:paraId="14EB5810">
      <w:pPr>
        <w:tabs>
          <w:tab w:val="left" w:pos="0"/>
        </w:tabs>
        <w:spacing w:line="480" w:lineRule="auto"/>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14:paraId="3E49A944">
      <w:pPr>
        <w:tabs>
          <w:tab w:val="left" w:pos="0"/>
        </w:tabs>
        <w:spacing w:line="480" w:lineRule="auto"/>
        <w:ind w:right="768"/>
        <w:jc w:val="left"/>
        <w:rPr>
          <w:rFonts w:ascii="宋体"/>
          <w:color w:val="auto"/>
          <w:spacing w:val="8"/>
          <w:sz w:val="24"/>
        </w:rPr>
      </w:pPr>
      <w:r>
        <w:rPr>
          <w:rFonts w:hint="eastAsia" w:ascii="宋体" w:hAnsi="宋体"/>
          <w:color w:val="auto"/>
          <w:spacing w:val="8"/>
          <w:sz w:val="24"/>
        </w:rPr>
        <w:t>法定代表人</w:t>
      </w:r>
      <w:r>
        <w:rPr>
          <w:rFonts w:hint="eastAsia"/>
          <w:color w:val="auto"/>
          <w:sz w:val="24"/>
          <w:szCs w:val="24"/>
        </w:rPr>
        <w:t>（电子签名）</w:t>
      </w:r>
      <w:r>
        <w:rPr>
          <w:rFonts w:hint="eastAsia" w:ascii="宋体" w:hAnsi="宋体"/>
          <w:color w:val="auto"/>
          <w:spacing w:val="8"/>
          <w:sz w:val="24"/>
        </w:rPr>
        <w:t>：</w:t>
      </w:r>
    </w:p>
    <w:p w14:paraId="3D282A10">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4B2B9956">
      <w:pPr>
        <w:tabs>
          <w:tab w:val="left" w:pos="540"/>
        </w:tabs>
        <w:spacing w:line="440" w:lineRule="exact"/>
        <w:jc w:val="center"/>
        <w:rPr>
          <w:rFonts w:ascii="宋体" w:cs="楷体_GB2312"/>
          <w:b/>
          <w:color w:val="auto"/>
          <w:sz w:val="30"/>
          <w:szCs w:val="30"/>
          <w:lang w:val="zh-CN"/>
        </w:rPr>
      </w:pPr>
    </w:p>
    <w:p w14:paraId="04B8E6DC">
      <w:pPr>
        <w:widowControl w:val="0"/>
        <w:snapToGrid w:val="0"/>
        <w:spacing w:line="560" w:lineRule="exact"/>
        <w:jc w:val="left"/>
        <w:textAlignment w:val="top"/>
        <w:rPr>
          <w:color w:val="auto"/>
        </w:rPr>
      </w:pPr>
      <w:r>
        <w:rPr>
          <w:color w:val="auto"/>
        </w:rPr>
        <w:br w:type="page"/>
      </w:r>
    </w:p>
    <w:p w14:paraId="45721319">
      <w:pPr>
        <w:widowControl w:val="0"/>
        <w:snapToGrid w:val="0"/>
        <w:spacing w:line="560" w:lineRule="exact"/>
        <w:jc w:val="center"/>
        <w:rPr>
          <w:rFonts w:asciiTheme="minorEastAsia" w:hAnsiTheme="minorEastAsia" w:eastAsiaTheme="minorEastAsia"/>
          <w:color w:val="auto"/>
          <w:sz w:val="28"/>
          <w:szCs w:val="28"/>
        </w:rPr>
      </w:pPr>
      <w:r>
        <w:rPr>
          <w:rFonts w:hint="eastAsia" w:asciiTheme="minorEastAsia" w:hAnsiTheme="minorEastAsia" w:eastAsiaTheme="minorEastAsia"/>
          <w:b/>
          <w:color w:val="auto"/>
          <w:sz w:val="28"/>
          <w:szCs w:val="28"/>
          <w:lang w:val="en-US" w:eastAsia="zh-CN"/>
        </w:rPr>
        <w:t>七</w:t>
      </w:r>
      <w:r>
        <w:rPr>
          <w:rFonts w:hint="eastAsia" w:asciiTheme="minorEastAsia" w:hAnsiTheme="minorEastAsia" w:eastAsiaTheme="minorEastAsia"/>
          <w:b/>
          <w:color w:val="auto"/>
          <w:sz w:val="28"/>
          <w:szCs w:val="28"/>
        </w:rPr>
        <w:t>、</w:t>
      </w:r>
      <w:r>
        <w:rPr>
          <w:rFonts w:hint="eastAsia" w:asciiTheme="minorEastAsia" w:hAnsiTheme="minorEastAsia" w:eastAsiaTheme="minorEastAsia"/>
          <w:b/>
          <w:color w:val="auto"/>
          <w:sz w:val="28"/>
          <w:szCs w:val="28"/>
          <w:lang w:eastAsia="zh-CN"/>
        </w:rPr>
        <w:t>商务</w:t>
      </w:r>
      <w:r>
        <w:rPr>
          <w:rFonts w:hint="eastAsia" w:asciiTheme="minorEastAsia" w:hAnsiTheme="minorEastAsia" w:eastAsiaTheme="minorEastAsia"/>
          <w:b/>
          <w:color w:val="auto"/>
          <w:sz w:val="28"/>
          <w:szCs w:val="28"/>
        </w:rPr>
        <w:t>偏差表</w:t>
      </w:r>
    </w:p>
    <w:p w14:paraId="4DA231BE">
      <w:pPr>
        <w:pStyle w:val="18"/>
        <w:adjustRightInd w:val="0"/>
        <w:snapToGrid w:val="0"/>
        <w:spacing w:before="0" w:beforeAutospacing="0" w:after="0" w:afterAutospacing="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p>
    <w:p w14:paraId="4E5E9B1E">
      <w:pPr>
        <w:pStyle w:val="18"/>
        <w:adjustRightInd w:val="0"/>
        <w:snapToGrid w:val="0"/>
        <w:spacing w:before="0" w:beforeAutospacing="0" w:after="0" w:afterAutospacing="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tbl>
      <w:tblPr>
        <w:tblStyle w:val="22"/>
        <w:tblW w:w="9203" w:type="dxa"/>
        <w:tblInd w:w="-11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48"/>
        <w:gridCol w:w="2984"/>
        <w:gridCol w:w="3172"/>
        <w:gridCol w:w="2599"/>
      </w:tblGrid>
      <w:tr w14:paraId="7709A3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448" w:type="dxa"/>
            <w:vAlign w:val="center"/>
          </w:tcPr>
          <w:p w14:paraId="21EC9E58">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984" w:type="dxa"/>
            <w:vAlign w:val="center"/>
          </w:tcPr>
          <w:p w14:paraId="47E276BF">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文件要求条款</w:t>
            </w:r>
          </w:p>
        </w:tc>
        <w:tc>
          <w:tcPr>
            <w:tcW w:w="3172" w:type="dxa"/>
            <w:vAlign w:val="center"/>
          </w:tcPr>
          <w:p w14:paraId="5693CE38">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文件条款</w:t>
            </w:r>
          </w:p>
        </w:tc>
        <w:tc>
          <w:tcPr>
            <w:tcW w:w="2599" w:type="dxa"/>
            <w:vAlign w:val="center"/>
          </w:tcPr>
          <w:p w14:paraId="097EAB32">
            <w:pPr>
              <w:spacing w:line="56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偏差</w:t>
            </w:r>
            <w:r>
              <w:rPr>
                <w:rFonts w:hint="eastAsia" w:asciiTheme="minorEastAsia" w:hAnsiTheme="minorEastAsia" w:eastAsiaTheme="minorEastAsia" w:cstheme="minorEastAsia"/>
                <w:sz w:val="24"/>
                <w:szCs w:val="24"/>
                <w:lang w:eastAsia="zh-CN"/>
              </w:rPr>
              <w:t>描述</w:t>
            </w:r>
          </w:p>
        </w:tc>
      </w:tr>
      <w:tr w14:paraId="6E95A7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36999B34">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984" w:type="dxa"/>
            <w:vAlign w:val="center"/>
          </w:tcPr>
          <w:p w14:paraId="23A4F917">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3172" w:type="dxa"/>
            <w:vAlign w:val="center"/>
          </w:tcPr>
          <w:p w14:paraId="7C8EAA3F">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022A3881">
            <w:pPr>
              <w:spacing w:line="560" w:lineRule="atLeast"/>
              <w:jc w:val="center"/>
              <w:rPr>
                <w:rFonts w:hint="eastAsia" w:asciiTheme="minorEastAsia" w:hAnsiTheme="minorEastAsia" w:eastAsiaTheme="minorEastAsia" w:cstheme="minorEastAsia"/>
                <w:sz w:val="24"/>
                <w:szCs w:val="24"/>
              </w:rPr>
            </w:pPr>
          </w:p>
        </w:tc>
      </w:tr>
      <w:tr w14:paraId="08AB1C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34950C59">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984" w:type="dxa"/>
            <w:vAlign w:val="center"/>
          </w:tcPr>
          <w:p w14:paraId="079B2521">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3172" w:type="dxa"/>
            <w:vAlign w:val="center"/>
          </w:tcPr>
          <w:p w14:paraId="0DE7AC1B">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7D455D50">
            <w:pPr>
              <w:spacing w:line="560" w:lineRule="atLeast"/>
              <w:jc w:val="center"/>
              <w:rPr>
                <w:rFonts w:hint="eastAsia" w:asciiTheme="minorEastAsia" w:hAnsiTheme="minorEastAsia" w:eastAsiaTheme="minorEastAsia" w:cstheme="minorEastAsia"/>
                <w:sz w:val="24"/>
                <w:szCs w:val="24"/>
              </w:rPr>
            </w:pPr>
          </w:p>
        </w:tc>
      </w:tr>
      <w:tr w14:paraId="129CE8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7EA1F5D9">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984" w:type="dxa"/>
            <w:vAlign w:val="center"/>
          </w:tcPr>
          <w:p w14:paraId="54A2A9ED">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3172" w:type="dxa"/>
            <w:vAlign w:val="center"/>
          </w:tcPr>
          <w:p w14:paraId="37FA4442">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1FF34256">
            <w:pPr>
              <w:spacing w:line="560" w:lineRule="atLeast"/>
              <w:jc w:val="center"/>
              <w:rPr>
                <w:rFonts w:hint="eastAsia" w:asciiTheme="minorEastAsia" w:hAnsiTheme="minorEastAsia" w:eastAsiaTheme="minorEastAsia" w:cstheme="minorEastAsia"/>
                <w:sz w:val="24"/>
                <w:szCs w:val="24"/>
              </w:rPr>
            </w:pPr>
          </w:p>
        </w:tc>
      </w:tr>
      <w:tr w14:paraId="641692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448" w:type="dxa"/>
            <w:vAlign w:val="center"/>
          </w:tcPr>
          <w:p w14:paraId="77883307">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984" w:type="dxa"/>
            <w:vAlign w:val="center"/>
          </w:tcPr>
          <w:p w14:paraId="1F90EBDE">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3172" w:type="dxa"/>
            <w:vAlign w:val="center"/>
          </w:tcPr>
          <w:p w14:paraId="181E7619">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030321D9">
            <w:pPr>
              <w:spacing w:line="560" w:lineRule="atLeast"/>
              <w:jc w:val="center"/>
              <w:rPr>
                <w:rFonts w:hint="eastAsia" w:asciiTheme="minorEastAsia" w:hAnsiTheme="minorEastAsia" w:eastAsiaTheme="minorEastAsia" w:cstheme="minorEastAsia"/>
                <w:sz w:val="24"/>
                <w:szCs w:val="24"/>
              </w:rPr>
            </w:pPr>
          </w:p>
        </w:tc>
      </w:tr>
      <w:tr w14:paraId="2E8384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9" w:hRule="atLeast"/>
        </w:trPr>
        <w:tc>
          <w:tcPr>
            <w:tcW w:w="448" w:type="dxa"/>
            <w:vAlign w:val="center"/>
          </w:tcPr>
          <w:p w14:paraId="29F61A30">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984" w:type="dxa"/>
            <w:vAlign w:val="center"/>
          </w:tcPr>
          <w:p w14:paraId="66DDC101">
            <w:pPr>
              <w:spacing w:line="560" w:lineRule="atLeast"/>
              <w:jc w:val="center"/>
              <w:rPr>
                <w:rFonts w:hint="eastAsia" w:asciiTheme="minorEastAsia" w:hAnsiTheme="minorEastAsia" w:eastAsiaTheme="minorEastAsia" w:cstheme="minorEastAsia"/>
                <w:sz w:val="24"/>
                <w:szCs w:val="24"/>
              </w:rPr>
            </w:pPr>
          </w:p>
        </w:tc>
        <w:tc>
          <w:tcPr>
            <w:tcW w:w="3172" w:type="dxa"/>
            <w:vAlign w:val="center"/>
          </w:tcPr>
          <w:p w14:paraId="4D31C0D7">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04596FC7">
            <w:pPr>
              <w:spacing w:line="560" w:lineRule="atLeast"/>
              <w:jc w:val="center"/>
              <w:rPr>
                <w:rFonts w:hint="eastAsia" w:asciiTheme="minorEastAsia" w:hAnsiTheme="minorEastAsia" w:eastAsiaTheme="minorEastAsia" w:cstheme="minorEastAsia"/>
                <w:sz w:val="24"/>
                <w:szCs w:val="24"/>
              </w:rPr>
            </w:pPr>
          </w:p>
        </w:tc>
      </w:tr>
      <w:tr w14:paraId="46AE92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48" w:type="dxa"/>
            <w:vAlign w:val="center"/>
          </w:tcPr>
          <w:p w14:paraId="6A53708C">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984" w:type="dxa"/>
            <w:vAlign w:val="center"/>
          </w:tcPr>
          <w:p w14:paraId="45F0519A">
            <w:pPr>
              <w:spacing w:line="560" w:lineRule="atLeast"/>
              <w:jc w:val="center"/>
              <w:rPr>
                <w:rFonts w:hint="eastAsia" w:asciiTheme="minorEastAsia" w:hAnsiTheme="minorEastAsia" w:eastAsiaTheme="minorEastAsia" w:cstheme="minorEastAsia"/>
                <w:sz w:val="24"/>
                <w:szCs w:val="24"/>
              </w:rPr>
            </w:pPr>
          </w:p>
        </w:tc>
        <w:tc>
          <w:tcPr>
            <w:tcW w:w="3172" w:type="dxa"/>
            <w:vAlign w:val="center"/>
          </w:tcPr>
          <w:p w14:paraId="307FC03B">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36D2D496">
            <w:pPr>
              <w:spacing w:line="560" w:lineRule="atLeast"/>
              <w:jc w:val="center"/>
              <w:rPr>
                <w:rFonts w:hint="eastAsia" w:asciiTheme="minorEastAsia" w:hAnsiTheme="minorEastAsia" w:eastAsiaTheme="minorEastAsia" w:cstheme="minorEastAsia"/>
                <w:sz w:val="24"/>
                <w:szCs w:val="24"/>
              </w:rPr>
            </w:pPr>
          </w:p>
        </w:tc>
      </w:tr>
      <w:tr w14:paraId="2EA242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448" w:type="dxa"/>
            <w:vAlign w:val="center"/>
          </w:tcPr>
          <w:p w14:paraId="550CA730">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984" w:type="dxa"/>
            <w:vAlign w:val="center"/>
          </w:tcPr>
          <w:p w14:paraId="2546128A">
            <w:pPr>
              <w:spacing w:line="560" w:lineRule="atLeast"/>
              <w:jc w:val="center"/>
              <w:rPr>
                <w:rFonts w:hint="eastAsia" w:asciiTheme="minorEastAsia" w:hAnsiTheme="minorEastAsia" w:eastAsiaTheme="minorEastAsia" w:cstheme="minorEastAsia"/>
                <w:sz w:val="24"/>
                <w:szCs w:val="24"/>
              </w:rPr>
            </w:pPr>
          </w:p>
        </w:tc>
        <w:tc>
          <w:tcPr>
            <w:tcW w:w="3172" w:type="dxa"/>
            <w:vAlign w:val="center"/>
          </w:tcPr>
          <w:p w14:paraId="7E75DA8E">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15764393">
            <w:pPr>
              <w:spacing w:line="560" w:lineRule="atLeast"/>
              <w:jc w:val="center"/>
              <w:rPr>
                <w:rFonts w:hint="eastAsia" w:asciiTheme="minorEastAsia" w:hAnsiTheme="minorEastAsia" w:eastAsiaTheme="minorEastAsia" w:cstheme="minorEastAsia"/>
                <w:sz w:val="24"/>
                <w:szCs w:val="24"/>
              </w:rPr>
            </w:pPr>
          </w:p>
        </w:tc>
      </w:tr>
      <w:tr w14:paraId="357CCD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448" w:type="dxa"/>
            <w:vAlign w:val="center"/>
          </w:tcPr>
          <w:p w14:paraId="6D039DF9">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984" w:type="dxa"/>
            <w:vAlign w:val="center"/>
          </w:tcPr>
          <w:p w14:paraId="038FB52E">
            <w:pPr>
              <w:spacing w:line="560" w:lineRule="atLeast"/>
              <w:jc w:val="center"/>
              <w:rPr>
                <w:rFonts w:hint="eastAsia" w:asciiTheme="minorEastAsia" w:hAnsiTheme="minorEastAsia" w:eastAsiaTheme="minorEastAsia" w:cstheme="minorEastAsia"/>
                <w:sz w:val="24"/>
                <w:szCs w:val="24"/>
              </w:rPr>
            </w:pPr>
          </w:p>
        </w:tc>
        <w:tc>
          <w:tcPr>
            <w:tcW w:w="3172" w:type="dxa"/>
            <w:vAlign w:val="center"/>
          </w:tcPr>
          <w:p w14:paraId="33AA3F7D">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22007A77">
            <w:pPr>
              <w:spacing w:line="560" w:lineRule="atLeast"/>
              <w:jc w:val="center"/>
              <w:rPr>
                <w:rFonts w:hint="eastAsia" w:asciiTheme="minorEastAsia" w:hAnsiTheme="minorEastAsia" w:eastAsiaTheme="minorEastAsia" w:cstheme="minorEastAsia"/>
                <w:sz w:val="24"/>
                <w:szCs w:val="24"/>
              </w:rPr>
            </w:pPr>
          </w:p>
        </w:tc>
      </w:tr>
      <w:tr w14:paraId="62B1EE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448" w:type="dxa"/>
            <w:vAlign w:val="center"/>
          </w:tcPr>
          <w:p w14:paraId="3C89671D">
            <w:pPr>
              <w:spacing w:line="56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984" w:type="dxa"/>
            <w:vAlign w:val="center"/>
          </w:tcPr>
          <w:p w14:paraId="3A0CA8DC">
            <w:pPr>
              <w:spacing w:line="560" w:lineRule="atLeast"/>
              <w:jc w:val="center"/>
              <w:rPr>
                <w:rFonts w:hint="eastAsia" w:asciiTheme="minorEastAsia" w:hAnsiTheme="minorEastAsia" w:eastAsiaTheme="minorEastAsia" w:cstheme="minorEastAsia"/>
                <w:sz w:val="24"/>
                <w:szCs w:val="24"/>
              </w:rPr>
            </w:pPr>
          </w:p>
        </w:tc>
        <w:tc>
          <w:tcPr>
            <w:tcW w:w="3172" w:type="dxa"/>
            <w:vAlign w:val="center"/>
          </w:tcPr>
          <w:p w14:paraId="21C36CAE">
            <w:pPr>
              <w:spacing w:line="560" w:lineRule="atLeast"/>
              <w:jc w:val="center"/>
              <w:rPr>
                <w:rFonts w:hint="eastAsia" w:asciiTheme="minorEastAsia" w:hAnsiTheme="minorEastAsia" w:eastAsiaTheme="minorEastAsia" w:cstheme="minorEastAsia"/>
                <w:sz w:val="24"/>
                <w:szCs w:val="24"/>
              </w:rPr>
            </w:pPr>
          </w:p>
        </w:tc>
        <w:tc>
          <w:tcPr>
            <w:tcW w:w="2599" w:type="dxa"/>
            <w:vAlign w:val="center"/>
          </w:tcPr>
          <w:p w14:paraId="1D0CA996">
            <w:pPr>
              <w:spacing w:line="560" w:lineRule="atLeast"/>
              <w:jc w:val="center"/>
              <w:rPr>
                <w:rFonts w:hint="eastAsia" w:asciiTheme="minorEastAsia" w:hAnsiTheme="minorEastAsia" w:eastAsiaTheme="minorEastAsia" w:cstheme="minorEastAsia"/>
                <w:sz w:val="24"/>
                <w:szCs w:val="24"/>
              </w:rPr>
            </w:pPr>
          </w:p>
        </w:tc>
      </w:tr>
    </w:tbl>
    <w:p w14:paraId="3E1EAEEA">
      <w:pPr>
        <w:widowControl w:val="0"/>
        <w:tabs>
          <w:tab w:val="left" w:pos="9365"/>
        </w:tabs>
        <w:snapToGrid w:val="0"/>
        <w:spacing w:after="56" w:line="560" w:lineRule="exact"/>
        <w:ind w:firstLine="623"/>
        <w:textAlignment w:val="top"/>
        <w:rPr>
          <w:rFonts w:hint="eastAsia" w:asciiTheme="minorEastAsia" w:hAnsiTheme="minorEastAsia" w:eastAsiaTheme="minorEastAsia" w:cstheme="minorEastAsia"/>
          <w:color w:val="auto"/>
          <w:sz w:val="24"/>
          <w:szCs w:val="24"/>
        </w:rPr>
      </w:pPr>
    </w:p>
    <w:p w14:paraId="62968E97">
      <w:pPr>
        <w:widowControl w:val="0"/>
        <w:tabs>
          <w:tab w:val="left" w:pos="9365"/>
        </w:tabs>
        <w:snapToGrid w:val="0"/>
        <w:spacing w:line="360" w:lineRule="auto"/>
        <w:ind w:firstLine="624"/>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注：1、“偏差”栏中详细注明所投服务与《招标文件》中要求有何不同，并说明其符合性。投标人应分标段（包）填制本表。</w:t>
      </w:r>
    </w:p>
    <w:p w14:paraId="6764F50F">
      <w:pPr>
        <w:widowControl w:val="0"/>
        <w:numPr>
          <w:ilvl w:val="0"/>
          <w:numId w:val="2"/>
        </w:numPr>
        <w:tabs>
          <w:tab w:val="left" w:pos="9365"/>
        </w:tabs>
        <w:snapToGrid w:val="0"/>
        <w:spacing w:line="360" w:lineRule="auto"/>
        <w:ind w:left="0" w:leftChars="0" w:firstLine="0" w:firstLineChars="0"/>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如所投服务及 “</w:t>
      </w:r>
      <w:r>
        <w:rPr>
          <w:rFonts w:hint="eastAsia" w:asciiTheme="minorEastAsia" w:hAnsiTheme="minorEastAsia" w:eastAsiaTheme="minorEastAsia" w:cstheme="minorEastAsia"/>
          <w:color w:val="auto"/>
          <w:sz w:val="24"/>
          <w:szCs w:val="24"/>
          <w:lang w:eastAsia="zh-CN"/>
        </w:rPr>
        <w:t>商务</w:t>
      </w:r>
      <w:r>
        <w:rPr>
          <w:rFonts w:hint="eastAsia" w:asciiTheme="minorEastAsia" w:hAnsiTheme="minorEastAsia" w:eastAsiaTheme="minorEastAsia" w:cstheme="minorEastAsia"/>
          <w:color w:val="auto"/>
          <w:sz w:val="24"/>
          <w:szCs w:val="24"/>
        </w:rPr>
        <w:t>要求”一致的部分，仍需在本表填列“与《</w:t>
      </w:r>
      <w:r>
        <w:rPr>
          <w:rFonts w:hint="eastAsia" w:asciiTheme="minorEastAsia" w:hAnsiTheme="minorEastAsia" w:eastAsiaTheme="minorEastAsia" w:cstheme="minorEastAsia"/>
          <w:color w:val="auto"/>
          <w:sz w:val="24"/>
          <w:szCs w:val="24"/>
          <w:lang w:eastAsia="zh-CN"/>
        </w:rPr>
        <w:t>谈判文件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商务</w:t>
      </w:r>
      <w:r>
        <w:rPr>
          <w:rFonts w:hint="eastAsia" w:asciiTheme="minorEastAsia" w:hAnsiTheme="minorEastAsia" w:eastAsiaTheme="minorEastAsia" w:cstheme="minorEastAsia"/>
          <w:color w:val="auto"/>
          <w:sz w:val="24"/>
          <w:szCs w:val="24"/>
        </w:rPr>
        <w:t>要求一致”字样。</w:t>
      </w:r>
    </w:p>
    <w:p w14:paraId="3E561F3E">
      <w:pPr>
        <w:pStyle w:val="2"/>
        <w:numPr>
          <w:ilvl w:val="0"/>
          <w:numId w:val="0"/>
        </w:numPr>
        <w:ind w:leftChars="0"/>
        <w:rPr>
          <w:rFonts w:hint="eastAsia"/>
        </w:rPr>
      </w:pPr>
    </w:p>
    <w:p w14:paraId="3218F824">
      <w:pPr>
        <w:tabs>
          <w:tab w:val="left" w:pos="540"/>
        </w:tabs>
        <w:spacing w:line="440" w:lineRule="exact"/>
        <w:jc w:val="center"/>
        <w:rPr>
          <w:rFonts w:ascii="宋体" w:hAnsi="宋体"/>
          <w:color w:val="auto"/>
          <w:sz w:val="24"/>
        </w:rPr>
      </w:pPr>
      <w:r>
        <w:rPr>
          <w:color w:val="auto"/>
          <w:sz w:val="28"/>
        </w:rPr>
        <w:br w:type="page"/>
      </w:r>
    </w:p>
    <w:p w14:paraId="393FD852">
      <w:pPr>
        <w:autoSpaceDE w:val="0"/>
        <w:autoSpaceDN w:val="0"/>
        <w:adjustRightInd w:val="0"/>
        <w:spacing w:line="360" w:lineRule="auto"/>
        <w:ind w:right="-817"/>
        <w:jc w:val="center"/>
        <w:rPr>
          <w:rFonts w:asciiTheme="minorEastAsia" w:hAnsiTheme="minorEastAsia" w:eastAsiaTheme="minorEastAsia"/>
          <w:b/>
          <w:color w:val="auto"/>
          <w:sz w:val="30"/>
          <w:szCs w:val="30"/>
        </w:rPr>
      </w:pPr>
      <w:r>
        <w:rPr>
          <w:rFonts w:hint="eastAsia" w:asciiTheme="minorEastAsia" w:hAnsiTheme="minorEastAsia" w:eastAsiaTheme="minorEastAsia"/>
          <w:b/>
          <w:color w:val="auto"/>
          <w:sz w:val="28"/>
          <w:szCs w:val="28"/>
          <w:lang w:eastAsia="zh-CN"/>
        </w:rPr>
        <w:t>八</w:t>
      </w:r>
      <w:r>
        <w:rPr>
          <w:rFonts w:hint="eastAsia" w:asciiTheme="minorEastAsia" w:hAnsiTheme="minorEastAsia" w:eastAsiaTheme="minorEastAsia"/>
          <w:b/>
          <w:color w:val="auto"/>
          <w:sz w:val="28"/>
          <w:szCs w:val="28"/>
        </w:rPr>
        <w:t>、反商业贿赂承诺书</w:t>
      </w:r>
    </w:p>
    <w:p w14:paraId="32AB1307">
      <w:pPr>
        <w:tabs>
          <w:tab w:val="left" w:pos="65"/>
        </w:tabs>
        <w:spacing w:line="560" w:lineRule="exact"/>
        <w:jc w:val="center"/>
        <w:rPr>
          <w:rFonts w:asciiTheme="minorEastAsia" w:hAnsiTheme="minorEastAsia" w:eastAsiaTheme="minorEastAsia"/>
          <w:b/>
          <w:color w:val="auto"/>
          <w:sz w:val="24"/>
          <w:szCs w:val="24"/>
        </w:rPr>
      </w:pPr>
    </w:p>
    <w:p w14:paraId="71EF190C">
      <w:pPr>
        <w:tabs>
          <w:tab w:val="left" w:pos="65"/>
        </w:tabs>
        <w:spacing w:line="740" w:lineRule="exac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pacing w:val="11"/>
          <w:sz w:val="24"/>
          <w:szCs w:val="24"/>
          <w:u w:val="single"/>
        </w:rPr>
        <w:t xml:space="preserve">(采购人名称）    </w:t>
      </w:r>
    </w:p>
    <w:p w14:paraId="34F55EEA">
      <w:pPr>
        <w:tabs>
          <w:tab w:val="left" w:pos="65"/>
        </w:tabs>
        <w:spacing w:line="7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在项目编号为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 xml:space="preserve"> 的</w:t>
      </w:r>
      <w:r>
        <w:rPr>
          <w:rFonts w:hint="eastAsia" w:asciiTheme="minorEastAsia" w:hAnsiTheme="minorEastAsia" w:eastAsiaTheme="minorEastAsia"/>
          <w:color w:val="auto"/>
          <w:sz w:val="24"/>
          <w:szCs w:val="24"/>
          <w:u w:val="single"/>
        </w:rPr>
        <w:t xml:space="preserve">    （项目名称）  </w:t>
      </w:r>
      <w:r>
        <w:rPr>
          <w:rFonts w:hint="eastAsia" w:asciiTheme="minorEastAsia" w:hAnsiTheme="minorEastAsia" w:eastAsiaTheme="minorEastAsia"/>
          <w:color w:val="auto"/>
          <w:sz w:val="24"/>
          <w:szCs w:val="24"/>
        </w:rPr>
        <w:t xml:space="preserve"> 招标活动中，我公司保证做到：</w:t>
      </w:r>
    </w:p>
    <w:p w14:paraId="108CE405">
      <w:pPr>
        <w:tabs>
          <w:tab w:val="left" w:pos="65"/>
        </w:tabs>
        <w:spacing w:line="7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一、公平竞争参加本次招标活动。</w:t>
      </w:r>
    </w:p>
    <w:p w14:paraId="451FA720">
      <w:pPr>
        <w:tabs>
          <w:tab w:val="left" w:pos="65"/>
        </w:tabs>
        <w:spacing w:line="7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4549951">
      <w:pPr>
        <w:tabs>
          <w:tab w:val="left" w:pos="65"/>
        </w:tabs>
        <w:spacing w:line="7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三、若出现上述行为，我单位愿意接受相关部门按照国家法律法规等有关规定给予的处理。</w:t>
      </w:r>
    </w:p>
    <w:p w14:paraId="21CDEE02">
      <w:pPr>
        <w:tabs>
          <w:tab w:val="left" w:pos="65"/>
        </w:tabs>
        <w:spacing w:line="740" w:lineRule="exact"/>
        <w:rPr>
          <w:rFonts w:asciiTheme="minorEastAsia" w:hAnsiTheme="minorEastAsia" w:eastAsiaTheme="minorEastAsia"/>
          <w:color w:val="auto"/>
          <w:sz w:val="24"/>
          <w:szCs w:val="24"/>
        </w:rPr>
      </w:pPr>
    </w:p>
    <w:p w14:paraId="41FC7172">
      <w:pPr>
        <w:tabs>
          <w:tab w:val="left" w:pos="540"/>
        </w:tabs>
        <w:spacing w:line="440" w:lineRule="exact"/>
        <w:jc w:val="center"/>
        <w:rPr>
          <w:rFonts w:hint="eastAsia" w:ascii="黑体" w:hAnsi="黑体" w:eastAsia="黑体"/>
          <w:b/>
          <w:color w:val="auto"/>
          <w:sz w:val="30"/>
          <w:szCs w:val="30"/>
          <w:lang w:val="en-US" w:eastAsia="zh-CN"/>
        </w:rPr>
      </w:pPr>
    </w:p>
    <w:p w14:paraId="5AA015B8">
      <w:pPr>
        <w:tabs>
          <w:tab w:val="left" w:pos="540"/>
        </w:tabs>
        <w:spacing w:line="440" w:lineRule="exact"/>
        <w:jc w:val="center"/>
        <w:rPr>
          <w:rFonts w:hint="eastAsia" w:ascii="黑体" w:hAnsi="黑体" w:eastAsia="黑体"/>
          <w:b/>
          <w:color w:val="auto"/>
          <w:sz w:val="30"/>
          <w:szCs w:val="30"/>
          <w:lang w:val="en-US" w:eastAsia="zh-CN"/>
        </w:rPr>
      </w:pPr>
    </w:p>
    <w:p w14:paraId="6D68F7DA">
      <w:pPr>
        <w:tabs>
          <w:tab w:val="left" w:pos="540"/>
        </w:tabs>
        <w:spacing w:line="440" w:lineRule="exact"/>
        <w:jc w:val="center"/>
        <w:rPr>
          <w:rFonts w:hint="eastAsia" w:ascii="黑体" w:hAnsi="黑体" w:eastAsia="黑体"/>
          <w:b/>
          <w:color w:val="auto"/>
          <w:sz w:val="30"/>
          <w:szCs w:val="30"/>
          <w:lang w:val="en-US" w:eastAsia="zh-CN"/>
        </w:rPr>
      </w:pPr>
    </w:p>
    <w:p w14:paraId="470FE011">
      <w:pPr>
        <w:tabs>
          <w:tab w:val="left" w:pos="540"/>
        </w:tabs>
        <w:spacing w:line="440" w:lineRule="exact"/>
        <w:jc w:val="center"/>
        <w:rPr>
          <w:rFonts w:hint="eastAsia" w:ascii="黑体" w:hAnsi="黑体" w:eastAsia="黑体"/>
          <w:b/>
          <w:color w:val="auto"/>
          <w:sz w:val="30"/>
          <w:szCs w:val="30"/>
          <w:lang w:val="en-US" w:eastAsia="zh-CN"/>
        </w:rPr>
      </w:pPr>
    </w:p>
    <w:p w14:paraId="0FE2F883">
      <w:pPr>
        <w:tabs>
          <w:tab w:val="left" w:pos="540"/>
        </w:tabs>
        <w:spacing w:line="440" w:lineRule="exact"/>
        <w:jc w:val="center"/>
        <w:rPr>
          <w:rFonts w:hint="eastAsia" w:ascii="黑体" w:hAnsi="黑体" w:eastAsia="黑体"/>
          <w:b/>
          <w:color w:val="auto"/>
          <w:sz w:val="30"/>
          <w:szCs w:val="30"/>
          <w:lang w:val="en-US" w:eastAsia="zh-CN"/>
        </w:rPr>
      </w:pPr>
    </w:p>
    <w:p w14:paraId="20F163D5">
      <w:pPr>
        <w:tabs>
          <w:tab w:val="left" w:pos="540"/>
        </w:tabs>
        <w:spacing w:line="440" w:lineRule="exact"/>
        <w:jc w:val="center"/>
        <w:rPr>
          <w:rFonts w:hint="eastAsia" w:ascii="黑体" w:hAnsi="黑体" w:eastAsia="黑体"/>
          <w:b/>
          <w:color w:val="auto"/>
          <w:sz w:val="30"/>
          <w:szCs w:val="30"/>
          <w:lang w:val="en-US" w:eastAsia="zh-CN"/>
        </w:rPr>
      </w:pPr>
    </w:p>
    <w:p w14:paraId="54DEA1A9">
      <w:pPr>
        <w:tabs>
          <w:tab w:val="left" w:pos="540"/>
        </w:tabs>
        <w:spacing w:line="440" w:lineRule="exact"/>
        <w:jc w:val="center"/>
        <w:rPr>
          <w:rFonts w:hint="eastAsia" w:ascii="黑体" w:hAnsi="黑体" w:eastAsia="黑体"/>
          <w:b/>
          <w:color w:val="auto"/>
          <w:sz w:val="30"/>
          <w:szCs w:val="30"/>
          <w:lang w:val="en-US" w:eastAsia="zh-CN"/>
        </w:rPr>
      </w:pPr>
    </w:p>
    <w:p w14:paraId="20617962">
      <w:pPr>
        <w:tabs>
          <w:tab w:val="left" w:pos="540"/>
        </w:tabs>
        <w:spacing w:line="440" w:lineRule="exact"/>
        <w:jc w:val="center"/>
        <w:rPr>
          <w:rFonts w:hint="eastAsia" w:ascii="黑体" w:hAnsi="黑体" w:eastAsia="黑体"/>
          <w:b/>
          <w:color w:val="auto"/>
          <w:sz w:val="30"/>
          <w:szCs w:val="30"/>
          <w:lang w:val="en-US" w:eastAsia="zh-CN"/>
        </w:rPr>
      </w:pPr>
    </w:p>
    <w:p w14:paraId="35925655">
      <w:pPr>
        <w:tabs>
          <w:tab w:val="left" w:pos="540"/>
        </w:tabs>
        <w:spacing w:line="440" w:lineRule="exact"/>
        <w:jc w:val="center"/>
        <w:rPr>
          <w:rFonts w:hint="eastAsia" w:ascii="黑体" w:hAnsi="黑体" w:eastAsia="黑体"/>
          <w:b/>
          <w:color w:val="auto"/>
          <w:sz w:val="30"/>
          <w:szCs w:val="30"/>
          <w:lang w:val="en-US" w:eastAsia="zh-CN"/>
        </w:rPr>
      </w:pPr>
    </w:p>
    <w:p w14:paraId="335C0D43">
      <w:pPr>
        <w:tabs>
          <w:tab w:val="left" w:pos="540"/>
        </w:tabs>
        <w:spacing w:line="440" w:lineRule="exact"/>
        <w:jc w:val="center"/>
        <w:rPr>
          <w:rFonts w:hint="eastAsia" w:ascii="黑体" w:hAnsi="黑体" w:eastAsia="黑体"/>
          <w:b/>
          <w:color w:val="auto"/>
          <w:sz w:val="30"/>
          <w:szCs w:val="30"/>
          <w:lang w:val="en-US" w:eastAsia="zh-CN"/>
        </w:rPr>
      </w:pPr>
    </w:p>
    <w:p w14:paraId="780E581D">
      <w:pPr>
        <w:tabs>
          <w:tab w:val="left" w:pos="540"/>
        </w:tabs>
        <w:spacing w:line="440" w:lineRule="exact"/>
        <w:jc w:val="center"/>
        <w:rPr>
          <w:rFonts w:hint="eastAsia" w:ascii="黑体" w:hAnsi="黑体" w:eastAsia="黑体"/>
          <w:b/>
          <w:color w:val="auto"/>
          <w:sz w:val="30"/>
          <w:szCs w:val="30"/>
          <w:lang w:val="en-US" w:eastAsia="zh-CN"/>
        </w:rPr>
      </w:pPr>
    </w:p>
    <w:p w14:paraId="565CCF6B">
      <w:pPr>
        <w:tabs>
          <w:tab w:val="left" w:pos="540"/>
        </w:tabs>
        <w:spacing w:line="440" w:lineRule="exact"/>
        <w:jc w:val="center"/>
        <w:rPr>
          <w:rFonts w:hint="eastAsia" w:ascii="黑体" w:hAnsi="黑体" w:eastAsia="黑体"/>
          <w:b/>
          <w:color w:val="auto"/>
          <w:sz w:val="30"/>
          <w:szCs w:val="30"/>
          <w:lang w:val="en-US" w:eastAsia="zh-CN"/>
        </w:rPr>
      </w:pPr>
    </w:p>
    <w:p w14:paraId="40DE74D3">
      <w:pPr>
        <w:pStyle w:val="2"/>
        <w:rPr>
          <w:rFonts w:hint="eastAsia" w:ascii="黑体" w:hAnsi="黑体" w:eastAsia="黑体"/>
          <w:b/>
          <w:color w:val="auto"/>
          <w:sz w:val="30"/>
          <w:szCs w:val="30"/>
          <w:lang w:val="en-US" w:eastAsia="zh-CN"/>
        </w:rPr>
      </w:pPr>
    </w:p>
    <w:p w14:paraId="500769E8">
      <w:pPr>
        <w:tabs>
          <w:tab w:val="left" w:pos="540"/>
        </w:tabs>
        <w:spacing w:line="440" w:lineRule="exact"/>
        <w:jc w:val="center"/>
        <w:rPr>
          <w:rFonts w:ascii="黑体" w:hAnsi="黑体" w:eastAsia="黑体"/>
          <w:b/>
          <w:color w:val="auto"/>
          <w:sz w:val="30"/>
          <w:szCs w:val="30"/>
        </w:rPr>
      </w:pPr>
      <w:bookmarkStart w:id="41" w:name="OLE_LINK19"/>
      <w:r>
        <w:rPr>
          <w:rFonts w:hint="eastAsia" w:ascii="黑体" w:hAnsi="黑体" w:eastAsia="黑体"/>
          <w:b/>
          <w:color w:val="auto"/>
          <w:sz w:val="30"/>
          <w:szCs w:val="30"/>
          <w:lang w:eastAsia="zh-CN"/>
        </w:rPr>
        <w:t>九、</w:t>
      </w:r>
      <w:r>
        <w:rPr>
          <w:rFonts w:hint="eastAsia" w:ascii="黑体" w:hAnsi="黑体" w:eastAsia="黑体"/>
          <w:b/>
          <w:color w:val="auto"/>
          <w:sz w:val="30"/>
          <w:szCs w:val="30"/>
        </w:rPr>
        <w:t>履约承诺书</w:t>
      </w:r>
      <w:bookmarkEnd w:id="41"/>
    </w:p>
    <w:p w14:paraId="339C3B12">
      <w:pPr>
        <w:adjustRightInd w:val="0"/>
        <w:snapToGrid w:val="0"/>
        <w:spacing w:beforeLines="50" w:line="300" w:lineRule="auto"/>
        <w:ind w:right="56" w:firstLine="555"/>
        <w:rPr>
          <w:color w:val="auto"/>
          <w:sz w:val="24"/>
        </w:rPr>
      </w:pPr>
      <w:r>
        <w:rPr>
          <w:rFonts w:hint="eastAsia"/>
          <w:color w:val="auto"/>
          <w:sz w:val="24"/>
        </w:rPr>
        <w:t>一、我单位承诺：</w:t>
      </w:r>
    </w:p>
    <w:p w14:paraId="5E5BE698">
      <w:pPr>
        <w:adjustRightInd w:val="0"/>
        <w:snapToGrid w:val="0"/>
        <w:spacing w:beforeLines="50" w:line="300" w:lineRule="auto"/>
        <w:ind w:firstLine="555"/>
        <w:rPr>
          <w:color w:val="auto"/>
          <w:sz w:val="24"/>
        </w:rPr>
      </w:pPr>
      <w:r>
        <w:rPr>
          <w:rFonts w:hint="eastAsia"/>
          <w:color w:val="auto"/>
          <w:sz w:val="24"/>
        </w:rPr>
        <w:t>（一）我单位已详细阅读并完全理解、同意《</w:t>
      </w:r>
      <w:r>
        <w:rPr>
          <w:rFonts w:hint="eastAsia"/>
          <w:color w:val="auto"/>
          <w:sz w:val="24"/>
          <w:lang w:eastAsia="zh-CN"/>
        </w:rPr>
        <w:t>谈判</w:t>
      </w:r>
      <w:r>
        <w:rPr>
          <w:rFonts w:hint="eastAsia"/>
          <w:color w:val="auto"/>
          <w:sz w:val="24"/>
        </w:rPr>
        <w:t>文件》的全部内容，包括修改补充文件以及全部参考资料和有关附件；除我单位在《</w:t>
      </w:r>
      <w:r>
        <w:rPr>
          <w:rFonts w:hint="eastAsia"/>
          <w:color w:val="auto"/>
          <w:sz w:val="24"/>
          <w:lang w:eastAsia="zh-CN"/>
        </w:rPr>
        <w:t>谈判</w:t>
      </w:r>
      <w:r>
        <w:rPr>
          <w:rFonts w:hint="eastAsia"/>
          <w:color w:val="auto"/>
          <w:sz w:val="24"/>
        </w:rPr>
        <w:t>文件》规定期间内书面提出的疑问外，我单位放弃对这方面不明及误解的权力，并严格按采购人确定的技术及商务要求等履行。</w:t>
      </w:r>
    </w:p>
    <w:p w14:paraId="0B5C3733">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（二）我单位《响应文件》开启前已详细勘察现场，并按采购人现场条件及采购要求编制</w:t>
      </w:r>
      <w:r>
        <w:rPr>
          <w:rFonts w:hint="eastAsia"/>
          <w:color w:val="auto"/>
          <w:sz w:val="24"/>
          <w:lang w:eastAsia="zh-CN"/>
        </w:rPr>
        <w:t>谈判</w:t>
      </w:r>
      <w:r>
        <w:rPr>
          <w:rFonts w:hint="eastAsia"/>
          <w:color w:val="auto"/>
          <w:sz w:val="24"/>
        </w:rPr>
        <w:t>报价；我单位的</w:t>
      </w:r>
      <w:r>
        <w:rPr>
          <w:rFonts w:hint="eastAsia"/>
          <w:color w:val="auto"/>
          <w:sz w:val="24"/>
          <w:lang w:eastAsia="zh-CN"/>
        </w:rPr>
        <w:t>谈判</w:t>
      </w:r>
      <w:r>
        <w:rPr>
          <w:rFonts w:hint="eastAsia"/>
          <w:color w:val="auto"/>
          <w:sz w:val="24"/>
        </w:rPr>
        <w:t>报价括《</w:t>
      </w:r>
      <w:r>
        <w:rPr>
          <w:rFonts w:hint="eastAsia"/>
          <w:color w:val="auto"/>
          <w:sz w:val="24"/>
          <w:lang w:eastAsia="zh-CN"/>
        </w:rPr>
        <w:t>谈判</w:t>
      </w:r>
      <w:r>
        <w:rPr>
          <w:rFonts w:hint="eastAsia"/>
          <w:color w:val="auto"/>
          <w:sz w:val="24"/>
        </w:rPr>
        <w:t>文件》所述报价组成的所有内容、并包括《</w:t>
      </w:r>
      <w:r>
        <w:rPr>
          <w:rFonts w:hint="eastAsia"/>
          <w:color w:val="auto"/>
          <w:sz w:val="24"/>
          <w:lang w:eastAsia="zh-CN"/>
        </w:rPr>
        <w:t>谈判</w:t>
      </w:r>
      <w:r>
        <w:rPr>
          <w:rFonts w:hint="eastAsia"/>
          <w:color w:val="auto"/>
          <w:sz w:val="24"/>
        </w:rPr>
        <w:t>文件》未列明而与采购项目相关的、必须的所有款项及费用等达到交付使用及验收条件的所有一切风险、责任和义务的费用。</w:t>
      </w:r>
    </w:p>
    <w:p w14:paraId="65658EE6">
      <w:pPr>
        <w:tabs>
          <w:tab w:val="left" w:pos="9354"/>
        </w:tabs>
        <w:adjustRightInd w:val="0"/>
        <w:snapToGrid w:val="0"/>
        <w:spacing w:beforeLines="50" w:line="300" w:lineRule="auto"/>
        <w:ind w:firstLine="480" w:firstLineChars="200"/>
        <w:rPr>
          <w:color w:val="auto"/>
          <w:sz w:val="24"/>
        </w:rPr>
      </w:pPr>
      <w:r>
        <w:rPr>
          <w:rFonts w:hint="eastAsia"/>
          <w:color w:val="auto"/>
          <w:sz w:val="24"/>
        </w:rPr>
        <w:t>我单位保证按《</w:t>
      </w:r>
      <w:r>
        <w:rPr>
          <w:rFonts w:hint="eastAsia"/>
          <w:color w:val="auto"/>
          <w:sz w:val="24"/>
          <w:lang w:eastAsia="zh-CN"/>
        </w:rPr>
        <w:t>谈判</w:t>
      </w:r>
      <w:r>
        <w:rPr>
          <w:rFonts w:hint="eastAsia"/>
          <w:color w:val="auto"/>
          <w:sz w:val="24"/>
        </w:rPr>
        <w:t>文件》要求及投标承诺的质量诚信履约。</w:t>
      </w:r>
    </w:p>
    <w:p w14:paraId="37AEA938">
      <w:pPr>
        <w:tabs>
          <w:tab w:val="left" w:pos="9354"/>
        </w:tabs>
        <w:adjustRightInd w:val="0"/>
        <w:snapToGrid w:val="0"/>
        <w:spacing w:beforeLines="50" w:line="300" w:lineRule="auto"/>
        <w:ind w:firstLine="480" w:firstLineChars="200"/>
        <w:rPr>
          <w:color w:val="auto"/>
          <w:sz w:val="24"/>
        </w:rPr>
      </w:pPr>
      <w:r>
        <w:rPr>
          <w:rFonts w:hint="eastAsia"/>
          <w:color w:val="auto"/>
          <w:sz w:val="24"/>
        </w:rPr>
        <w:t>（三）我单位保证在《</w:t>
      </w:r>
      <w:r>
        <w:rPr>
          <w:rFonts w:hint="eastAsia"/>
          <w:color w:val="auto"/>
          <w:sz w:val="24"/>
          <w:lang w:eastAsia="zh-CN"/>
        </w:rPr>
        <w:t>谈判</w:t>
      </w:r>
      <w:r>
        <w:rPr>
          <w:rFonts w:hint="eastAsia"/>
          <w:color w:val="auto"/>
          <w:sz w:val="24"/>
        </w:rPr>
        <w:t>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12B2604A">
      <w:pPr>
        <w:tabs>
          <w:tab w:val="left" w:pos="9354"/>
        </w:tabs>
        <w:adjustRightInd w:val="0"/>
        <w:snapToGrid w:val="0"/>
        <w:spacing w:beforeLines="50" w:line="300" w:lineRule="auto"/>
        <w:ind w:firstLine="480" w:firstLineChars="200"/>
        <w:rPr>
          <w:color w:val="auto"/>
          <w:sz w:val="24"/>
        </w:rPr>
      </w:pPr>
      <w:r>
        <w:rPr>
          <w:rFonts w:hint="eastAsia"/>
          <w:color w:val="auto"/>
          <w:sz w:val="24"/>
        </w:rPr>
        <w:t>二、我单位承诺：</w:t>
      </w:r>
    </w:p>
    <w:p w14:paraId="710CE153">
      <w:pPr>
        <w:tabs>
          <w:tab w:val="left" w:pos="9354"/>
        </w:tabs>
        <w:adjustRightInd w:val="0"/>
        <w:snapToGrid w:val="0"/>
        <w:spacing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w:t>
      </w:r>
      <w:r>
        <w:rPr>
          <w:rFonts w:hint="eastAsia"/>
          <w:color w:val="auto"/>
          <w:sz w:val="24"/>
          <w:lang w:eastAsia="zh-CN"/>
        </w:rPr>
        <w:t>谈判</w:t>
      </w:r>
      <w:r>
        <w:rPr>
          <w:rFonts w:hint="eastAsia"/>
          <w:color w:val="auto"/>
          <w:sz w:val="24"/>
        </w:rPr>
        <w:t>文件》技术、交验期等要求或不能实现投标承诺的或提出变更的，我单位将无条件接受违约处理、并放弃我单位中标资格。我单位知悉违约责任及其处理，并无条件接受：</w:t>
      </w:r>
      <w:r>
        <w:rPr>
          <w:rFonts w:hint="eastAsia"/>
          <w:color w:val="auto"/>
          <w:sz w:val="24"/>
          <w:szCs w:val="24"/>
        </w:rPr>
        <w:t>依据</w:t>
      </w:r>
      <w:r>
        <w:rPr>
          <w:rFonts w:hint="eastAsia"/>
          <w:color w:val="auto"/>
          <w:sz w:val="24"/>
          <w:szCs w:val="24"/>
          <w:lang w:eastAsia="zh-CN"/>
        </w:rPr>
        <w:t>谈判</w:t>
      </w:r>
      <w:r>
        <w:rPr>
          <w:rFonts w:hint="eastAsia"/>
          <w:color w:val="auto"/>
          <w:sz w:val="24"/>
          <w:szCs w:val="24"/>
        </w:rPr>
        <w:t>文件“第三章3.5.5 违背承诺的责任追究措施”，供应商承担相应法律责任及违约责任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14:paraId="462F3625">
      <w:pPr>
        <w:tabs>
          <w:tab w:val="left" w:pos="9354"/>
        </w:tabs>
        <w:adjustRightInd w:val="0"/>
        <w:snapToGrid w:val="0"/>
        <w:spacing w:beforeLines="50" w:line="300" w:lineRule="auto"/>
        <w:ind w:firstLine="480" w:firstLineChars="200"/>
        <w:rPr>
          <w:color w:val="auto"/>
          <w:sz w:val="24"/>
        </w:rPr>
      </w:pPr>
    </w:p>
    <w:p w14:paraId="28485484">
      <w:pPr>
        <w:tabs>
          <w:tab w:val="left" w:pos="9354"/>
        </w:tabs>
        <w:adjustRightInd w:val="0"/>
        <w:snapToGrid w:val="0"/>
        <w:spacing w:beforeLines="50" w:line="300" w:lineRule="auto"/>
        <w:ind w:firstLine="480" w:firstLineChars="200"/>
        <w:rPr>
          <w:color w:val="auto"/>
          <w:sz w:val="24"/>
        </w:rPr>
      </w:pPr>
    </w:p>
    <w:p w14:paraId="45BB9662">
      <w:pPr>
        <w:tabs>
          <w:tab w:val="left" w:pos="0"/>
        </w:tabs>
        <w:spacing w:line="500" w:lineRule="exact"/>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14:paraId="311A2792">
      <w:pPr>
        <w:tabs>
          <w:tab w:val="left" w:pos="0"/>
        </w:tabs>
        <w:spacing w:line="500" w:lineRule="exact"/>
        <w:ind w:right="768"/>
        <w:jc w:val="left"/>
        <w:rPr>
          <w:rFonts w:ascii="宋体"/>
          <w:color w:val="auto"/>
          <w:spacing w:val="8"/>
          <w:sz w:val="24"/>
        </w:rPr>
      </w:pPr>
      <w:r>
        <w:rPr>
          <w:rFonts w:hint="eastAsia" w:ascii="宋体" w:hAnsi="宋体"/>
          <w:color w:val="auto"/>
          <w:spacing w:val="8"/>
          <w:sz w:val="24"/>
        </w:rPr>
        <w:t>法定代表人</w:t>
      </w:r>
      <w:r>
        <w:rPr>
          <w:rFonts w:hint="eastAsia"/>
          <w:color w:val="auto"/>
          <w:sz w:val="24"/>
          <w:szCs w:val="24"/>
        </w:rPr>
        <w:t>（电子签名）</w:t>
      </w:r>
      <w:r>
        <w:rPr>
          <w:rFonts w:hint="eastAsia" w:ascii="宋体" w:hAnsi="宋体"/>
          <w:color w:val="auto"/>
          <w:spacing w:val="8"/>
          <w:sz w:val="24"/>
        </w:rPr>
        <w:t>：</w:t>
      </w:r>
    </w:p>
    <w:p w14:paraId="625D399F">
      <w:pPr>
        <w:tabs>
          <w:tab w:val="left" w:pos="0"/>
        </w:tabs>
        <w:spacing w:line="500" w:lineRule="exact"/>
        <w:ind w:right="256"/>
        <w:jc w:val="right"/>
        <w:rPr>
          <w:rFonts w:ascii="宋体"/>
          <w:color w:val="auto"/>
          <w:spacing w:val="8"/>
          <w:sz w:val="24"/>
        </w:rPr>
      </w:pPr>
    </w:p>
    <w:p w14:paraId="7B1399AD">
      <w:pPr>
        <w:autoSpaceDE w:val="0"/>
        <w:autoSpaceDN w:val="0"/>
        <w:adjustRightInd w:val="0"/>
        <w:spacing w:line="360" w:lineRule="auto"/>
        <w:jc w:val="left"/>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5C2BF411">
      <w:pPr>
        <w:pStyle w:val="2"/>
        <w:rPr>
          <w:rFonts w:hint="eastAsia" w:ascii="黑体" w:hAnsi="黑体" w:eastAsia="黑体"/>
          <w:b/>
          <w:color w:val="auto"/>
          <w:sz w:val="30"/>
          <w:szCs w:val="30"/>
          <w:lang w:val="en-US" w:eastAsia="zh-CN"/>
        </w:rPr>
      </w:pPr>
    </w:p>
    <w:p w14:paraId="01AA19B6">
      <w:pPr>
        <w:pStyle w:val="2"/>
        <w:rPr>
          <w:rFonts w:hint="eastAsia" w:ascii="黑体" w:hAnsi="黑体" w:eastAsia="黑体"/>
          <w:b/>
          <w:color w:val="auto"/>
          <w:sz w:val="30"/>
          <w:szCs w:val="30"/>
          <w:lang w:val="en-US" w:eastAsia="zh-CN"/>
        </w:rPr>
      </w:pPr>
    </w:p>
    <w:p w14:paraId="58A64E57">
      <w:pPr>
        <w:pStyle w:val="2"/>
        <w:rPr>
          <w:rFonts w:hint="eastAsia" w:ascii="黑体" w:hAnsi="黑体" w:eastAsia="黑体"/>
          <w:b/>
          <w:color w:val="auto"/>
          <w:sz w:val="30"/>
          <w:szCs w:val="30"/>
          <w:lang w:val="en-US" w:eastAsia="zh-CN"/>
        </w:rPr>
      </w:pPr>
    </w:p>
    <w:p w14:paraId="72CA76D7">
      <w:pPr>
        <w:pStyle w:val="2"/>
        <w:rPr>
          <w:rFonts w:hint="eastAsia" w:ascii="黑体" w:hAnsi="黑体" w:eastAsia="黑体"/>
          <w:b/>
          <w:color w:val="auto"/>
          <w:sz w:val="30"/>
          <w:szCs w:val="30"/>
          <w:lang w:val="en-US" w:eastAsia="zh-CN"/>
        </w:rPr>
      </w:pPr>
    </w:p>
    <w:p w14:paraId="43AE6BE4">
      <w:pPr>
        <w:tabs>
          <w:tab w:val="left" w:pos="540"/>
        </w:tabs>
        <w:spacing w:line="440" w:lineRule="exact"/>
        <w:jc w:val="center"/>
        <w:rPr>
          <w:rFonts w:hint="eastAsia" w:cs="Times New Roman" w:asciiTheme="minorEastAsia" w:hAnsiTheme="minorEastAsia" w:eastAsiaTheme="minorEastAsia"/>
          <w:b/>
          <w:color w:val="auto"/>
          <w:sz w:val="28"/>
          <w:szCs w:val="28"/>
          <w:lang w:val="zh-CN" w:eastAsia="zh-CN"/>
        </w:rPr>
      </w:pPr>
      <w:r>
        <w:rPr>
          <w:rFonts w:hint="eastAsia" w:cs="Times New Roman" w:asciiTheme="minorEastAsia" w:hAnsiTheme="minorEastAsia" w:eastAsiaTheme="minorEastAsia"/>
          <w:b/>
          <w:color w:val="auto"/>
          <w:sz w:val="28"/>
          <w:szCs w:val="28"/>
          <w:lang w:val="en-US" w:eastAsia="zh-CN"/>
        </w:rPr>
        <w:t>十.招标项目及服务要求所需的其他材料</w:t>
      </w:r>
    </w:p>
    <w:p w14:paraId="2F69335C">
      <w:pPr>
        <w:widowControl w:val="0"/>
        <w:snapToGrid w:val="0"/>
        <w:spacing w:line="560" w:lineRule="exact"/>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（按条款需要填列；并按条款要求</w:t>
      </w:r>
      <w:r>
        <w:rPr>
          <w:rFonts w:hint="eastAsia" w:cs="楷体_GB2312" w:asciiTheme="minorEastAsia" w:hAnsiTheme="minorEastAsia" w:eastAsiaTheme="minorEastAsia"/>
          <w:color w:val="auto"/>
          <w:sz w:val="24"/>
          <w:lang w:val="zh-CN"/>
        </w:rPr>
        <w:t>电子签名&lt;签</w:t>
      </w:r>
      <w:r>
        <w:rPr>
          <w:rFonts w:hint="eastAsia" w:asciiTheme="minorEastAsia" w:hAnsiTheme="minorEastAsia" w:eastAsiaTheme="minorEastAsia"/>
          <w:color w:val="auto"/>
          <w:sz w:val="24"/>
          <w:szCs w:val="24"/>
        </w:rPr>
        <w:t>章&gt;。条款中对</w:t>
      </w:r>
      <w:r>
        <w:rPr>
          <w:rFonts w:hint="eastAsia" w:cs="楷体_GB2312" w:asciiTheme="minorEastAsia" w:hAnsiTheme="minorEastAsia" w:eastAsiaTheme="minorEastAsia"/>
          <w:color w:val="auto"/>
          <w:sz w:val="24"/>
          <w:lang w:val="zh-CN"/>
        </w:rPr>
        <w:t>电子签名&lt;签</w:t>
      </w:r>
      <w:r>
        <w:rPr>
          <w:rFonts w:hint="eastAsia" w:asciiTheme="minorEastAsia" w:hAnsiTheme="minorEastAsia" w:eastAsiaTheme="minorEastAsia"/>
          <w:color w:val="auto"/>
          <w:sz w:val="24"/>
          <w:szCs w:val="24"/>
        </w:rPr>
        <w:t>章&gt;未作明确要求的，由法定代表人</w:t>
      </w:r>
      <w:r>
        <w:rPr>
          <w:rFonts w:hint="eastAsia" w:cs="楷体_GB2312" w:asciiTheme="minorEastAsia" w:hAnsiTheme="minorEastAsia" w:eastAsiaTheme="minorEastAsia"/>
          <w:color w:val="auto"/>
          <w:sz w:val="24"/>
          <w:lang w:val="zh-CN"/>
        </w:rPr>
        <w:t>电子签名</w:t>
      </w:r>
      <w:r>
        <w:rPr>
          <w:rFonts w:hint="eastAsia" w:asciiTheme="minorEastAsia" w:hAnsiTheme="minorEastAsia" w:eastAsiaTheme="minorEastAsia"/>
          <w:color w:val="auto"/>
          <w:sz w:val="24"/>
          <w:szCs w:val="24"/>
        </w:rPr>
        <w:t>或投标人</w:t>
      </w:r>
      <w:r>
        <w:rPr>
          <w:rFonts w:hint="eastAsia" w:cs="楷体_GB2312" w:asciiTheme="minorEastAsia" w:hAnsiTheme="minorEastAsia" w:eastAsiaTheme="minorEastAsia"/>
          <w:color w:val="auto"/>
          <w:sz w:val="24"/>
          <w:lang w:val="zh-CN"/>
        </w:rPr>
        <w:t>电子签</w:t>
      </w:r>
      <w:r>
        <w:rPr>
          <w:rFonts w:hint="eastAsia" w:asciiTheme="minorEastAsia" w:hAnsiTheme="minorEastAsia" w:eastAsiaTheme="minorEastAsia"/>
          <w:color w:val="auto"/>
          <w:sz w:val="24"/>
          <w:szCs w:val="24"/>
        </w:rPr>
        <w:t>章）</w:t>
      </w:r>
    </w:p>
    <w:p w14:paraId="729CAF19">
      <w:pPr>
        <w:widowControl w:val="0"/>
        <w:snapToGrid w:val="0"/>
        <w:spacing w:line="560" w:lineRule="exact"/>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如采购产品属于政府强制采购品目清单的，</w:t>
      </w:r>
      <w:r>
        <w:rPr>
          <w:rFonts w:hint="eastAsia" w:asciiTheme="minorEastAsia" w:hAnsiTheme="minorEastAsia" w:eastAsiaTheme="minorEastAsia"/>
          <w:color w:val="auto"/>
          <w:sz w:val="24"/>
          <w:szCs w:val="24"/>
          <w:lang w:eastAsia="zh-CN"/>
        </w:rPr>
        <w:t>响应</w:t>
      </w:r>
      <w:r>
        <w:rPr>
          <w:rFonts w:hint="eastAsia" w:asciiTheme="minorEastAsia" w:hAnsiTheme="minorEastAsia" w:eastAsiaTheme="minorEastAsia"/>
          <w:color w:val="auto"/>
          <w:sz w:val="24"/>
          <w:szCs w:val="24"/>
        </w:rPr>
        <w:t>文件中应当提供相应的认证证书，认证证书应当为国家确定的认证机构出具、且应处于有效期之内。不符合的、为无效投标。</w:t>
      </w:r>
    </w:p>
    <w:p w14:paraId="532A5EF6">
      <w:pPr>
        <w:tabs>
          <w:tab w:val="left" w:pos="540"/>
        </w:tabs>
        <w:spacing w:line="440" w:lineRule="exact"/>
        <w:jc w:val="center"/>
        <w:rPr>
          <w:rFonts w:hint="eastAsia" w:cs="Times New Roman" w:asciiTheme="minorEastAsia" w:hAnsiTheme="minorEastAsia" w:eastAsiaTheme="minorEastAsia"/>
          <w:b/>
          <w:color w:val="auto"/>
          <w:sz w:val="28"/>
          <w:szCs w:val="28"/>
          <w:lang w:val="zh-CN" w:eastAsia="zh-CN"/>
        </w:rPr>
      </w:pPr>
    </w:p>
    <w:p w14:paraId="40854CAC">
      <w:pPr>
        <w:spacing w:before="97" w:line="221" w:lineRule="auto"/>
        <w:ind w:left="26"/>
        <w:rPr>
          <w:rFonts w:ascii="黑体" w:hAnsi="黑体" w:eastAsia="黑体" w:cs="黑体"/>
          <w:sz w:val="30"/>
          <w:szCs w:val="30"/>
        </w:rPr>
      </w:pPr>
      <w:r>
        <w:rPr>
          <w:rFonts w:hint="eastAsia" w:ascii="黑体" w:hAnsi="黑体" w:eastAsia="黑体" w:cs="黑体"/>
          <w:b/>
          <w:bCs/>
          <w:spacing w:val="-4"/>
          <w:sz w:val="30"/>
          <w:szCs w:val="30"/>
          <w:lang w:eastAsia="zh-CN"/>
        </w:rPr>
        <w:t>十一</w:t>
      </w:r>
      <w:r>
        <w:rPr>
          <w:rFonts w:ascii="黑体" w:hAnsi="黑体" w:eastAsia="黑体" w:cs="黑体"/>
          <w:b/>
          <w:bCs/>
          <w:spacing w:val="-4"/>
          <w:sz w:val="30"/>
          <w:szCs w:val="30"/>
        </w:rPr>
        <w:t>、投标人须知所需的其他材料</w:t>
      </w:r>
    </w:p>
    <w:p w14:paraId="13D4D0D2">
      <w:pPr>
        <w:widowControl w:val="0"/>
        <w:snapToGrid w:val="0"/>
        <w:spacing w:line="560" w:lineRule="exact"/>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（按条款需要填列；并按条款要求</w:t>
      </w:r>
      <w:r>
        <w:rPr>
          <w:rFonts w:hint="eastAsia" w:cs="楷体_GB2312" w:asciiTheme="minorEastAsia" w:hAnsiTheme="minorEastAsia" w:eastAsiaTheme="minorEastAsia"/>
          <w:color w:val="auto"/>
          <w:sz w:val="24"/>
          <w:lang w:val="zh-CN"/>
        </w:rPr>
        <w:t>电子签名&lt;签</w:t>
      </w:r>
      <w:r>
        <w:rPr>
          <w:rFonts w:hint="eastAsia" w:asciiTheme="minorEastAsia" w:hAnsiTheme="minorEastAsia" w:eastAsiaTheme="minorEastAsia"/>
          <w:color w:val="auto"/>
          <w:sz w:val="24"/>
          <w:szCs w:val="24"/>
        </w:rPr>
        <w:t>章&gt;。条款中对</w:t>
      </w:r>
      <w:r>
        <w:rPr>
          <w:rFonts w:hint="eastAsia" w:cs="楷体_GB2312" w:asciiTheme="minorEastAsia" w:hAnsiTheme="minorEastAsia" w:eastAsiaTheme="minorEastAsia"/>
          <w:color w:val="auto"/>
          <w:sz w:val="24"/>
          <w:lang w:val="zh-CN"/>
        </w:rPr>
        <w:t>电子签名&lt;签</w:t>
      </w:r>
      <w:r>
        <w:rPr>
          <w:rFonts w:hint="eastAsia" w:asciiTheme="minorEastAsia" w:hAnsiTheme="minorEastAsia" w:eastAsiaTheme="minorEastAsia"/>
          <w:color w:val="auto"/>
          <w:sz w:val="24"/>
          <w:szCs w:val="24"/>
        </w:rPr>
        <w:t>章&gt;未作明确要求的，由法定代表人</w:t>
      </w:r>
      <w:r>
        <w:rPr>
          <w:rFonts w:hint="eastAsia" w:cs="楷体_GB2312" w:asciiTheme="minorEastAsia" w:hAnsiTheme="minorEastAsia" w:eastAsiaTheme="minorEastAsia"/>
          <w:color w:val="auto"/>
          <w:sz w:val="24"/>
          <w:lang w:val="zh-CN"/>
        </w:rPr>
        <w:t>电子签名</w:t>
      </w:r>
      <w:r>
        <w:rPr>
          <w:rFonts w:hint="eastAsia" w:asciiTheme="minorEastAsia" w:hAnsiTheme="minorEastAsia" w:eastAsiaTheme="minorEastAsia"/>
          <w:color w:val="auto"/>
          <w:sz w:val="24"/>
          <w:szCs w:val="24"/>
        </w:rPr>
        <w:t>或投标人</w:t>
      </w:r>
      <w:r>
        <w:rPr>
          <w:rFonts w:hint="eastAsia" w:cs="楷体_GB2312" w:asciiTheme="minorEastAsia" w:hAnsiTheme="minorEastAsia" w:eastAsiaTheme="minorEastAsia"/>
          <w:color w:val="auto"/>
          <w:sz w:val="24"/>
          <w:lang w:val="zh-CN"/>
        </w:rPr>
        <w:t>电子签</w:t>
      </w:r>
      <w:r>
        <w:rPr>
          <w:rFonts w:hint="eastAsia" w:asciiTheme="minorEastAsia" w:hAnsiTheme="minorEastAsia" w:eastAsiaTheme="minorEastAsia"/>
          <w:color w:val="auto"/>
          <w:sz w:val="24"/>
          <w:szCs w:val="24"/>
        </w:rPr>
        <w:t>章）</w:t>
      </w:r>
    </w:p>
    <w:p w14:paraId="6C3C46E8">
      <w:pPr>
        <w:autoSpaceDE w:val="0"/>
        <w:autoSpaceDN w:val="0"/>
        <w:adjustRightInd w:val="0"/>
        <w:spacing w:line="360" w:lineRule="auto"/>
        <w:ind w:right="-817"/>
        <w:jc w:val="left"/>
        <w:rPr>
          <w:rFonts w:hint="eastAsia" w:asciiTheme="minorEastAsia" w:hAnsiTheme="minorEastAsia" w:eastAsiaTheme="minorEastAsia" w:cstheme="minorEastAsia"/>
          <w:color w:val="auto"/>
          <w:sz w:val="24"/>
          <w:szCs w:val="24"/>
          <w:lang w:val="zh-CN"/>
        </w:rPr>
      </w:pPr>
    </w:p>
    <w:p w14:paraId="26F663D5">
      <w:pPr>
        <w:autoSpaceDE w:val="0"/>
        <w:autoSpaceDN w:val="0"/>
        <w:adjustRightInd w:val="0"/>
        <w:spacing w:line="360" w:lineRule="auto"/>
        <w:ind w:right="-817"/>
        <w:jc w:val="left"/>
        <w:rPr>
          <w:rFonts w:hint="eastAsia" w:asciiTheme="minorEastAsia" w:hAnsiTheme="minorEastAsia" w:eastAsiaTheme="minorEastAsia" w:cstheme="minorEastAsia"/>
          <w:color w:val="auto"/>
          <w:sz w:val="24"/>
          <w:szCs w:val="24"/>
          <w:lang w:val="zh-CN"/>
        </w:rPr>
      </w:pPr>
    </w:p>
    <w:p w14:paraId="05FC7343">
      <w:pPr>
        <w:spacing w:before="98" w:line="221" w:lineRule="auto"/>
        <w:ind w:left="26"/>
        <w:rPr>
          <w:rFonts w:ascii="黑体" w:hAnsi="黑体" w:eastAsia="黑体" w:cs="黑体"/>
          <w:sz w:val="30"/>
          <w:szCs w:val="30"/>
        </w:rPr>
      </w:pPr>
      <w:r>
        <w:rPr>
          <w:rFonts w:hint="eastAsia" w:ascii="黑体" w:hAnsi="黑体" w:eastAsia="黑体" w:cs="黑体"/>
          <w:b/>
          <w:bCs/>
          <w:spacing w:val="-5"/>
          <w:sz w:val="30"/>
          <w:szCs w:val="30"/>
          <w:lang w:eastAsia="zh-CN"/>
        </w:rPr>
        <w:t>十二</w:t>
      </w:r>
      <w:r>
        <w:rPr>
          <w:rFonts w:ascii="黑体" w:hAnsi="黑体" w:eastAsia="黑体" w:cs="黑体"/>
          <w:b/>
          <w:bCs/>
          <w:spacing w:val="-5"/>
          <w:sz w:val="30"/>
          <w:szCs w:val="30"/>
        </w:rPr>
        <w:t>、评标办法所需的其他材料</w:t>
      </w:r>
    </w:p>
    <w:p w14:paraId="7A32A150">
      <w:pPr>
        <w:widowControl w:val="0"/>
        <w:snapToGrid w:val="0"/>
        <w:spacing w:line="560" w:lineRule="exact"/>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（按条款需要填列；并按条款要求</w:t>
      </w:r>
      <w:r>
        <w:rPr>
          <w:rFonts w:hint="eastAsia" w:cs="楷体_GB2312" w:asciiTheme="minorEastAsia" w:hAnsiTheme="minorEastAsia" w:eastAsiaTheme="minorEastAsia"/>
          <w:color w:val="auto"/>
          <w:sz w:val="24"/>
          <w:lang w:val="zh-CN"/>
        </w:rPr>
        <w:t>电子签名&lt;签</w:t>
      </w:r>
      <w:r>
        <w:rPr>
          <w:rFonts w:hint="eastAsia" w:asciiTheme="minorEastAsia" w:hAnsiTheme="minorEastAsia" w:eastAsiaTheme="minorEastAsia"/>
          <w:color w:val="auto"/>
          <w:sz w:val="24"/>
          <w:szCs w:val="24"/>
        </w:rPr>
        <w:t>章&gt;。条款中对</w:t>
      </w:r>
      <w:r>
        <w:rPr>
          <w:rFonts w:hint="eastAsia" w:cs="楷体_GB2312" w:asciiTheme="minorEastAsia" w:hAnsiTheme="minorEastAsia" w:eastAsiaTheme="minorEastAsia"/>
          <w:color w:val="auto"/>
          <w:sz w:val="24"/>
          <w:lang w:val="zh-CN"/>
        </w:rPr>
        <w:t>电子签名&lt;签</w:t>
      </w:r>
      <w:r>
        <w:rPr>
          <w:rFonts w:hint="eastAsia" w:asciiTheme="minorEastAsia" w:hAnsiTheme="minorEastAsia" w:eastAsiaTheme="minorEastAsia"/>
          <w:color w:val="auto"/>
          <w:sz w:val="24"/>
          <w:szCs w:val="24"/>
        </w:rPr>
        <w:t>章&gt;未作明确要求的，由法定代表人</w:t>
      </w:r>
      <w:r>
        <w:rPr>
          <w:rFonts w:hint="eastAsia" w:cs="楷体_GB2312" w:asciiTheme="minorEastAsia" w:hAnsiTheme="minorEastAsia" w:eastAsiaTheme="minorEastAsia"/>
          <w:color w:val="auto"/>
          <w:sz w:val="24"/>
          <w:lang w:val="zh-CN"/>
        </w:rPr>
        <w:t>电子签名</w:t>
      </w:r>
      <w:r>
        <w:rPr>
          <w:rFonts w:hint="eastAsia" w:asciiTheme="minorEastAsia" w:hAnsiTheme="minorEastAsia" w:eastAsiaTheme="minorEastAsia"/>
          <w:color w:val="auto"/>
          <w:sz w:val="24"/>
          <w:szCs w:val="24"/>
        </w:rPr>
        <w:t>或投标人</w:t>
      </w:r>
      <w:r>
        <w:rPr>
          <w:rFonts w:hint="eastAsia" w:cs="楷体_GB2312" w:asciiTheme="minorEastAsia" w:hAnsiTheme="minorEastAsia" w:eastAsiaTheme="minorEastAsia"/>
          <w:color w:val="auto"/>
          <w:sz w:val="24"/>
          <w:lang w:val="zh-CN"/>
        </w:rPr>
        <w:t>电子签</w:t>
      </w:r>
      <w:r>
        <w:rPr>
          <w:rFonts w:hint="eastAsia" w:asciiTheme="minorEastAsia" w:hAnsiTheme="minorEastAsia" w:eastAsiaTheme="minorEastAsia"/>
          <w:color w:val="auto"/>
          <w:sz w:val="24"/>
          <w:szCs w:val="24"/>
        </w:rPr>
        <w:t>章）</w:t>
      </w:r>
    </w:p>
    <w:p w14:paraId="5DE2ED79">
      <w:pPr>
        <w:autoSpaceDE w:val="0"/>
        <w:autoSpaceDN w:val="0"/>
        <w:adjustRightInd w:val="0"/>
        <w:spacing w:line="360" w:lineRule="auto"/>
        <w:ind w:right="-817"/>
        <w:jc w:val="left"/>
        <w:rPr>
          <w:rFonts w:hint="eastAsia" w:asciiTheme="minorEastAsia" w:hAnsiTheme="minorEastAsia" w:eastAsiaTheme="minorEastAsia" w:cstheme="minorEastAsia"/>
          <w:color w:val="auto"/>
          <w:sz w:val="24"/>
          <w:szCs w:val="24"/>
          <w:lang w:val="zh-CN"/>
        </w:rPr>
      </w:pPr>
    </w:p>
    <w:p w14:paraId="2E47491D">
      <w:pPr>
        <w:autoSpaceDE w:val="0"/>
        <w:autoSpaceDN w:val="0"/>
        <w:adjustRightInd w:val="0"/>
        <w:spacing w:line="360" w:lineRule="auto"/>
        <w:ind w:right="-817"/>
        <w:jc w:val="left"/>
        <w:rPr>
          <w:rFonts w:hint="eastAsia" w:asciiTheme="minorEastAsia" w:hAnsiTheme="minorEastAsia" w:eastAsiaTheme="minorEastAsia" w:cstheme="minorEastAsia"/>
          <w:color w:val="auto"/>
          <w:sz w:val="24"/>
          <w:szCs w:val="24"/>
          <w:lang w:val="zh-CN"/>
        </w:rPr>
      </w:pPr>
    </w:p>
    <w:p w14:paraId="1E61E653">
      <w:pPr>
        <w:autoSpaceDE w:val="0"/>
        <w:autoSpaceDN w:val="0"/>
        <w:adjustRightInd w:val="0"/>
        <w:spacing w:line="360" w:lineRule="auto"/>
        <w:ind w:right="-817"/>
        <w:jc w:val="left"/>
        <w:rPr>
          <w:rFonts w:hint="eastAsia" w:asciiTheme="minorEastAsia" w:hAnsiTheme="minorEastAsia" w:eastAsiaTheme="minorEastAsia" w:cstheme="minorEastAsia"/>
          <w:color w:val="auto"/>
          <w:sz w:val="24"/>
          <w:szCs w:val="24"/>
          <w:lang w:val="zh-CN"/>
        </w:rPr>
      </w:pPr>
    </w:p>
    <w:p w14:paraId="71570F80">
      <w:pPr>
        <w:spacing w:before="98" w:line="222" w:lineRule="auto"/>
        <w:ind w:left="26"/>
        <w:rPr>
          <w:rFonts w:ascii="黑体" w:hAnsi="黑体" w:eastAsia="黑体" w:cs="黑体"/>
          <w:sz w:val="30"/>
          <w:szCs w:val="30"/>
        </w:rPr>
      </w:pPr>
      <w:r>
        <w:rPr>
          <w:rFonts w:hint="eastAsia" w:ascii="黑体" w:hAnsi="黑体" w:eastAsia="黑体" w:cs="黑体"/>
          <w:b/>
          <w:bCs/>
          <w:spacing w:val="-4"/>
          <w:sz w:val="30"/>
          <w:szCs w:val="30"/>
          <w:lang w:eastAsia="zh-CN"/>
        </w:rPr>
        <w:t>十三</w:t>
      </w:r>
      <w:r>
        <w:rPr>
          <w:rFonts w:ascii="黑体" w:hAnsi="黑体" w:eastAsia="黑体" w:cs="黑体"/>
          <w:b/>
          <w:bCs/>
          <w:spacing w:val="-4"/>
          <w:sz w:val="30"/>
          <w:szCs w:val="30"/>
        </w:rPr>
        <w:t>、投标人认为有必要提交的其它材料</w:t>
      </w:r>
    </w:p>
    <w:p w14:paraId="22379859">
      <w:pPr>
        <w:spacing w:before="214" w:line="220" w:lineRule="auto"/>
        <w:ind w:left="2150"/>
        <w:rPr>
          <w:rFonts w:ascii="宋体" w:hAnsi="宋体" w:eastAsia="宋体" w:cs="宋体"/>
          <w:sz w:val="24"/>
          <w:szCs w:val="24"/>
        </w:rPr>
      </w:pPr>
      <w:r>
        <w:rPr>
          <w:rFonts w:ascii="宋体" w:hAnsi="宋体" w:eastAsia="宋体" w:cs="宋体"/>
          <w:spacing w:val="-2"/>
          <w:sz w:val="24"/>
          <w:szCs w:val="24"/>
        </w:rPr>
        <w:t>（由法定代表人电子签名或投标人电子签章）</w:t>
      </w:r>
    </w:p>
    <w:p w14:paraId="3E8FCF7F">
      <w:pPr>
        <w:pStyle w:val="2"/>
        <w:rPr>
          <w:rFonts w:hint="eastAsia" w:ascii="黑体" w:hAnsi="黑体" w:eastAsia="黑体"/>
          <w:b/>
          <w:color w:val="auto"/>
          <w:sz w:val="30"/>
          <w:szCs w:val="30"/>
          <w:lang w:val="en-US" w:eastAsia="zh-CN"/>
        </w:rPr>
      </w:pPr>
    </w:p>
    <w:p w14:paraId="6442047C">
      <w:pPr>
        <w:pStyle w:val="2"/>
        <w:rPr>
          <w:rFonts w:hint="eastAsia" w:ascii="黑体" w:hAnsi="黑体" w:eastAsia="黑体"/>
          <w:b/>
          <w:color w:val="auto"/>
          <w:sz w:val="30"/>
          <w:szCs w:val="30"/>
          <w:lang w:val="en-US" w:eastAsia="zh-CN"/>
        </w:rPr>
      </w:pPr>
    </w:p>
    <w:p w14:paraId="77790764">
      <w:pPr>
        <w:pStyle w:val="2"/>
        <w:rPr>
          <w:rFonts w:hint="eastAsia" w:ascii="黑体" w:hAnsi="黑体" w:eastAsia="黑体"/>
          <w:b/>
          <w:color w:val="auto"/>
          <w:sz w:val="30"/>
          <w:szCs w:val="30"/>
          <w:lang w:val="en-US" w:eastAsia="zh-CN"/>
        </w:rPr>
      </w:pPr>
    </w:p>
    <w:p w14:paraId="07650BFD">
      <w:pPr>
        <w:pStyle w:val="2"/>
        <w:rPr>
          <w:rFonts w:hint="eastAsia" w:ascii="黑体" w:hAnsi="黑体" w:eastAsia="黑体"/>
          <w:b/>
          <w:color w:val="auto"/>
          <w:sz w:val="30"/>
          <w:szCs w:val="30"/>
          <w:lang w:val="en-US" w:eastAsia="zh-CN"/>
        </w:rPr>
      </w:pPr>
    </w:p>
    <w:p w14:paraId="2D50CAE9">
      <w:pPr>
        <w:pStyle w:val="2"/>
        <w:rPr>
          <w:rFonts w:hint="eastAsia" w:ascii="黑体" w:hAnsi="黑体" w:eastAsia="黑体"/>
          <w:b/>
          <w:color w:val="auto"/>
          <w:sz w:val="30"/>
          <w:szCs w:val="30"/>
          <w:lang w:val="en-US" w:eastAsia="zh-CN"/>
        </w:rPr>
      </w:pPr>
    </w:p>
    <w:p w14:paraId="75D4C250">
      <w:pPr>
        <w:pStyle w:val="2"/>
        <w:rPr>
          <w:rFonts w:hint="eastAsia" w:ascii="黑体" w:hAnsi="黑体" w:eastAsia="黑体"/>
          <w:b/>
          <w:color w:val="auto"/>
          <w:sz w:val="30"/>
          <w:szCs w:val="30"/>
          <w:lang w:val="en-US" w:eastAsia="zh-CN"/>
        </w:rPr>
      </w:pPr>
    </w:p>
    <w:p w14:paraId="58B33179">
      <w:pPr>
        <w:pStyle w:val="2"/>
        <w:rPr>
          <w:rFonts w:hint="eastAsia" w:ascii="黑体" w:hAnsi="黑体" w:eastAsia="黑体"/>
          <w:b/>
          <w:color w:val="auto"/>
          <w:sz w:val="30"/>
          <w:szCs w:val="30"/>
          <w:lang w:val="en-US" w:eastAsia="zh-CN"/>
        </w:rPr>
      </w:pPr>
    </w:p>
    <w:p w14:paraId="4D88A616">
      <w:pPr>
        <w:pStyle w:val="2"/>
        <w:rPr>
          <w:rFonts w:hint="eastAsia" w:ascii="黑体" w:hAnsi="黑体" w:eastAsia="黑体"/>
          <w:b/>
          <w:color w:val="auto"/>
          <w:sz w:val="30"/>
          <w:szCs w:val="30"/>
          <w:lang w:val="en-US" w:eastAsia="zh-CN"/>
        </w:rPr>
      </w:pPr>
    </w:p>
    <w:p w14:paraId="0FA5F435">
      <w:pPr>
        <w:autoSpaceDE w:val="0"/>
        <w:autoSpaceDN w:val="0"/>
        <w:adjustRightInd w:val="0"/>
        <w:spacing w:line="360" w:lineRule="auto"/>
        <w:ind w:firstLine="480" w:firstLineChars="200"/>
        <w:jc w:val="left"/>
        <w:rPr>
          <w:rFonts w:ascii="宋体"/>
          <w:color w:val="auto"/>
          <w:sz w:val="24"/>
          <w:u w:val="single"/>
        </w:rPr>
      </w:pPr>
    </w:p>
    <w:p w14:paraId="1F80DD65">
      <w:pPr>
        <w:spacing w:line="360" w:lineRule="auto"/>
        <w:ind w:firstLine="2223" w:firstLineChars="396"/>
        <w:rPr>
          <w:rFonts w:hint="eastAsia" w:ascii="宋体" w:hAnsi="宋体" w:cs="宋体"/>
          <w:b/>
          <w:bCs/>
          <w:spacing w:val="100"/>
          <w:sz w:val="36"/>
          <w:szCs w:val="36"/>
          <w:u w:val="single"/>
        </w:rPr>
      </w:pPr>
    </w:p>
    <w:p w14:paraId="02D88C9F">
      <w:pPr>
        <w:spacing w:line="360" w:lineRule="auto"/>
        <w:ind w:firstLine="2223" w:firstLineChars="396"/>
        <w:rPr>
          <w:rFonts w:hint="eastAsia" w:ascii="宋体" w:hAnsi="宋体" w:cs="宋体"/>
          <w:b/>
          <w:bCs/>
          <w:spacing w:val="100"/>
          <w:sz w:val="36"/>
          <w:szCs w:val="36"/>
          <w:u w:val="single"/>
        </w:rPr>
      </w:pPr>
    </w:p>
    <w:p w14:paraId="2FA1B2A6">
      <w:pPr>
        <w:spacing w:line="360" w:lineRule="auto"/>
        <w:ind w:firstLine="2223" w:firstLineChars="396"/>
        <w:rPr>
          <w:rFonts w:hint="eastAsia" w:ascii="宋体" w:hAnsi="宋体" w:cs="宋体"/>
          <w:b/>
          <w:bCs/>
          <w:spacing w:val="100"/>
          <w:sz w:val="36"/>
          <w:szCs w:val="36"/>
          <w:u w:val="single"/>
        </w:rPr>
      </w:pPr>
    </w:p>
    <w:p w14:paraId="7EFCFAEC">
      <w:pPr>
        <w:spacing w:line="360" w:lineRule="auto"/>
        <w:ind w:firstLine="2223" w:firstLineChars="396"/>
        <w:rPr>
          <w:rFonts w:hint="eastAsia" w:ascii="宋体" w:hAnsi="宋体" w:cs="宋体"/>
          <w:b/>
          <w:bCs/>
          <w:spacing w:val="100"/>
          <w:sz w:val="36"/>
          <w:szCs w:val="36"/>
          <w:u w:val="single"/>
        </w:rPr>
      </w:pPr>
    </w:p>
    <w:p w14:paraId="35833DD7">
      <w:pPr>
        <w:spacing w:line="360" w:lineRule="auto"/>
        <w:ind w:firstLine="2223" w:firstLineChars="396"/>
        <w:rPr>
          <w:rFonts w:ascii="宋体" w:hAnsi="宋体" w:cs="宋体"/>
          <w:b/>
          <w:bCs/>
          <w:spacing w:val="100"/>
          <w:sz w:val="36"/>
          <w:szCs w:val="36"/>
        </w:rPr>
      </w:pPr>
      <w:r>
        <w:rPr>
          <w:rFonts w:hint="eastAsia" w:ascii="宋体" w:hAnsi="宋体" w:cs="宋体"/>
          <w:b/>
          <w:bCs/>
          <w:spacing w:val="100"/>
          <w:sz w:val="36"/>
          <w:szCs w:val="36"/>
          <w:u w:val="single"/>
        </w:rPr>
        <w:t xml:space="preserve">      </w:t>
      </w:r>
      <w:r>
        <w:rPr>
          <w:rFonts w:hint="eastAsia" w:ascii="宋体" w:hAnsi="宋体" w:cs="宋体"/>
          <w:b/>
          <w:bCs/>
          <w:spacing w:val="100"/>
          <w:sz w:val="36"/>
          <w:szCs w:val="36"/>
          <w:u w:val="single"/>
          <w:lang w:val="en-US" w:eastAsia="zh-CN"/>
        </w:rPr>
        <w:t xml:space="preserve">   </w:t>
      </w:r>
      <w:r>
        <w:rPr>
          <w:rFonts w:hint="eastAsia" w:ascii="宋体" w:hAnsi="宋体" w:cs="宋体"/>
          <w:b/>
          <w:bCs/>
          <w:spacing w:val="100"/>
          <w:sz w:val="36"/>
          <w:szCs w:val="36"/>
          <w:u w:val="single"/>
        </w:rPr>
        <w:t xml:space="preserve">  </w:t>
      </w:r>
      <w:r>
        <w:rPr>
          <w:rFonts w:hint="eastAsia" w:ascii="宋体" w:hAnsi="宋体" w:cs="宋体"/>
          <w:b/>
          <w:bCs/>
          <w:spacing w:val="100"/>
          <w:sz w:val="48"/>
          <w:szCs w:val="48"/>
        </w:rPr>
        <w:t>项目</w:t>
      </w:r>
    </w:p>
    <w:p w14:paraId="36C168E2">
      <w:pPr>
        <w:spacing w:line="360" w:lineRule="auto"/>
        <w:ind w:left="4550" w:leftChars="1500" w:hanging="1400" w:hangingChars="166"/>
        <w:rPr>
          <w:rFonts w:ascii="宋体" w:hAnsi="宋体" w:cs="宋体"/>
          <w:b/>
          <w:sz w:val="84"/>
          <w:szCs w:val="84"/>
        </w:rPr>
      </w:pPr>
    </w:p>
    <w:p w14:paraId="0CE42D72">
      <w:pPr>
        <w:spacing w:line="360" w:lineRule="auto"/>
        <w:ind w:left="5678" w:leftChars="299" w:hanging="5050" w:hangingChars="466"/>
        <w:jc w:val="center"/>
        <w:rPr>
          <w:rFonts w:ascii="宋体" w:hAnsi="宋体" w:cs="宋体"/>
          <w:b/>
          <w:spacing w:val="60"/>
          <w:sz w:val="96"/>
          <w:szCs w:val="96"/>
        </w:rPr>
      </w:pPr>
      <w:r>
        <w:rPr>
          <w:rFonts w:hint="eastAsia" w:ascii="宋体" w:hAnsi="宋体" w:cs="宋体"/>
          <w:b/>
          <w:spacing w:val="60"/>
          <w:sz w:val="96"/>
          <w:szCs w:val="96"/>
          <w:lang w:eastAsia="zh-CN"/>
        </w:rPr>
        <w:t>资格性证明</w:t>
      </w:r>
      <w:r>
        <w:rPr>
          <w:rFonts w:hint="eastAsia" w:ascii="宋体" w:hAnsi="宋体" w:cs="宋体"/>
          <w:b/>
          <w:spacing w:val="60"/>
          <w:sz w:val="96"/>
          <w:szCs w:val="96"/>
        </w:rPr>
        <w:t>文件</w:t>
      </w:r>
    </w:p>
    <w:p w14:paraId="487B6911">
      <w:pPr>
        <w:spacing w:line="360" w:lineRule="auto"/>
        <w:ind w:firstLine="1700" w:firstLineChars="545"/>
        <w:rPr>
          <w:rFonts w:ascii="宋体" w:hAnsi="宋体" w:cs="宋体"/>
          <w:b/>
          <w:sz w:val="32"/>
          <w:szCs w:val="32"/>
        </w:rPr>
      </w:pPr>
      <w:r>
        <w:rPr>
          <w:rFonts w:ascii="宋体" w:hAnsi="宋体" w:eastAsia="宋体" w:cs="宋体"/>
          <w:spacing w:val="-4"/>
          <w:sz w:val="32"/>
          <w:szCs w:val="32"/>
        </w:rPr>
        <w:t>项目编号</w:t>
      </w:r>
      <w:r>
        <w:rPr>
          <w:rFonts w:hint="eastAsia" w:ascii="宋体" w:hAnsi="宋体" w:cs="宋体"/>
          <w:b/>
          <w:sz w:val="32"/>
          <w:szCs w:val="32"/>
        </w:rPr>
        <w:t>：</w:t>
      </w:r>
      <w:r>
        <w:rPr>
          <w:rFonts w:hint="eastAsia" w:ascii="宋体" w:hAnsi="宋体" w:cs="宋体"/>
          <w:b/>
          <w:sz w:val="32"/>
          <w:szCs w:val="32"/>
          <w:u w:val="single"/>
        </w:rPr>
        <w:t xml:space="preserve">                     </w:t>
      </w:r>
    </w:p>
    <w:p w14:paraId="61795083">
      <w:pPr>
        <w:spacing w:line="360" w:lineRule="auto"/>
        <w:rPr>
          <w:rFonts w:ascii="宋体" w:hAnsi="宋体" w:cs="宋体"/>
          <w:b/>
          <w:sz w:val="36"/>
          <w:szCs w:val="36"/>
        </w:rPr>
      </w:pPr>
    </w:p>
    <w:p w14:paraId="333E28D9">
      <w:pPr>
        <w:autoSpaceDE w:val="0"/>
        <w:autoSpaceDN w:val="0"/>
        <w:adjustRightInd w:val="0"/>
        <w:spacing w:line="360" w:lineRule="auto"/>
        <w:jc w:val="center"/>
        <w:rPr>
          <w:rFonts w:ascii="宋体"/>
          <w:color w:val="auto"/>
          <w:sz w:val="24"/>
        </w:rPr>
      </w:pPr>
    </w:p>
    <w:p w14:paraId="324CA17D">
      <w:pPr>
        <w:pStyle w:val="39"/>
        <w:spacing w:line="360" w:lineRule="auto"/>
        <w:rPr>
          <w:rFonts w:hAnsi="宋体"/>
          <w:color w:val="auto"/>
          <w:szCs w:val="24"/>
          <w:u w:val="single"/>
        </w:rPr>
      </w:pPr>
    </w:p>
    <w:p w14:paraId="0258B9F0">
      <w:pPr>
        <w:pStyle w:val="39"/>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供应商（电子签章）：</w:t>
      </w:r>
      <w:r>
        <w:rPr>
          <w:rFonts w:hAnsi="宋体"/>
          <w:color w:val="auto"/>
          <w:sz w:val="28"/>
          <w:szCs w:val="28"/>
          <w:u w:val="single"/>
        </w:rPr>
        <w:t xml:space="preserve">                                    </w:t>
      </w:r>
    </w:p>
    <w:p w14:paraId="3816CC2F">
      <w:pPr>
        <w:pStyle w:val="39"/>
        <w:spacing w:line="360" w:lineRule="auto"/>
        <w:ind w:firstLine="280" w:firstLineChars="100"/>
        <w:rPr>
          <w:rFonts w:hAnsi="宋体"/>
          <w:color w:val="auto"/>
          <w:sz w:val="28"/>
          <w:szCs w:val="28"/>
        </w:rPr>
      </w:pPr>
    </w:p>
    <w:p w14:paraId="62C18CA7">
      <w:pPr>
        <w:pStyle w:val="39"/>
        <w:spacing w:line="360" w:lineRule="auto"/>
        <w:ind w:firstLine="280" w:firstLineChars="100"/>
        <w:rPr>
          <w:rFonts w:hAnsi="宋体"/>
          <w:color w:val="auto"/>
          <w:sz w:val="28"/>
          <w:szCs w:val="28"/>
          <w:u w:val="single"/>
        </w:rPr>
      </w:pPr>
      <w:r>
        <w:rPr>
          <w:rFonts w:hint="eastAsia" w:hAnsi="宋体"/>
          <w:color w:val="auto"/>
          <w:sz w:val="28"/>
          <w:szCs w:val="28"/>
        </w:rPr>
        <w:t>法定代表人（电子签名）：</w:t>
      </w:r>
      <w:r>
        <w:rPr>
          <w:rFonts w:hAnsi="宋体"/>
          <w:color w:val="auto"/>
          <w:sz w:val="28"/>
          <w:szCs w:val="28"/>
          <w:u w:val="single"/>
        </w:rPr>
        <w:t xml:space="preserve">                              </w:t>
      </w:r>
    </w:p>
    <w:p w14:paraId="5E32C2AF">
      <w:pPr>
        <w:widowControl/>
        <w:ind w:firstLine="840" w:firstLineChars="300"/>
        <w:jc w:val="left"/>
        <w:rPr>
          <w:rFonts w:hAnsi="宋体"/>
          <w:sz w:val="28"/>
          <w:szCs w:val="28"/>
          <w:highlight w:val="none"/>
        </w:rPr>
      </w:pPr>
      <w:r>
        <w:rPr>
          <w:rFonts w:hint="eastAsia" w:ascii="宋体" w:hAnsi="宋体" w:cs="宋体"/>
          <w:kern w:val="0"/>
          <w:sz w:val="28"/>
          <w:szCs w:val="28"/>
          <w:highlight w:val="none"/>
        </w:rPr>
        <w:t>投标日期：</w:t>
      </w:r>
      <w:r>
        <w:rPr>
          <w:rFonts w:hint="eastAsia" w:ascii="宋体" w:hAnsi="宋体" w:cs="宋体"/>
          <w:kern w:val="0"/>
          <w:sz w:val="28"/>
          <w:szCs w:val="28"/>
          <w:highlight w:val="none"/>
          <w:u w:val="single" w:color="auto"/>
          <w:lang w:val="en-US" w:eastAsia="zh-CN"/>
        </w:rPr>
        <w:t xml:space="preserve">     </w:t>
      </w:r>
      <w:r>
        <w:rPr>
          <w:rFonts w:hint="eastAsia" w:ascii="宋体" w:hAnsi="宋体" w:cs="宋体"/>
          <w:color w:val="000000"/>
          <w:kern w:val="0"/>
          <w:sz w:val="30"/>
          <w:szCs w:val="30"/>
          <w:highlight w:val="none"/>
        </w:rPr>
        <w:t>年</w:t>
      </w:r>
      <w:r>
        <w:rPr>
          <w:rFonts w:hint="eastAsia" w:ascii="宋体" w:hAnsi="宋体" w:cs="宋体"/>
          <w:color w:val="000000"/>
          <w:kern w:val="0"/>
          <w:sz w:val="30"/>
          <w:szCs w:val="30"/>
          <w:highlight w:val="none"/>
          <w:u w:val="single" w:color="auto"/>
          <w:lang w:val="en-US" w:eastAsia="zh-CN"/>
        </w:rPr>
        <w:t xml:space="preserve">   </w:t>
      </w:r>
      <w:r>
        <w:rPr>
          <w:rFonts w:hint="eastAsia" w:ascii="宋体" w:hAnsi="宋体" w:cs="宋体"/>
          <w:color w:val="000000"/>
          <w:kern w:val="0"/>
          <w:sz w:val="30"/>
          <w:szCs w:val="30"/>
          <w:highlight w:val="none"/>
        </w:rPr>
        <w:t>月</w:t>
      </w:r>
      <w:r>
        <w:rPr>
          <w:rFonts w:hint="eastAsia" w:ascii="宋体" w:hAnsi="宋体" w:cs="宋体"/>
          <w:color w:val="000000"/>
          <w:kern w:val="0"/>
          <w:sz w:val="30"/>
          <w:szCs w:val="30"/>
          <w:highlight w:val="none"/>
          <w:u w:val="single" w:color="auto"/>
          <w:lang w:val="en-US" w:eastAsia="zh-CN"/>
        </w:rPr>
        <w:t xml:space="preserve">  </w:t>
      </w:r>
      <w:r>
        <w:rPr>
          <w:rFonts w:hint="eastAsia" w:ascii="宋体" w:hAnsi="宋体" w:cs="宋体"/>
          <w:color w:val="000000"/>
          <w:kern w:val="0"/>
          <w:sz w:val="30"/>
          <w:szCs w:val="30"/>
          <w:highlight w:val="none"/>
        </w:rPr>
        <w:t>日</w:t>
      </w:r>
    </w:p>
    <w:p w14:paraId="39B23E04">
      <w:pPr>
        <w:pStyle w:val="39"/>
        <w:spacing w:line="360" w:lineRule="auto"/>
        <w:jc w:val="both"/>
        <w:rPr>
          <w:rFonts w:hAnsi="宋体"/>
          <w:color w:val="auto"/>
          <w:sz w:val="28"/>
          <w:szCs w:val="28"/>
        </w:rPr>
      </w:pPr>
    </w:p>
    <w:p w14:paraId="36E40D34">
      <w:pPr>
        <w:widowControl w:val="0"/>
        <w:tabs>
          <w:tab w:val="left" w:pos="9365"/>
        </w:tabs>
        <w:snapToGrid w:val="0"/>
        <w:spacing w:before="56" w:after="56" w:line="560" w:lineRule="atLeast"/>
        <w:jc w:val="left"/>
        <w:textAlignment w:val="top"/>
        <w:rPr>
          <w:color w:val="auto"/>
          <w:sz w:val="28"/>
        </w:rPr>
      </w:pPr>
      <w:r>
        <w:rPr>
          <w:rFonts w:ascii="宋体" w:cs="楷体_GB2312"/>
          <w:b/>
          <w:bCs/>
          <w:color w:val="auto"/>
          <w:sz w:val="44"/>
          <w:szCs w:val="44"/>
          <w:lang w:val="zh-CN"/>
        </w:rPr>
        <w:br w:type="page"/>
      </w:r>
    </w:p>
    <w:p w14:paraId="05338BA2">
      <w:pPr>
        <w:spacing w:line="360" w:lineRule="auto"/>
        <w:ind w:left="419"/>
        <w:jc w:val="center"/>
        <w:rPr>
          <w:rFonts w:ascii="宋体" w:hAnsi="宋体" w:cs="宋体"/>
          <w:b/>
          <w:spacing w:val="60"/>
          <w:sz w:val="36"/>
          <w:szCs w:val="36"/>
        </w:rPr>
      </w:pPr>
      <w:r>
        <w:rPr>
          <w:rFonts w:hint="eastAsia" w:ascii="宋体" w:hAnsi="宋体" w:cs="宋体"/>
          <w:b/>
          <w:spacing w:val="60"/>
          <w:sz w:val="36"/>
          <w:szCs w:val="36"/>
        </w:rPr>
        <w:t>目录</w:t>
      </w:r>
    </w:p>
    <w:p w14:paraId="61F55A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十四</w:t>
      </w:r>
      <w:r>
        <w:rPr>
          <w:rFonts w:hint="eastAsia" w:asciiTheme="minorEastAsia" w:hAnsiTheme="minorEastAsia" w:eastAsiaTheme="minorEastAsia" w:cstheme="minorEastAsia"/>
          <w:sz w:val="24"/>
          <w:szCs w:val="24"/>
        </w:rPr>
        <w:t>、关于资格的声明函</w:t>
      </w:r>
    </w:p>
    <w:p w14:paraId="01AE5A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十五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文件》第一章“</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公告”第二条所要求的资格性证明文件</w:t>
      </w:r>
    </w:p>
    <w:p w14:paraId="17C89FA4">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、《政府采购法》第二十二条第一款规定的供应商基础性资格的承诺函</w:t>
      </w:r>
    </w:p>
    <w:p w14:paraId="6BC76A86">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、中小企业声明函</w:t>
      </w:r>
    </w:p>
    <w:p w14:paraId="31C10818">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、供应商负责人控股、设计等相关承诺书</w:t>
      </w:r>
    </w:p>
    <w:p w14:paraId="3C2B606D">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、投标承诺函(替代投标保证金)</w:t>
      </w:r>
    </w:p>
    <w:p w14:paraId="7B7C5805">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、其他资格证明材料</w:t>
      </w:r>
    </w:p>
    <w:p w14:paraId="45BD5BA8">
      <w:pPr>
        <w:pStyle w:val="2"/>
        <w:rPr>
          <w:rFonts w:hint="eastAsia" w:ascii="黑体" w:hAnsi="黑体" w:eastAsia="黑体"/>
          <w:b/>
          <w:color w:val="auto"/>
          <w:sz w:val="30"/>
          <w:szCs w:val="30"/>
          <w:lang w:val="en-US" w:eastAsia="zh-CN"/>
        </w:rPr>
      </w:pPr>
    </w:p>
    <w:p w14:paraId="4BC632B1">
      <w:pPr>
        <w:pStyle w:val="2"/>
        <w:rPr>
          <w:rFonts w:hint="eastAsia" w:ascii="黑体" w:hAnsi="黑体" w:eastAsia="黑体"/>
          <w:b/>
          <w:color w:val="auto"/>
          <w:sz w:val="30"/>
          <w:szCs w:val="30"/>
          <w:lang w:val="en-US" w:eastAsia="zh-CN"/>
        </w:rPr>
      </w:pPr>
    </w:p>
    <w:p w14:paraId="764FEE21">
      <w:pPr>
        <w:pStyle w:val="2"/>
        <w:rPr>
          <w:rFonts w:hint="eastAsia" w:ascii="黑体" w:hAnsi="黑体" w:eastAsia="黑体"/>
          <w:b/>
          <w:color w:val="auto"/>
          <w:sz w:val="30"/>
          <w:szCs w:val="30"/>
          <w:lang w:val="en-US" w:eastAsia="zh-CN"/>
        </w:rPr>
      </w:pPr>
    </w:p>
    <w:p w14:paraId="4F73B02B">
      <w:pPr>
        <w:pStyle w:val="2"/>
        <w:rPr>
          <w:rFonts w:hint="eastAsia" w:ascii="黑体" w:hAnsi="黑体" w:eastAsia="黑体"/>
          <w:b/>
          <w:color w:val="auto"/>
          <w:sz w:val="30"/>
          <w:szCs w:val="30"/>
          <w:lang w:val="en-US" w:eastAsia="zh-CN"/>
        </w:rPr>
      </w:pPr>
    </w:p>
    <w:p w14:paraId="1F6427B6">
      <w:pPr>
        <w:pStyle w:val="2"/>
        <w:rPr>
          <w:rFonts w:hint="eastAsia" w:ascii="黑体" w:hAnsi="黑体" w:eastAsia="黑体"/>
          <w:b/>
          <w:color w:val="auto"/>
          <w:sz w:val="30"/>
          <w:szCs w:val="30"/>
          <w:lang w:val="en-US" w:eastAsia="zh-CN"/>
        </w:rPr>
      </w:pPr>
    </w:p>
    <w:p w14:paraId="63351A43">
      <w:pPr>
        <w:pStyle w:val="2"/>
        <w:rPr>
          <w:rFonts w:hint="eastAsia" w:ascii="黑体" w:hAnsi="黑体" w:eastAsia="黑体"/>
          <w:b/>
          <w:color w:val="auto"/>
          <w:sz w:val="30"/>
          <w:szCs w:val="30"/>
          <w:lang w:val="en-US" w:eastAsia="zh-CN"/>
        </w:rPr>
      </w:pPr>
    </w:p>
    <w:p w14:paraId="0D56CA8C">
      <w:pPr>
        <w:pStyle w:val="2"/>
        <w:rPr>
          <w:rFonts w:hint="eastAsia" w:ascii="黑体" w:hAnsi="黑体" w:eastAsia="黑体"/>
          <w:b/>
          <w:color w:val="auto"/>
          <w:sz w:val="30"/>
          <w:szCs w:val="30"/>
          <w:lang w:val="en-US" w:eastAsia="zh-CN"/>
        </w:rPr>
      </w:pPr>
    </w:p>
    <w:p w14:paraId="034C69F0">
      <w:pPr>
        <w:pStyle w:val="2"/>
        <w:rPr>
          <w:rFonts w:hint="eastAsia" w:ascii="黑体" w:hAnsi="黑体" w:eastAsia="黑体"/>
          <w:b/>
          <w:color w:val="auto"/>
          <w:sz w:val="30"/>
          <w:szCs w:val="30"/>
          <w:lang w:val="en-US" w:eastAsia="zh-CN"/>
        </w:rPr>
      </w:pPr>
    </w:p>
    <w:p w14:paraId="272BB2B5">
      <w:pPr>
        <w:pStyle w:val="2"/>
        <w:rPr>
          <w:rFonts w:hint="eastAsia" w:ascii="黑体" w:hAnsi="黑体" w:eastAsia="黑体"/>
          <w:b/>
          <w:color w:val="auto"/>
          <w:sz w:val="30"/>
          <w:szCs w:val="30"/>
          <w:lang w:val="en-US" w:eastAsia="zh-CN"/>
        </w:rPr>
      </w:pPr>
    </w:p>
    <w:p w14:paraId="554E04E9">
      <w:pPr>
        <w:pStyle w:val="2"/>
        <w:rPr>
          <w:rFonts w:hint="eastAsia" w:ascii="黑体" w:hAnsi="黑体" w:eastAsia="黑体"/>
          <w:b/>
          <w:color w:val="auto"/>
          <w:sz w:val="30"/>
          <w:szCs w:val="30"/>
          <w:lang w:val="en-US" w:eastAsia="zh-CN"/>
        </w:rPr>
      </w:pPr>
    </w:p>
    <w:p w14:paraId="08C4FC36">
      <w:pPr>
        <w:pStyle w:val="2"/>
        <w:rPr>
          <w:rFonts w:hint="eastAsia" w:ascii="黑体" w:hAnsi="黑体" w:eastAsia="黑体"/>
          <w:b/>
          <w:color w:val="auto"/>
          <w:sz w:val="30"/>
          <w:szCs w:val="30"/>
          <w:lang w:val="en-US" w:eastAsia="zh-CN"/>
        </w:rPr>
      </w:pPr>
    </w:p>
    <w:p w14:paraId="1E3387DB">
      <w:pPr>
        <w:pStyle w:val="2"/>
        <w:rPr>
          <w:rFonts w:hint="eastAsia" w:ascii="黑体" w:hAnsi="黑体" w:eastAsia="黑体"/>
          <w:b/>
          <w:color w:val="auto"/>
          <w:sz w:val="30"/>
          <w:szCs w:val="30"/>
          <w:lang w:val="en-US" w:eastAsia="zh-CN"/>
        </w:rPr>
      </w:pPr>
    </w:p>
    <w:p w14:paraId="6C90CAAB">
      <w:pPr>
        <w:pStyle w:val="2"/>
        <w:rPr>
          <w:rFonts w:hint="eastAsia" w:ascii="黑体" w:hAnsi="黑体" w:eastAsia="黑体"/>
          <w:b/>
          <w:color w:val="auto"/>
          <w:sz w:val="30"/>
          <w:szCs w:val="30"/>
          <w:lang w:val="en-US" w:eastAsia="zh-CN"/>
        </w:rPr>
      </w:pPr>
    </w:p>
    <w:p w14:paraId="2973260B">
      <w:pPr>
        <w:pStyle w:val="2"/>
        <w:rPr>
          <w:rFonts w:hint="eastAsia" w:ascii="黑体" w:hAnsi="黑体" w:eastAsia="黑体"/>
          <w:b/>
          <w:color w:val="auto"/>
          <w:sz w:val="30"/>
          <w:szCs w:val="30"/>
          <w:lang w:val="en-US" w:eastAsia="zh-CN"/>
        </w:rPr>
      </w:pPr>
    </w:p>
    <w:p w14:paraId="35EF4591">
      <w:pPr>
        <w:pStyle w:val="2"/>
        <w:rPr>
          <w:rFonts w:hint="eastAsia" w:ascii="黑体" w:hAnsi="黑体" w:eastAsia="黑体"/>
          <w:b/>
          <w:color w:val="auto"/>
          <w:sz w:val="30"/>
          <w:szCs w:val="30"/>
          <w:lang w:val="en-US" w:eastAsia="zh-CN"/>
        </w:rPr>
      </w:pPr>
    </w:p>
    <w:p w14:paraId="4F519E98">
      <w:pPr>
        <w:pStyle w:val="2"/>
        <w:rPr>
          <w:rFonts w:hint="eastAsia" w:ascii="黑体" w:hAnsi="黑体" w:eastAsia="黑体"/>
          <w:b/>
          <w:color w:val="auto"/>
          <w:sz w:val="30"/>
          <w:szCs w:val="30"/>
          <w:lang w:val="en-US" w:eastAsia="zh-CN"/>
        </w:rPr>
      </w:pPr>
    </w:p>
    <w:p w14:paraId="709AECF8">
      <w:pPr>
        <w:pStyle w:val="2"/>
        <w:rPr>
          <w:rFonts w:hint="eastAsia" w:ascii="黑体" w:hAnsi="黑体" w:eastAsia="黑体"/>
          <w:b/>
          <w:color w:val="auto"/>
          <w:sz w:val="30"/>
          <w:szCs w:val="30"/>
          <w:lang w:val="en-US" w:eastAsia="zh-CN"/>
        </w:rPr>
      </w:pPr>
    </w:p>
    <w:p w14:paraId="595B6145">
      <w:pPr>
        <w:pStyle w:val="2"/>
        <w:rPr>
          <w:rFonts w:hint="eastAsia" w:ascii="黑体" w:hAnsi="黑体" w:eastAsia="黑体"/>
          <w:b/>
          <w:color w:val="auto"/>
          <w:sz w:val="30"/>
          <w:szCs w:val="30"/>
          <w:lang w:val="en-US" w:eastAsia="zh-CN"/>
        </w:rPr>
      </w:pPr>
    </w:p>
    <w:p w14:paraId="01421D99">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lang w:val="en-US" w:eastAsia="zh-CN"/>
        </w:rPr>
        <w:t>十四</w:t>
      </w:r>
      <w:r>
        <w:rPr>
          <w:rFonts w:hint="eastAsia" w:ascii="黑体" w:hAnsi="黑体" w:eastAsia="黑体"/>
          <w:b/>
          <w:color w:val="auto"/>
          <w:sz w:val="30"/>
          <w:szCs w:val="30"/>
        </w:rPr>
        <w:t>、关于资格的声明函</w:t>
      </w:r>
    </w:p>
    <w:p w14:paraId="12067F0A">
      <w:pPr>
        <w:snapToGrid w:val="0"/>
        <w:spacing w:line="560" w:lineRule="exact"/>
        <w:ind w:firstLine="839"/>
        <w:rPr>
          <w:color w:val="auto"/>
        </w:rPr>
      </w:pPr>
    </w:p>
    <w:p w14:paraId="7BE8196D">
      <w:pPr>
        <w:snapToGrid w:val="0"/>
        <w:spacing w:line="560" w:lineRule="exact"/>
        <w:rPr>
          <w:rFonts w:ascii="宋体"/>
          <w:color w:val="auto"/>
          <w:sz w:val="24"/>
        </w:rPr>
      </w:pPr>
      <w:r>
        <w:rPr>
          <w:rFonts w:hint="eastAsia" w:ascii="宋体" w:hAnsi="宋体"/>
          <w:color w:val="auto"/>
          <w:sz w:val="24"/>
          <w:lang w:eastAsia="zh-CN"/>
        </w:rPr>
        <w:t>中弘天合工程咨询有限公司</w:t>
      </w:r>
      <w:r>
        <w:rPr>
          <w:rFonts w:hint="eastAsia" w:ascii="宋体" w:hAnsi="宋体"/>
          <w:color w:val="auto"/>
          <w:sz w:val="24"/>
        </w:rPr>
        <w:t>：</w:t>
      </w:r>
    </w:p>
    <w:p w14:paraId="6064F5E9">
      <w:pPr>
        <w:snapToGrid w:val="0"/>
        <w:spacing w:line="560" w:lineRule="exact"/>
        <w:ind w:firstLine="555"/>
        <w:rPr>
          <w:rFonts w:ascii="宋体"/>
          <w:color w:val="auto"/>
          <w:sz w:val="24"/>
        </w:rPr>
      </w:pPr>
      <w:r>
        <w:rPr>
          <w:rFonts w:hint="eastAsia" w:ascii="宋体" w:hAnsi="宋体"/>
          <w:color w:val="auto"/>
          <w:sz w:val="24"/>
        </w:rPr>
        <w:t>关于贵方项目编号为</w:t>
      </w:r>
      <w:r>
        <w:rPr>
          <w:rFonts w:ascii="宋体" w:hAnsi="宋体"/>
          <w:color w:val="auto"/>
          <w:sz w:val="24"/>
          <w:u w:val="single"/>
        </w:rPr>
        <w:t xml:space="preserve">          </w:t>
      </w:r>
      <w:r>
        <w:rPr>
          <w:rFonts w:hint="eastAsia" w:ascii="宋体" w:hAnsi="宋体"/>
          <w:color w:val="auto"/>
          <w:sz w:val="24"/>
        </w:rPr>
        <w:t>的投标邀请，本签字人愿意参加投标，提供《</w:t>
      </w:r>
      <w:r>
        <w:rPr>
          <w:rFonts w:hint="eastAsia" w:ascii="宋体" w:hAnsi="宋体"/>
          <w:color w:val="auto"/>
          <w:sz w:val="24"/>
          <w:lang w:eastAsia="zh-CN"/>
        </w:rPr>
        <w:t>谈判</w:t>
      </w:r>
      <w:r>
        <w:rPr>
          <w:rFonts w:hint="eastAsia" w:ascii="宋体" w:hAnsi="宋体"/>
          <w:color w:val="auto"/>
          <w:sz w:val="24"/>
        </w:rPr>
        <w:t>文件》中规定的产品及服务，并声明提交下列文件是准确的、真实的和有效的。</w:t>
      </w:r>
    </w:p>
    <w:p w14:paraId="44AE9DB5">
      <w:pPr>
        <w:numPr>
          <w:ilvl w:val="0"/>
          <w:numId w:val="3"/>
        </w:numPr>
        <w:snapToGrid w:val="0"/>
        <w:spacing w:line="560" w:lineRule="exact"/>
        <w:ind w:firstLine="555"/>
        <w:rPr>
          <w:rFonts w:ascii="宋体" w:hAnsi="宋体"/>
          <w:color w:val="auto"/>
          <w:sz w:val="24"/>
        </w:rPr>
      </w:pPr>
      <w:r>
        <w:rPr>
          <w:rFonts w:hint="eastAsia" w:ascii="宋体" w:hAnsi="宋体"/>
          <w:color w:val="auto"/>
          <w:sz w:val="24"/>
        </w:rPr>
        <w:t>《</w:t>
      </w:r>
      <w:r>
        <w:rPr>
          <w:rFonts w:hint="eastAsia" w:ascii="宋体" w:hAnsi="宋体"/>
          <w:color w:val="auto"/>
          <w:sz w:val="24"/>
          <w:lang w:eastAsia="zh-CN"/>
        </w:rPr>
        <w:t>谈判</w:t>
      </w:r>
      <w:r>
        <w:rPr>
          <w:rFonts w:hint="eastAsia" w:ascii="宋体" w:hAnsi="宋体"/>
          <w:color w:val="auto"/>
          <w:sz w:val="24"/>
        </w:rPr>
        <w:t>文件》第一章“竞争性</w:t>
      </w:r>
      <w:r>
        <w:rPr>
          <w:rFonts w:hint="eastAsia" w:ascii="宋体" w:hAnsi="宋体"/>
          <w:color w:val="auto"/>
          <w:sz w:val="24"/>
          <w:lang w:eastAsia="zh-CN"/>
        </w:rPr>
        <w:t>谈判</w:t>
      </w:r>
      <w:r>
        <w:rPr>
          <w:rFonts w:hint="eastAsia" w:ascii="宋体" w:hAnsi="宋体"/>
          <w:color w:val="auto"/>
          <w:sz w:val="24"/>
        </w:rPr>
        <w:t>公告”第二条所要求的资格性证明文件（证件或证明资料或承诺）</w:t>
      </w:r>
    </w:p>
    <w:p w14:paraId="22285619">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14:paraId="7B8E9356">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14:paraId="19B81956">
      <w:pPr>
        <w:snapToGrid w:val="0"/>
        <w:spacing w:line="560" w:lineRule="exact"/>
        <w:ind w:firstLine="555"/>
        <w:rPr>
          <w:rFonts w:ascii="宋体"/>
          <w:color w:val="auto"/>
          <w:sz w:val="24"/>
        </w:rPr>
      </w:pPr>
    </w:p>
    <w:p w14:paraId="4602055E">
      <w:pPr>
        <w:snapToGrid w:val="0"/>
        <w:spacing w:line="560" w:lineRule="exact"/>
        <w:ind w:firstLine="555"/>
        <w:rPr>
          <w:rFonts w:ascii="宋体"/>
          <w:color w:val="auto"/>
          <w:sz w:val="24"/>
        </w:rPr>
      </w:pPr>
    </w:p>
    <w:p w14:paraId="0E4097E8">
      <w:pPr>
        <w:snapToGrid w:val="0"/>
        <w:spacing w:line="560" w:lineRule="exact"/>
        <w:ind w:firstLine="555"/>
        <w:rPr>
          <w:rFonts w:ascii="宋体"/>
          <w:color w:val="auto"/>
          <w:sz w:val="24"/>
        </w:rPr>
      </w:pPr>
    </w:p>
    <w:p w14:paraId="3A359060">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761A6956">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14:paraId="6B38673C">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201965EC">
      <w:pPr>
        <w:pStyle w:val="21"/>
        <w:rPr>
          <w:rFonts w:eastAsia="方正黑体简体"/>
          <w:b/>
          <w:color w:val="auto"/>
          <w:sz w:val="30"/>
          <w:szCs w:val="30"/>
        </w:rPr>
      </w:pPr>
    </w:p>
    <w:p w14:paraId="67C529CC">
      <w:pPr>
        <w:pStyle w:val="21"/>
        <w:rPr>
          <w:rFonts w:eastAsia="方正黑体简体"/>
          <w:b/>
          <w:color w:val="auto"/>
          <w:sz w:val="30"/>
          <w:szCs w:val="30"/>
        </w:rPr>
      </w:pPr>
    </w:p>
    <w:p w14:paraId="7B4F04F6">
      <w:pPr>
        <w:pStyle w:val="21"/>
        <w:rPr>
          <w:rFonts w:eastAsia="方正黑体简体"/>
          <w:b/>
          <w:color w:val="auto"/>
          <w:sz w:val="30"/>
          <w:szCs w:val="30"/>
        </w:rPr>
      </w:pPr>
    </w:p>
    <w:p w14:paraId="6A0533E2">
      <w:pPr>
        <w:pStyle w:val="21"/>
        <w:rPr>
          <w:rFonts w:eastAsia="方正黑体简体"/>
          <w:b/>
          <w:color w:val="auto"/>
          <w:sz w:val="30"/>
          <w:szCs w:val="30"/>
        </w:rPr>
      </w:pPr>
    </w:p>
    <w:p w14:paraId="34446E56">
      <w:pPr>
        <w:pStyle w:val="21"/>
        <w:rPr>
          <w:rFonts w:eastAsia="方正黑体简体"/>
          <w:b/>
          <w:color w:val="auto"/>
          <w:sz w:val="30"/>
          <w:szCs w:val="30"/>
        </w:rPr>
      </w:pPr>
    </w:p>
    <w:p w14:paraId="11CCAEBE">
      <w:pPr>
        <w:pStyle w:val="21"/>
        <w:rPr>
          <w:rFonts w:eastAsia="方正黑体简体"/>
          <w:b/>
          <w:color w:val="auto"/>
          <w:sz w:val="30"/>
          <w:szCs w:val="30"/>
        </w:rPr>
      </w:pPr>
    </w:p>
    <w:p w14:paraId="77EE791D">
      <w:pPr>
        <w:pStyle w:val="21"/>
        <w:rPr>
          <w:rFonts w:eastAsia="方正黑体简体"/>
          <w:b/>
          <w:color w:val="auto"/>
          <w:sz w:val="30"/>
          <w:szCs w:val="30"/>
        </w:rPr>
      </w:pPr>
    </w:p>
    <w:p w14:paraId="24C30F0E">
      <w:pPr>
        <w:pStyle w:val="21"/>
        <w:rPr>
          <w:rFonts w:eastAsia="方正黑体简体"/>
          <w:b/>
          <w:color w:val="auto"/>
          <w:sz w:val="30"/>
          <w:szCs w:val="30"/>
        </w:rPr>
      </w:pPr>
    </w:p>
    <w:p w14:paraId="347AB50B">
      <w:pPr>
        <w:pStyle w:val="21"/>
        <w:rPr>
          <w:rFonts w:eastAsia="方正黑体简体"/>
          <w:b/>
          <w:color w:val="auto"/>
          <w:sz w:val="30"/>
          <w:szCs w:val="30"/>
        </w:rPr>
      </w:pPr>
    </w:p>
    <w:p w14:paraId="6471D322">
      <w:pPr>
        <w:pStyle w:val="21"/>
        <w:rPr>
          <w:rFonts w:eastAsia="方正黑体简体"/>
          <w:b/>
          <w:color w:val="auto"/>
          <w:sz w:val="30"/>
          <w:szCs w:val="30"/>
        </w:rPr>
      </w:pPr>
    </w:p>
    <w:p w14:paraId="32BB1F70">
      <w:pPr>
        <w:spacing w:before="97" w:line="221" w:lineRule="auto"/>
        <w:rPr>
          <w:rFonts w:hint="eastAsia" w:asciiTheme="minorEastAsia" w:hAnsiTheme="minorEastAsia" w:eastAsiaTheme="minorEastAsia" w:cstheme="minorEastAsia"/>
          <w:b/>
          <w:bCs/>
          <w:spacing w:val="-5"/>
          <w:sz w:val="28"/>
          <w:szCs w:val="28"/>
        </w:rPr>
      </w:pPr>
      <w:r>
        <w:rPr>
          <w:rFonts w:hint="eastAsia" w:asciiTheme="minorEastAsia" w:hAnsiTheme="minorEastAsia" w:eastAsiaTheme="minorEastAsia" w:cstheme="minorEastAsia"/>
          <w:b/>
          <w:bCs/>
          <w:spacing w:val="-5"/>
          <w:sz w:val="28"/>
          <w:szCs w:val="28"/>
          <w:lang w:eastAsia="zh-CN"/>
        </w:rPr>
        <w:t>十五、</w:t>
      </w:r>
      <w:r>
        <w:rPr>
          <w:rFonts w:hint="eastAsia" w:asciiTheme="minorEastAsia" w:hAnsiTheme="minorEastAsia" w:eastAsiaTheme="minorEastAsia" w:cstheme="minorEastAsia"/>
          <w:b/>
          <w:bCs/>
          <w:spacing w:val="-5"/>
          <w:sz w:val="28"/>
          <w:szCs w:val="28"/>
        </w:rPr>
        <w:t>《</w:t>
      </w:r>
      <w:r>
        <w:rPr>
          <w:rFonts w:hint="eastAsia" w:asciiTheme="minorEastAsia" w:hAnsiTheme="minorEastAsia" w:eastAsiaTheme="minorEastAsia" w:cstheme="minorEastAsia"/>
          <w:b/>
          <w:bCs/>
          <w:spacing w:val="-5"/>
          <w:sz w:val="28"/>
          <w:szCs w:val="28"/>
          <w:lang w:eastAsia="zh-CN"/>
        </w:rPr>
        <w:t>谈判</w:t>
      </w:r>
      <w:r>
        <w:rPr>
          <w:rFonts w:hint="eastAsia" w:asciiTheme="minorEastAsia" w:hAnsiTheme="minorEastAsia" w:eastAsiaTheme="minorEastAsia" w:cstheme="minorEastAsia"/>
          <w:b/>
          <w:bCs/>
          <w:spacing w:val="-5"/>
          <w:sz w:val="28"/>
          <w:szCs w:val="28"/>
        </w:rPr>
        <w:t>文件》第一章“</w:t>
      </w:r>
      <w:r>
        <w:rPr>
          <w:rFonts w:hint="eastAsia" w:asciiTheme="minorEastAsia" w:hAnsiTheme="minorEastAsia" w:eastAsiaTheme="minorEastAsia" w:cstheme="minorEastAsia"/>
          <w:b/>
          <w:bCs/>
          <w:spacing w:val="-5"/>
          <w:sz w:val="28"/>
          <w:szCs w:val="28"/>
          <w:lang w:eastAsia="zh-CN"/>
        </w:rPr>
        <w:t>谈判</w:t>
      </w:r>
      <w:r>
        <w:rPr>
          <w:rFonts w:hint="eastAsia" w:asciiTheme="minorEastAsia" w:hAnsiTheme="minorEastAsia" w:eastAsiaTheme="minorEastAsia" w:cstheme="minorEastAsia"/>
          <w:b/>
          <w:bCs/>
          <w:spacing w:val="-5"/>
          <w:sz w:val="28"/>
          <w:szCs w:val="28"/>
        </w:rPr>
        <w:t>公告”第二条所要求的资格性证明文 件</w:t>
      </w:r>
    </w:p>
    <w:p w14:paraId="52E9EE69">
      <w:pPr>
        <w:spacing w:before="97" w:line="221" w:lineRule="auto"/>
        <w:rPr>
          <w:rFonts w:hint="eastAsia" w:asciiTheme="minorEastAsia" w:hAnsiTheme="minorEastAsia" w:eastAsiaTheme="minorEastAsia" w:cstheme="minorEastAsia"/>
          <w:b/>
          <w:bCs/>
          <w:spacing w:val="-5"/>
          <w:sz w:val="28"/>
          <w:szCs w:val="28"/>
        </w:rPr>
      </w:pPr>
      <w:r>
        <w:rPr>
          <w:rFonts w:hint="eastAsia" w:asciiTheme="minorEastAsia" w:hAnsiTheme="minorEastAsia" w:eastAsiaTheme="minorEastAsia" w:cstheme="minorEastAsia"/>
          <w:b/>
          <w:bCs/>
          <w:spacing w:val="-5"/>
          <w:sz w:val="28"/>
          <w:szCs w:val="28"/>
          <w:lang w:eastAsia="zh-CN"/>
        </w:rPr>
        <w:t>（</w:t>
      </w:r>
      <w:r>
        <w:rPr>
          <w:rFonts w:hint="eastAsia" w:asciiTheme="minorEastAsia" w:hAnsiTheme="minorEastAsia" w:eastAsiaTheme="minorEastAsia" w:cstheme="minorEastAsia"/>
          <w:b/>
          <w:bCs/>
          <w:spacing w:val="-5"/>
          <w:sz w:val="28"/>
          <w:szCs w:val="28"/>
          <w:lang w:val="en-US" w:eastAsia="zh-CN"/>
        </w:rPr>
        <w:t>1</w:t>
      </w:r>
      <w:r>
        <w:rPr>
          <w:rFonts w:hint="eastAsia" w:asciiTheme="minorEastAsia" w:hAnsiTheme="minorEastAsia" w:eastAsiaTheme="minorEastAsia" w:cstheme="minorEastAsia"/>
          <w:b/>
          <w:bCs/>
          <w:spacing w:val="-5"/>
          <w:sz w:val="28"/>
          <w:szCs w:val="28"/>
          <w:lang w:eastAsia="zh-CN"/>
        </w:rPr>
        <w:t>）</w:t>
      </w:r>
      <w:r>
        <w:rPr>
          <w:rFonts w:hint="eastAsia" w:asciiTheme="minorEastAsia" w:hAnsiTheme="minorEastAsia" w:eastAsiaTheme="minorEastAsia" w:cstheme="minorEastAsia"/>
          <w:b/>
          <w:bCs/>
          <w:spacing w:val="-5"/>
          <w:sz w:val="28"/>
          <w:szCs w:val="28"/>
        </w:rPr>
        <w:t>、《政府采购法》第二十二条第一款规定的供应商基础性资格的承诺函</w:t>
      </w:r>
    </w:p>
    <w:p w14:paraId="6500A4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一、我公司郑重承诺，我公司符合《政府采购法》第二十二条第一款规定的供应 商基础性资格条件，具体如下：</w:t>
      </w:r>
    </w:p>
    <w:p w14:paraId="4AAB0BD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1、我公司承诺具有独立承担民事责任能力；</w:t>
      </w:r>
    </w:p>
    <w:p w14:paraId="7826D9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2、我公司承诺具有良好的商业信誉和健全的财务会计制度；</w:t>
      </w:r>
    </w:p>
    <w:p w14:paraId="7C98C4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3、我公司承诺具备履行合同所必需的设备和专业技术能力；</w:t>
      </w:r>
    </w:p>
    <w:p w14:paraId="5C9600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4、我公司承诺具有依法缴纳税收和社会保障资金的良好记录；</w:t>
      </w:r>
    </w:p>
    <w:p w14:paraId="19C9B5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5、我公司承诺在参加政府采购活动前三年内，在经营活动中没有重大违法记录。</w:t>
      </w:r>
    </w:p>
    <w:p w14:paraId="7B2BAD4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二、我公司保证上述承诺事项的真实性，如有虚假或其他违规违法行为，我公司 愿意按《政府采购法》提供虚假材料的有关规定承担法律责任，并承担因此造成的一 切损失。</w:t>
      </w:r>
    </w:p>
    <w:p w14:paraId="338075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三、我公司认同按照《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文件》“《政府采购法》第二十二条第一款规定的供应 商基础性资格的承诺认定标准 ”对我公司或其他公司进行的供应商基础性资格的审查， 对按照认定标准得出的审查结果无异议。</w:t>
      </w:r>
    </w:p>
    <w:p w14:paraId="494F2C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四、我公司投标文件或公开资料或备案资料中，有不符合《招标文件》“《政府 采购法》第二十二条第一款规定的供应商基础性资格的承诺认定标准”的，我公司认 同判定为无效投标、承担虚假承诺责任。</w:t>
      </w:r>
    </w:p>
    <w:p w14:paraId="21C1B7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五、我公司在没有有效的证明材料，以证明其他投标人不符合《招标文件》“《政 府采购法》第二十二条第一款规定的供应商基础性资格的承诺认定标准”时，我公司  承诺不对其他投标人的承诺函提起质疑投诉，同意对已提起的质疑投诉按缺乏事实依  据、按无效质疑投诉处理。</w:t>
      </w:r>
    </w:p>
    <w:p w14:paraId="23BD95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p>
    <w:p w14:paraId="70FE286F">
      <w:pPr>
        <w:widowControl w:val="0"/>
        <w:tabs>
          <w:tab w:val="left" w:pos="9365"/>
        </w:tabs>
        <w:snapToGrid w:val="0"/>
        <w:spacing w:after="56" w:line="560" w:lineRule="exact"/>
        <w:ind w:right="85" w:firstLine="480" w:firstLineChars="200"/>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2C45E889">
      <w:pPr>
        <w:widowControl w:val="0"/>
        <w:tabs>
          <w:tab w:val="left" w:pos="9365"/>
        </w:tabs>
        <w:snapToGrid w:val="0"/>
        <w:spacing w:after="56" w:line="560" w:lineRule="exact"/>
        <w:ind w:right="85" w:firstLine="480" w:firstLineChars="200"/>
        <w:jc w:val="left"/>
        <w:textAlignment w:val="top"/>
        <w:rPr>
          <w:color w:val="auto"/>
          <w:sz w:val="24"/>
          <w:szCs w:val="24"/>
        </w:rPr>
      </w:pPr>
      <w:r>
        <w:rPr>
          <w:rFonts w:hint="eastAsia"/>
          <w:color w:val="auto"/>
          <w:sz w:val="24"/>
          <w:szCs w:val="24"/>
        </w:rPr>
        <w:t>法定代表人（电子签名）：</w:t>
      </w:r>
    </w:p>
    <w:p w14:paraId="60BA4F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日期： 年 月 日</w:t>
      </w:r>
    </w:p>
    <w:p w14:paraId="45FA91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heme="minorEastAsia" w:hAnsiTheme="minorEastAsia" w:eastAsiaTheme="minorEastAsia" w:cstheme="minorEastAsia"/>
          <w:sz w:val="24"/>
          <w:szCs w:val="24"/>
        </w:rPr>
      </w:pPr>
    </w:p>
    <w:p w14:paraId="082454F0">
      <w:pPr>
        <w:tabs>
          <w:tab w:val="left" w:pos="540"/>
        </w:tabs>
        <w:spacing w:line="440" w:lineRule="exact"/>
        <w:jc w:val="center"/>
        <w:rPr>
          <w:color w:val="auto"/>
        </w:rPr>
      </w:pPr>
      <w:r>
        <w:rPr>
          <w:color w:val="auto"/>
        </w:rPr>
        <w:br w:type="page"/>
      </w:r>
    </w:p>
    <w:p w14:paraId="390F85D9">
      <w:pPr>
        <w:spacing w:line="588" w:lineRule="exact"/>
        <w:jc w:val="center"/>
        <w:rPr>
          <w:rFonts w:ascii="黑体" w:hAnsi="黑体" w:eastAsia="黑体"/>
          <w:color w:val="auto"/>
          <w:sz w:val="24"/>
          <w:szCs w:val="24"/>
        </w:rPr>
      </w:pPr>
      <w:r>
        <w:rPr>
          <w:rFonts w:hint="eastAsia" w:ascii="黑体" w:hAnsi="黑体" w:eastAsia="黑体"/>
          <w:b/>
          <w:color w:val="auto"/>
          <w:sz w:val="30"/>
          <w:szCs w:val="30"/>
          <w:lang w:val="en-US" w:eastAsia="zh-CN"/>
        </w:rPr>
        <w:t>(2)、</w:t>
      </w:r>
      <w:r>
        <w:rPr>
          <w:rFonts w:ascii="黑体" w:hAnsi="黑体" w:eastAsia="黑体"/>
          <w:b/>
          <w:color w:val="auto"/>
          <w:sz w:val="30"/>
          <w:szCs w:val="30"/>
        </w:rPr>
        <w:t>中小企业声明函</w:t>
      </w:r>
      <w:r>
        <w:rPr>
          <w:rFonts w:hint="eastAsia" w:ascii="黑体" w:hAnsi="黑体" w:eastAsia="黑体" w:cs="Times New Roman"/>
          <w:b/>
          <w:color w:val="auto"/>
          <w:sz w:val="30"/>
          <w:szCs w:val="30"/>
          <w:lang w:val="en-US" w:eastAsia="zh-CN"/>
        </w:rPr>
        <w:t>(</w:t>
      </w:r>
      <w:r>
        <w:rPr>
          <w:rFonts w:hint="eastAsia" w:ascii="宋体" w:hAnsi="宋体" w:eastAsia="宋体" w:cs="宋体"/>
          <w:color w:val="000000"/>
          <w:kern w:val="0"/>
          <w:sz w:val="24"/>
          <w:szCs w:val="24"/>
          <w:u w:color="000000"/>
          <w:lang w:val="en-US" w:eastAsia="zh-CN" w:bidi="ar"/>
        </w:rPr>
        <w:t>如符合条件时填写*</w:t>
      </w:r>
      <w:r>
        <w:rPr>
          <w:rFonts w:hint="eastAsia" w:ascii="黑体" w:hAnsi="黑体" w:eastAsia="黑体" w:cs="Times New Roman"/>
          <w:b/>
          <w:color w:val="auto"/>
          <w:sz w:val="30"/>
          <w:szCs w:val="30"/>
          <w:lang w:val="en-US" w:eastAsia="zh-CN"/>
        </w:rPr>
        <w:t>)</w:t>
      </w:r>
    </w:p>
    <w:p w14:paraId="4309CB79">
      <w:pPr>
        <w:spacing w:line="588" w:lineRule="exact"/>
        <w:jc w:val="center"/>
        <w:rPr>
          <w:rFonts w:ascii="黑体" w:hAnsi="黑体" w:eastAsia="黑体"/>
          <w:b/>
          <w:color w:val="auto"/>
          <w:sz w:val="30"/>
          <w:szCs w:val="30"/>
        </w:rPr>
      </w:pPr>
    </w:p>
    <w:p w14:paraId="53DF94B6">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w:t>
      </w:r>
      <w:r>
        <w:rPr>
          <w:rFonts w:hint="eastAsia" w:ascii="宋体" w:hAnsi="宋体"/>
          <w:color w:val="auto"/>
          <w:spacing w:val="6"/>
          <w:sz w:val="24"/>
          <w:szCs w:val="24"/>
          <w:lang w:eastAsia="zh-CN"/>
        </w:rPr>
        <w:t>服务</w:t>
      </w:r>
      <w:r>
        <w:rPr>
          <w:rFonts w:ascii="宋体" w:hAnsi="宋体"/>
          <w:color w:val="auto"/>
          <w:spacing w:val="6"/>
          <w:sz w:val="24"/>
          <w:szCs w:val="24"/>
        </w:rPr>
        <w:t>全部由符合政策要求的中小企业制造。相关企业 (含联合体中的中小企业、签订分包意向协议的中小企业）的具体情况如下：</w:t>
      </w:r>
    </w:p>
    <w:p w14:paraId="66B157DC">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w:t>
      </w:r>
      <w:r>
        <w:rPr>
          <w:rFonts w:hint="eastAsia" w:ascii="宋体" w:hAnsi="宋体"/>
          <w:color w:val="auto"/>
          <w:spacing w:val="6"/>
          <w:sz w:val="24"/>
          <w:szCs w:val="24"/>
          <w:lang w:eastAsia="zh-CN"/>
        </w:rPr>
        <w:t>承接企业</w:t>
      </w:r>
      <w:r>
        <w:rPr>
          <w:rFonts w:ascii="宋体" w:hAnsi="宋体"/>
          <w:color w:val="auto"/>
          <w:spacing w:val="6"/>
          <w:sz w:val="24"/>
          <w:szCs w:val="24"/>
        </w:rPr>
        <w:t>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u w:val="single"/>
        </w:rPr>
        <w:t xml:space="preserve"> </w:t>
      </w:r>
      <w:r>
        <w:rPr>
          <w:rFonts w:hint="eastAsia" w:ascii="宋体" w:hAnsi="宋体"/>
          <w:color w:val="auto"/>
          <w:spacing w:val="6"/>
          <w:sz w:val="24"/>
          <w:szCs w:val="24"/>
          <w:u w:val="single"/>
          <w:lang w:val="en-US" w:eastAsia="zh-CN"/>
        </w:rPr>
        <w:t xml:space="preserve">   </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14:paraId="176439A4">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w:t>
      </w:r>
      <w:r>
        <w:rPr>
          <w:rFonts w:hint="eastAsia" w:ascii="宋体" w:hAnsi="宋体"/>
          <w:color w:val="auto"/>
          <w:spacing w:val="6"/>
          <w:sz w:val="24"/>
          <w:szCs w:val="24"/>
          <w:lang w:eastAsia="zh-CN"/>
        </w:rPr>
        <w:t>承接企业</w:t>
      </w:r>
      <w:r>
        <w:rPr>
          <w:rFonts w:ascii="宋体" w:hAnsi="宋体"/>
          <w:color w:val="auto"/>
          <w:spacing w:val="6"/>
          <w:sz w:val="24"/>
          <w:szCs w:val="24"/>
        </w:rPr>
        <w:t>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hint="eastAsia" w:ascii="宋体" w:hAnsi="宋体"/>
          <w:color w:val="auto"/>
          <w:spacing w:val="6"/>
          <w:sz w:val="24"/>
          <w:szCs w:val="24"/>
          <w:u w:val="single"/>
          <w:lang w:val="en-US" w:eastAsia="zh-CN"/>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hint="eastAsia" w:ascii="宋体" w:hAnsi="宋体"/>
          <w:color w:val="auto"/>
          <w:spacing w:val="6"/>
          <w:sz w:val="24"/>
          <w:szCs w:val="24"/>
          <w:u w:val="single"/>
          <w:lang w:val="en-US" w:eastAsia="zh-CN"/>
        </w:rPr>
        <w:t xml:space="preserve">    </w:t>
      </w:r>
      <w:r>
        <w:rPr>
          <w:rFonts w:ascii="宋体" w:hAnsi="宋体"/>
          <w:color w:val="auto"/>
          <w:spacing w:val="6"/>
          <w:sz w:val="24"/>
          <w:szCs w:val="24"/>
        </w:rPr>
        <w:t>万元</w:t>
      </w:r>
      <w:r>
        <w:rPr>
          <w:rFonts w:hint="eastAsia" w:ascii="宋体" w:hAnsi="宋体"/>
          <w:color w:val="auto"/>
          <w:spacing w:val="6"/>
          <w:sz w:val="24"/>
          <w:szCs w:val="24"/>
        </w:rPr>
        <w:t>，</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14:paraId="02D6D04E">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14:paraId="23146D1E">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14:paraId="3012DF4D">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14:paraId="09951E73">
      <w:pPr>
        <w:spacing w:line="588" w:lineRule="exact"/>
        <w:rPr>
          <w:rFonts w:ascii="宋体" w:hAnsi="宋体"/>
          <w:color w:val="auto"/>
          <w:spacing w:val="6"/>
          <w:sz w:val="24"/>
          <w:szCs w:val="24"/>
        </w:rPr>
      </w:pPr>
    </w:p>
    <w:p w14:paraId="020694F1">
      <w:pPr>
        <w:spacing w:line="588" w:lineRule="exact"/>
        <w:rPr>
          <w:rFonts w:ascii="宋体" w:hAnsi="宋体"/>
          <w:color w:val="auto"/>
          <w:spacing w:val="6"/>
          <w:sz w:val="24"/>
          <w:szCs w:val="24"/>
        </w:rPr>
      </w:pPr>
    </w:p>
    <w:p w14:paraId="24696C96">
      <w:pPr>
        <w:pStyle w:val="80"/>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14:paraId="27CC3231">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14:paraId="11815B27">
      <w:pPr>
        <w:spacing w:line="588" w:lineRule="exact"/>
        <w:ind w:firstLine="504" w:firstLineChars="200"/>
        <w:rPr>
          <w:rFonts w:ascii="宋体" w:hAnsi="宋体"/>
          <w:color w:val="auto"/>
          <w:spacing w:val="6"/>
          <w:sz w:val="24"/>
          <w:szCs w:val="24"/>
        </w:rPr>
      </w:pPr>
    </w:p>
    <w:p w14:paraId="05E73D45">
      <w:pPr>
        <w:spacing w:line="240" w:lineRule="auto"/>
        <w:jc w:val="center"/>
        <w:textAlignment w:val="auto"/>
        <w:rPr>
          <w:rFonts w:ascii="黑体" w:hAnsi="黑体" w:eastAsia="黑体"/>
          <w:b/>
          <w:color w:val="auto"/>
          <w:sz w:val="30"/>
          <w:szCs w:val="30"/>
        </w:rPr>
      </w:pPr>
    </w:p>
    <w:p w14:paraId="15610B09">
      <w:pPr>
        <w:spacing w:line="240" w:lineRule="auto"/>
        <w:rPr>
          <w:rStyle w:val="79"/>
          <w:rFonts w:ascii="宋体" w:hAnsi="宋体" w:eastAsia="宋体"/>
          <w:color w:val="auto"/>
          <w:szCs w:val="21"/>
        </w:rPr>
      </w:pPr>
      <w:r>
        <w:rPr>
          <w:rFonts w:hint="eastAsia" w:ascii="宋体" w:hAnsi="宋体"/>
          <w:color w:val="auto"/>
          <w:szCs w:val="21"/>
        </w:rPr>
        <w:t>注：1、</w:t>
      </w:r>
      <w:r>
        <w:rPr>
          <w:rStyle w:val="78"/>
          <w:rFonts w:ascii="宋体" w:hAnsi="宋体"/>
          <w:color w:val="auto"/>
          <w:szCs w:val="21"/>
          <w:vertAlign w:val="superscript"/>
        </w:rPr>
        <w:t>1</w:t>
      </w:r>
      <w:r>
        <w:rPr>
          <w:rStyle w:val="79"/>
          <w:rFonts w:ascii="宋体" w:hAnsi="宋体"/>
          <w:color w:val="auto"/>
          <w:szCs w:val="21"/>
        </w:rPr>
        <w:t>从业人员、营业收入、资产总额填报上一年度数据，无上一年度数据的新成立企业可不填报</w:t>
      </w:r>
      <w:r>
        <w:rPr>
          <w:rStyle w:val="79"/>
          <w:rFonts w:hint="eastAsia" w:ascii="宋体" w:hAnsi="宋体"/>
          <w:color w:val="auto"/>
          <w:szCs w:val="21"/>
        </w:rPr>
        <w:t>。</w:t>
      </w:r>
    </w:p>
    <w:p w14:paraId="0D7B5604">
      <w:pPr>
        <w:spacing w:line="240" w:lineRule="auto"/>
        <w:ind w:left="181" w:leftChars="86" w:firstLine="270" w:firstLineChars="150"/>
        <w:rPr>
          <w:rFonts w:ascii="宋体" w:hAnsi="宋体"/>
          <w:color w:val="auto"/>
          <w:szCs w:val="21"/>
        </w:rPr>
      </w:pPr>
      <w:r>
        <w:rPr>
          <w:rStyle w:val="79"/>
          <w:rFonts w:hint="eastAsia" w:hAnsi="宋体" w:eastAsia="宋体"/>
          <w:color w:val="auto"/>
          <w:szCs w:val="21"/>
        </w:rPr>
        <w:t>2、</w:t>
      </w:r>
      <w:r>
        <w:rPr>
          <w:rStyle w:val="79"/>
          <w:rFonts w:hint="eastAsia" w:hAnsi="宋体"/>
          <w:color w:val="auto"/>
          <w:szCs w:val="21"/>
        </w:rPr>
        <w:t>谈判</w:t>
      </w:r>
      <w:r>
        <w:rPr>
          <w:rStyle w:val="79"/>
          <w:rFonts w:hint="eastAsia" w:hAnsi="宋体" w:eastAsia="宋体"/>
          <w:color w:val="auto"/>
          <w:szCs w:val="21"/>
        </w:rPr>
        <w:t>文件中未标注“专门面向中小企业采购”的未预留（非预留）项目，供应商可以根据自身情况提供《中小企业声明函》，未提供《中小企业声明函》的、将不享受小微企业价格扣除扶持政策。</w:t>
      </w:r>
    </w:p>
    <w:p w14:paraId="41237964">
      <w:pPr>
        <w:spacing w:line="240" w:lineRule="auto"/>
        <w:rPr>
          <w:rFonts w:ascii="宋体" w:hAnsi="宋体"/>
          <w:color w:val="auto"/>
          <w:szCs w:val="21"/>
        </w:rPr>
      </w:pPr>
    </w:p>
    <w:p w14:paraId="4B1E7A0B">
      <w:pPr>
        <w:spacing w:line="588" w:lineRule="exact"/>
        <w:jc w:val="center"/>
        <w:rPr>
          <w:rFonts w:ascii="黑体" w:hAnsi="黑体" w:eastAsia="黑体"/>
          <w:b/>
          <w:color w:val="auto"/>
          <w:sz w:val="30"/>
          <w:szCs w:val="30"/>
        </w:rPr>
      </w:pPr>
      <w:r>
        <w:rPr>
          <w:rFonts w:ascii="黑体" w:hAnsi="黑体" w:eastAsia="黑体"/>
          <w:b/>
          <w:color w:val="auto"/>
          <w:sz w:val="30"/>
          <w:szCs w:val="30"/>
        </w:rPr>
        <w:br w:type="page"/>
      </w:r>
    </w:p>
    <w:p w14:paraId="7A7F7079">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14:paraId="27DF4997">
      <w:pPr>
        <w:spacing w:line="588" w:lineRule="exact"/>
        <w:rPr>
          <w:rFonts w:ascii="仿宋_GB2312" w:eastAsia="仿宋_GB2312"/>
          <w:b/>
          <w:color w:val="auto"/>
          <w:spacing w:val="6"/>
          <w:sz w:val="30"/>
          <w:szCs w:val="30"/>
        </w:rPr>
      </w:pPr>
    </w:p>
    <w:p w14:paraId="63D776D0">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129738">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14:paraId="1C09AD2E">
      <w:pPr>
        <w:spacing w:line="588" w:lineRule="exact"/>
        <w:ind w:firstLine="504" w:firstLineChars="200"/>
        <w:rPr>
          <w:rFonts w:ascii="宋体" w:hAnsi="宋体"/>
          <w:color w:val="auto"/>
          <w:spacing w:val="6"/>
          <w:sz w:val="24"/>
          <w:szCs w:val="24"/>
        </w:rPr>
      </w:pPr>
    </w:p>
    <w:p w14:paraId="343F1DCE">
      <w:pPr>
        <w:spacing w:line="588" w:lineRule="exact"/>
        <w:ind w:firstLine="504" w:firstLineChars="200"/>
        <w:rPr>
          <w:rFonts w:ascii="宋体" w:hAnsi="宋体"/>
          <w:color w:val="auto"/>
          <w:spacing w:val="6"/>
          <w:sz w:val="24"/>
          <w:szCs w:val="24"/>
        </w:rPr>
      </w:pPr>
    </w:p>
    <w:p w14:paraId="6D74D1AE">
      <w:pPr>
        <w:spacing w:line="588" w:lineRule="exact"/>
        <w:ind w:firstLine="504" w:firstLineChars="200"/>
        <w:rPr>
          <w:rFonts w:ascii="宋体" w:hAnsi="宋体"/>
          <w:color w:val="auto"/>
          <w:spacing w:val="6"/>
          <w:sz w:val="24"/>
          <w:szCs w:val="24"/>
        </w:rPr>
      </w:pPr>
    </w:p>
    <w:p w14:paraId="7FDCBF76">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14:paraId="70C37242">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14:paraId="369B1D22">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5787194A">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6F57ED1E">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26D4C4E0">
      <w:pPr>
        <w:snapToGrid w:val="0"/>
        <w:spacing w:before="100" w:beforeAutospacing="1" w:after="100" w:afterAutospacing="1" w:line="540" w:lineRule="exact"/>
        <w:ind w:right="85"/>
        <w:jc w:val="left"/>
        <w:textAlignment w:val="top"/>
        <w:rPr>
          <w:rFonts w:ascii="宋体" w:hAnsi="宋体"/>
          <w:color w:val="auto"/>
          <w:sz w:val="24"/>
          <w:szCs w:val="24"/>
        </w:rPr>
      </w:pPr>
    </w:p>
    <w:p w14:paraId="4EFC903D">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14:paraId="6B918108">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14:paraId="1B2FB215">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14:paraId="7597CE73">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p w14:paraId="29C1F386">
      <w:pPr>
        <w:autoSpaceDE w:val="0"/>
        <w:autoSpaceDN w:val="0"/>
        <w:adjustRightInd w:val="0"/>
        <w:spacing w:line="360" w:lineRule="auto"/>
        <w:jc w:val="center"/>
        <w:rPr>
          <w:rFonts w:ascii="宋体" w:cs="楷体_GB2312"/>
          <w:b/>
          <w:color w:val="auto"/>
          <w:sz w:val="30"/>
          <w:szCs w:val="30"/>
          <w:lang w:val="zh-CN"/>
        </w:rPr>
      </w:pPr>
      <w:r>
        <w:rPr>
          <w:rFonts w:ascii="宋体" w:cs="楷体_GB2312"/>
          <w:b/>
          <w:color w:val="auto"/>
          <w:sz w:val="30"/>
          <w:szCs w:val="30"/>
          <w:lang w:val="zh-CN"/>
        </w:rPr>
        <w:br w:type="page"/>
      </w:r>
    </w:p>
    <w:p w14:paraId="116FB66B">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lang w:eastAsia="zh-CN"/>
        </w:rPr>
        <w:t>（</w:t>
      </w:r>
      <w:r>
        <w:rPr>
          <w:rFonts w:hint="eastAsia" w:ascii="黑体" w:hAnsi="黑体" w:eastAsia="黑体"/>
          <w:b/>
          <w:color w:val="auto"/>
          <w:sz w:val="30"/>
          <w:szCs w:val="30"/>
          <w:lang w:val="en-US" w:eastAsia="zh-CN"/>
        </w:rPr>
        <w:t>3</w:t>
      </w:r>
      <w:r>
        <w:rPr>
          <w:rFonts w:hint="eastAsia" w:ascii="黑体" w:hAnsi="黑体" w:eastAsia="黑体"/>
          <w:b/>
          <w:color w:val="auto"/>
          <w:sz w:val="30"/>
          <w:szCs w:val="30"/>
          <w:lang w:eastAsia="zh-CN"/>
        </w:rPr>
        <w:t>）、</w:t>
      </w:r>
      <w:r>
        <w:rPr>
          <w:rFonts w:hint="eastAsia" w:ascii="黑体" w:hAnsi="黑体" w:eastAsia="黑体"/>
          <w:b/>
          <w:color w:val="auto"/>
          <w:sz w:val="30"/>
          <w:szCs w:val="30"/>
        </w:rPr>
        <w:t>供应商负责人控股、设计等相关承诺书</w:t>
      </w:r>
    </w:p>
    <w:p w14:paraId="7F94632F">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14:paraId="2B2DBE81">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14:paraId="4020A678">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14:paraId="0D456BEC">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14:paraId="37D32209">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14:paraId="095490D2">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14:paraId="5BBC742B">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rPr>
        <w:t>供应商</w:t>
      </w:r>
      <w:r>
        <w:rPr>
          <w:rFonts w:hint="eastAsia" w:ascii="宋体" w:hAnsi="宋体"/>
          <w:color w:val="auto"/>
          <w:sz w:val="24"/>
          <w:szCs w:val="24"/>
        </w:rPr>
        <w:t>（电子签章）：</w:t>
      </w:r>
    </w:p>
    <w:p w14:paraId="2E594CC8">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w:t>
      </w:r>
    </w:p>
    <w:p w14:paraId="37D34979">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2D85180E">
      <w:pPr>
        <w:autoSpaceDE w:val="0"/>
        <w:autoSpaceDN w:val="0"/>
        <w:adjustRightInd w:val="0"/>
        <w:spacing w:line="360" w:lineRule="auto"/>
        <w:jc w:val="center"/>
        <w:rPr>
          <w:rFonts w:ascii="宋体"/>
          <w:color w:val="auto"/>
          <w:sz w:val="24"/>
          <w:szCs w:val="24"/>
        </w:rPr>
      </w:pPr>
    </w:p>
    <w:p w14:paraId="7CEF3484">
      <w:pPr>
        <w:autoSpaceDE w:val="0"/>
        <w:autoSpaceDN w:val="0"/>
        <w:adjustRightInd w:val="0"/>
        <w:spacing w:line="360" w:lineRule="auto"/>
        <w:jc w:val="center"/>
        <w:rPr>
          <w:rFonts w:ascii="宋体"/>
          <w:color w:val="auto"/>
          <w:sz w:val="24"/>
          <w:szCs w:val="24"/>
        </w:rPr>
      </w:pPr>
    </w:p>
    <w:p w14:paraId="0D1E8455">
      <w:pPr>
        <w:autoSpaceDE w:val="0"/>
        <w:autoSpaceDN w:val="0"/>
        <w:adjustRightInd w:val="0"/>
        <w:spacing w:line="360" w:lineRule="auto"/>
        <w:jc w:val="center"/>
        <w:rPr>
          <w:rFonts w:ascii="宋体"/>
          <w:color w:val="auto"/>
          <w:sz w:val="24"/>
          <w:szCs w:val="24"/>
        </w:rPr>
      </w:pPr>
    </w:p>
    <w:p w14:paraId="71C2D859">
      <w:pPr>
        <w:autoSpaceDE w:val="0"/>
        <w:autoSpaceDN w:val="0"/>
        <w:adjustRightInd w:val="0"/>
        <w:spacing w:line="360" w:lineRule="auto"/>
        <w:jc w:val="center"/>
        <w:rPr>
          <w:rFonts w:ascii="宋体"/>
          <w:color w:val="auto"/>
          <w:sz w:val="24"/>
          <w:szCs w:val="24"/>
        </w:rPr>
      </w:pPr>
    </w:p>
    <w:p w14:paraId="7DD821E2">
      <w:pPr>
        <w:pStyle w:val="2"/>
        <w:rPr>
          <w:rFonts w:ascii="宋体"/>
          <w:color w:val="auto"/>
          <w:sz w:val="24"/>
          <w:szCs w:val="24"/>
        </w:rPr>
      </w:pPr>
    </w:p>
    <w:p w14:paraId="3E6BAA53">
      <w:pPr>
        <w:pStyle w:val="2"/>
        <w:rPr>
          <w:rFonts w:ascii="宋体"/>
          <w:color w:val="auto"/>
          <w:sz w:val="24"/>
          <w:szCs w:val="24"/>
        </w:rPr>
      </w:pPr>
    </w:p>
    <w:p w14:paraId="037E13E1">
      <w:pPr>
        <w:pStyle w:val="2"/>
        <w:rPr>
          <w:rFonts w:ascii="宋体"/>
          <w:color w:val="auto"/>
          <w:sz w:val="24"/>
          <w:szCs w:val="24"/>
        </w:rPr>
      </w:pPr>
    </w:p>
    <w:p w14:paraId="6349F1B2">
      <w:pPr>
        <w:pStyle w:val="2"/>
        <w:rPr>
          <w:rFonts w:ascii="宋体"/>
          <w:color w:val="auto"/>
          <w:sz w:val="24"/>
          <w:szCs w:val="24"/>
        </w:rPr>
      </w:pPr>
    </w:p>
    <w:p w14:paraId="391B21C7">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近三年无重大违法记录的声明函</w:t>
      </w:r>
    </w:p>
    <w:p w14:paraId="0B2AD7B2">
      <w:pPr>
        <w:spacing w:line="240" w:lineRule="auto"/>
        <w:jc w:val="left"/>
        <w:textAlignment w:val="auto"/>
        <w:rPr>
          <w:rFonts w:hint="eastAsia" w:ascii="宋体" w:hAnsi="宋体" w:eastAsia="宋体"/>
          <w:color w:val="auto"/>
          <w:sz w:val="24"/>
          <w:szCs w:val="24"/>
          <w:lang w:val="en-US" w:eastAsia="zh-CN"/>
        </w:rPr>
      </w:pPr>
    </w:p>
    <w:p w14:paraId="3FAD3942">
      <w:pPr>
        <w:tabs>
          <w:tab w:val="left" w:pos="9365"/>
        </w:tabs>
        <w:spacing w:before="360" w:after="360" w:line="586" w:lineRule="atLeast"/>
        <w:ind w:right="85"/>
        <w:jc w:val="left"/>
        <w:textAlignment w:val="top"/>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14:paraId="3A6EDDAE">
      <w:pPr>
        <w:tabs>
          <w:tab w:val="left" w:pos="9365"/>
        </w:tabs>
        <w:spacing w:before="57" w:after="57" w:line="586" w:lineRule="atLeast"/>
        <w:ind w:right="85" w:firstLine="600" w:firstLineChars="250"/>
        <w:jc w:val="left"/>
        <w:textAlignment w:val="top"/>
        <w:rPr>
          <w:rFonts w:ascii="宋体" w:hAnsi="宋体"/>
          <w:color w:val="auto"/>
          <w:sz w:val="24"/>
          <w:szCs w:val="24"/>
        </w:rPr>
      </w:pPr>
      <w:r>
        <w:rPr>
          <w:rFonts w:hint="eastAsia" w:ascii="宋体" w:hAnsi="宋体"/>
          <w:color w:val="auto"/>
          <w:sz w:val="24"/>
          <w:szCs w:val="24"/>
        </w:rPr>
        <w:t>我单位在参加政府采购活动前三年内，在经营活动中没有重大违法记录。</w:t>
      </w:r>
    </w:p>
    <w:p w14:paraId="0FFF78D3">
      <w:pPr>
        <w:tabs>
          <w:tab w:val="left" w:pos="9365"/>
        </w:tabs>
        <w:spacing w:before="57" w:after="57" w:line="586" w:lineRule="atLeast"/>
        <w:ind w:right="85" w:firstLine="600" w:firstLineChars="250"/>
        <w:jc w:val="left"/>
        <w:textAlignment w:val="top"/>
        <w:rPr>
          <w:rFonts w:ascii="宋体" w:hAnsi="宋体"/>
          <w:color w:val="auto"/>
          <w:sz w:val="24"/>
          <w:szCs w:val="24"/>
        </w:rPr>
      </w:pPr>
      <w:r>
        <w:rPr>
          <w:rFonts w:hint="eastAsia" w:ascii="宋体" w:hAnsi="宋体"/>
          <w:color w:val="auto"/>
          <w:sz w:val="24"/>
          <w:szCs w:val="24"/>
        </w:rPr>
        <w:t>特此承诺。</w:t>
      </w:r>
    </w:p>
    <w:p w14:paraId="23781185">
      <w:pPr>
        <w:tabs>
          <w:tab w:val="left" w:pos="9365"/>
        </w:tabs>
        <w:spacing w:before="57" w:after="57" w:line="586" w:lineRule="atLeast"/>
        <w:ind w:right="85"/>
        <w:jc w:val="left"/>
        <w:textAlignment w:val="top"/>
        <w:rPr>
          <w:rFonts w:ascii="宋体" w:hAnsi="宋体"/>
          <w:color w:val="auto"/>
          <w:sz w:val="24"/>
          <w:szCs w:val="24"/>
        </w:rPr>
      </w:pPr>
    </w:p>
    <w:p w14:paraId="0EA376CB">
      <w:pPr>
        <w:tabs>
          <w:tab w:val="left" w:pos="9365"/>
        </w:tabs>
        <w:spacing w:before="57" w:after="57" w:line="586" w:lineRule="atLeast"/>
        <w:ind w:right="85"/>
        <w:jc w:val="left"/>
        <w:textAlignment w:val="top"/>
        <w:rPr>
          <w:rFonts w:ascii="宋体" w:hAnsi="宋体"/>
          <w:color w:val="auto"/>
          <w:sz w:val="24"/>
          <w:szCs w:val="24"/>
        </w:rPr>
      </w:pPr>
    </w:p>
    <w:p w14:paraId="01D3E53B">
      <w:pPr>
        <w:tabs>
          <w:tab w:val="left" w:pos="9365"/>
        </w:tabs>
        <w:spacing w:before="57" w:after="57" w:line="586" w:lineRule="atLeast"/>
        <w:ind w:right="85"/>
        <w:jc w:val="left"/>
        <w:textAlignment w:val="top"/>
        <w:rPr>
          <w:rFonts w:ascii="宋体" w:hAnsi="宋体"/>
          <w:color w:val="auto"/>
          <w:sz w:val="24"/>
          <w:szCs w:val="24"/>
        </w:rPr>
      </w:pPr>
    </w:p>
    <w:p w14:paraId="0C775A1C">
      <w:pPr>
        <w:tabs>
          <w:tab w:val="left" w:pos="9365"/>
        </w:tabs>
        <w:spacing w:before="57" w:after="57" w:line="586" w:lineRule="atLeast"/>
        <w:ind w:right="85"/>
        <w:jc w:val="left"/>
        <w:textAlignment w:val="top"/>
        <w:rPr>
          <w:rFonts w:ascii="宋体" w:hAnsi="宋体"/>
          <w:color w:val="auto"/>
          <w:sz w:val="24"/>
          <w:szCs w:val="24"/>
        </w:rPr>
      </w:pPr>
    </w:p>
    <w:p w14:paraId="2E46FC36">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03F471D5">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14:paraId="1CD948D7">
      <w:pPr>
        <w:widowControl w:val="0"/>
        <w:tabs>
          <w:tab w:val="left" w:pos="9365"/>
        </w:tabs>
        <w:snapToGrid w:val="0"/>
        <w:spacing w:after="56" w:line="560" w:lineRule="exact"/>
        <w:ind w:right="85"/>
        <w:jc w:val="left"/>
        <w:textAlignment w:val="top"/>
        <w:rPr>
          <w:rFonts w:ascii="宋体" w:hAnsi="宋体" w:cs="楷体_GB2312"/>
          <w:color w:val="auto"/>
          <w:sz w:val="24"/>
          <w:lang w:val="zh-CN"/>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A7134F9">
      <w:pPr>
        <w:autoSpaceDE w:val="0"/>
        <w:autoSpaceDN w:val="0"/>
        <w:adjustRightInd w:val="0"/>
        <w:spacing w:line="360" w:lineRule="auto"/>
        <w:rPr>
          <w:rFonts w:ascii="宋体" w:cs="楷体_GB2312"/>
          <w:b/>
          <w:bCs/>
          <w:color w:val="auto"/>
          <w:sz w:val="24"/>
          <w:lang w:val="zh-CN"/>
        </w:rPr>
      </w:pPr>
    </w:p>
    <w:p w14:paraId="53D6A937">
      <w:pPr>
        <w:autoSpaceDE w:val="0"/>
        <w:autoSpaceDN w:val="0"/>
        <w:adjustRightInd w:val="0"/>
        <w:spacing w:line="360" w:lineRule="auto"/>
        <w:rPr>
          <w:rFonts w:ascii="宋体" w:cs="楷体_GB2312"/>
          <w:b/>
          <w:bCs/>
          <w:color w:val="auto"/>
          <w:sz w:val="24"/>
          <w:lang w:val="zh-CN"/>
        </w:rPr>
      </w:pPr>
    </w:p>
    <w:p w14:paraId="4DA8371E">
      <w:pPr>
        <w:autoSpaceDE w:val="0"/>
        <w:autoSpaceDN w:val="0"/>
        <w:adjustRightInd w:val="0"/>
        <w:spacing w:line="360" w:lineRule="auto"/>
        <w:rPr>
          <w:rFonts w:ascii="宋体" w:cs="楷体_GB2312"/>
          <w:b/>
          <w:bCs/>
          <w:color w:val="auto"/>
          <w:sz w:val="24"/>
          <w:lang w:val="zh-CN"/>
        </w:rPr>
      </w:pPr>
    </w:p>
    <w:p w14:paraId="59E928C5">
      <w:pPr>
        <w:autoSpaceDE w:val="0"/>
        <w:autoSpaceDN w:val="0"/>
        <w:adjustRightInd w:val="0"/>
        <w:spacing w:line="360" w:lineRule="auto"/>
        <w:rPr>
          <w:rFonts w:ascii="宋体" w:cs="楷体_GB2312"/>
          <w:b/>
          <w:bCs/>
          <w:color w:val="auto"/>
          <w:sz w:val="24"/>
          <w:lang w:val="zh-CN"/>
        </w:rPr>
      </w:pPr>
    </w:p>
    <w:p w14:paraId="02A05C43">
      <w:pPr>
        <w:autoSpaceDE w:val="0"/>
        <w:autoSpaceDN w:val="0"/>
        <w:adjustRightInd w:val="0"/>
        <w:spacing w:line="360" w:lineRule="auto"/>
        <w:rPr>
          <w:rFonts w:ascii="宋体" w:cs="楷体_GB2312"/>
          <w:b/>
          <w:bCs/>
          <w:color w:val="auto"/>
          <w:sz w:val="24"/>
          <w:lang w:val="zh-CN"/>
        </w:rPr>
      </w:pPr>
    </w:p>
    <w:p w14:paraId="315E1F09">
      <w:pPr>
        <w:autoSpaceDE w:val="0"/>
        <w:autoSpaceDN w:val="0"/>
        <w:adjustRightInd w:val="0"/>
        <w:spacing w:line="360" w:lineRule="auto"/>
        <w:rPr>
          <w:rFonts w:ascii="宋体"/>
          <w:color w:val="auto"/>
          <w:sz w:val="24"/>
          <w:szCs w:val="24"/>
        </w:rPr>
      </w:pPr>
      <w:r>
        <w:rPr>
          <w:rFonts w:ascii="宋体" w:cs="楷体_GB2312"/>
          <w:b/>
          <w:bCs/>
          <w:color w:val="auto"/>
          <w:sz w:val="24"/>
          <w:lang w:val="zh-CN"/>
        </w:rPr>
        <w:br w:type="page"/>
      </w:r>
    </w:p>
    <w:p w14:paraId="14DE1AE5">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lang w:eastAsia="zh-CN"/>
        </w:rPr>
        <w:t>（</w:t>
      </w:r>
      <w:r>
        <w:rPr>
          <w:rFonts w:hint="eastAsia" w:ascii="黑体" w:hAnsi="黑体" w:eastAsia="黑体"/>
          <w:b/>
          <w:color w:val="auto"/>
          <w:sz w:val="30"/>
          <w:szCs w:val="30"/>
          <w:lang w:val="en-US" w:eastAsia="zh-CN"/>
        </w:rPr>
        <w:t>4</w:t>
      </w:r>
      <w:r>
        <w:rPr>
          <w:rFonts w:hint="eastAsia" w:ascii="黑体" w:hAnsi="黑体" w:eastAsia="黑体"/>
          <w:b/>
          <w:color w:val="auto"/>
          <w:sz w:val="30"/>
          <w:szCs w:val="30"/>
          <w:lang w:eastAsia="zh-CN"/>
        </w:rPr>
        <w:t>）、</w:t>
      </w:r>
      <w:r>
        <w:rPr>
          <w:rFonts w:hint="eastAsia" w:ascii="黑体" w:hAnsi="黑体" w:eastAsia="黑体"/>
          <w:b/>
          <w:color w:val="auto"/>
          <w:sz w:val="30"/>
          <w:szCs w:val="30"/>
        </w:rPr>
        <w:t>投标承诺函</w:t>
      </w:r>
    </w:p>
    <w:p w14:paraId="4E513D7C">
      <w:pPr>
        <w:widowControl w:val="0"/>
        <w:autoSpaceDE w:val="0"/>
        <w:autoSpaceDN w:val="0"/>
        <w:adjustRightInd w:val="0"/>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（以投标承诺函形式，替代投标保证金的相关承诺事项）</w:t>
      </w:r>
    </w:p>
    <w:p w14:paraId="5109EAC2">
      <w:pPr>
        <w:widowControl w:val="0"/>
        <w:tabs>
          <w:tab w:val="left" w:pos="9365"/>
        </w:tabs>
        <w:spacing w:before="360" w:after="360" w:line="360" w:lineRule="auto"/>
        <w:ind w:right="85"/>
        <w:jc w:val="left"/>
        <w:textAlignment w:val="top"/>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lang w:eastAsia="zh-CN"/>
        </w:rPr>
        <w:t>中弘天合工程咨询有限公司</w:t>
      </w:r>
    </w:p>
    <w:p w14:paraId="77946825">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14:paraId="491D9140">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14:paraId="38AF1DE7">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w:t>
      </w:r>
      <w:r>
        <w:rPr>
          <w:rFonts w:hint="eastAsia" w:ascii="宋体" w:hAnsi="宋体"/>
          <w:color w:val="auto"/>
          <w:sz w:val="24"/>
          <w:szCs w:val="24"/>
          <w:lang w:eastAsia="zh-CN"/>
        </w:rPr>
        <w:t>谈判</w:t>
      </w:r>
      <w:r>
        <w:rPr>
          <w:rFonts w:hint="eastAsia" w:ascii="宋体" w:hAnsi="宋体"/>
          <w:color w:val="auto"/>
          <w:sz w:val="24"/>
          <w:szCs w:val="24"/>
          <w:lang w:val="zh-CN"/>
        </w:rPr>
        <w:t>文件规定，在提交响应文件截止时间后，在</w:t>
      </w:r>
      <w:r>
        <w:rPr>
          <w:rFonts w:hint="eastAsia" w:ascii="宋体" w:hAnsi="宋体"/>
          <w:color w:val="auto"/>
          <w:sz w:val="24"/>
          <w:szCs w:val="24"/>
          <w:lang w:eastAsia="zh-CN"/>
        </w:rPr>
        <w:t>谈判</w:t>
      </w:r>
      <w:r>
        <w:rPr>
          <w:rFonts w:hint="eastAsia" w:ascii="宋体" w:hAnsi="宋体"/>
          <w:color w:val="auto"/>
          <w:sz w:val="24"/>
          <w:szCs w:val="24"/>
          <w:lang w:val="zh-CN"/>
        </w:rPr>
        <w:t>文件规定的投标有效期限内不撤回响应文件；</w:t>
      </w:r>
    </w:p>
    <w:p w14:paraId="0A33ADC8">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与其他供应商、采购人或采购代理机构串通或恶意串通。</w:t>
      </w:r>
    </w:p>
    <w:p w14:paraId="15393FB9">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w:t>
      </w:r>
      <w:r>
        <w:rPr>
          <w:rFonts w:hint="eastAsia" w:ascii="宋体" w:hAnsi="宋体"/>
          <w:color w:val="auto"/>
          <w:sz w:val="24"/>
          <w:szCs w:val="24"/>
          <w:lang w:eastAsia="zh-CN"/>
        </w:rPr>
        <w:t>谈判</w:t>
      </w:r>
      <w:r>
        <w:rPr>
          <w:rFonts w:hint="eastAsia" w:ascii="宋体" w:hAnsi="宋体"/>
          <w:color w:val="auto"/>
          <w:sz w:val="24"/>
          <w:szCs w:val="24"/>
          <w:lang w:val="zh-CN"/>
        </w:rPr>
        <w:t>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w:t>
      </w:r>
      <w:r>
        <w:rPr>
          <w:rFonts w:hint="eastAsia" w:ascii="宋体" w:hAnsi="宋体"/>
          <w:color w:val="auto"/>
          <w:sz w:val="24"/>
          <w:szCs w:val="24"/>
          <w:lang w:eastAsia="zh-CN"/>
        </w:rPr>
        <w:t>谈判</w:t>
      </w:r>
      <w:r>
        <w:rPr>
          <w:rFonts w:hint="eastAsia" w:ascii="宋体" w:hAnsi="宋体"/>
          <w:color w:val="auto"/>
          <w:sz w:val="24"/>
          <w:szCs w:val="24"/>
          <w:lang w:val="zh-CN"/>
        </w:rPr>
        <w:t>文件规定的其他情况；</w:t>
      </w:r>
    </w:p>
    <w:p w14:paraId="4CE9C5B4">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w:t>
      </w:r>
      <w:r>
        <w:rPr>
          <w:rFonts w:hint="eastAsia" w:ascii="宋体" w:hAnsi="宋体"/>
          <w:color w:val="auto"/>
          <w:sz w:val="24"/>
          <w:szCs w:val="24"/>
          <w:lang w:eastAsia="zh-CN"/>
        </w:rPr>
        <w:t>谈判</w:t>
      </w:r>
      <w:r>
        <w:rPr>
          <w:rFonts w:hint="eastAsia" w:ascii="宋体" w:hAnsi="宋体"/>
          <w:color w:val="auto"/>
          <w:sz w:val="24"/>
          <w:szCs w:val="24"/>
        </w:rPr>
        <w:t>文件规定及时缴纳中标服务费。</w:t>
      </w:r>
    </w:p>
    <w:p w14:paraId="5EE0003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14:paraId="57F8F07D">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1038591E">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14:paraId="7ED5C6CA">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14:paraId="1A7E88A0">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14:paraId="3A58D6E0">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671C1F04">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14:paraId="123D71A1">
      <w:pPr>
        <w:widowControl w:val="0"/>
        <w:autoSpaceDE w:val="0"/>
        <w:autoSpaceDN w:val="0"/>
        <w:adjustRightInd w:val="0"/>
        <w:spacing w:line="460" w:lineRule="atLeast"/>
        <w:ind w:left="-2" w:right="-817" w:hanging="149"/>
        <w:textAlignment w:val="auto"/>
        <w:rPr>
          <w:rFonts w:ascii="宋体" w:cs="楷体_GB2312"/>
          <w:color w:val="auto"/>
          <w:sz w:val="24"/>
          <w:lang w:val="zh-CN"/>
        </w:rPr>
      </w:pPr>
    </w:p>
    <w:p w14:paraId="390BB564">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3F5C9B6F">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w:t>
      </w:r>
    </w:p>
    <w:p w14:paraId="16EFB95C">
      <w:pPr>
        <w:widowControl w:val="0"/>
        <w:autoSpaceDE w:val="0"/>
        <w:autoSpaceDN w:val="0"/>
        <w:adjustRightInd w:val="0"/>
        <w:spacing w:line="240" w:lineRule="auto"/>
        <w:ind w:right="-816"/>
        <w:textAlignment w:val="auto"/>
        <w:rPr>
          <w:color w:val="auto"/>
          <w:sz w:val="24"/>
          <w:szCs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2A9E5EB5">
      <w:pPr>
        <w:pStyle w:val="21"/>
        <w:rPr>
          <w:rFonts w:eastAsia="方正黑体简体"/>
          <w:b/>
          <w:color w:val="auto"/>
          <w:sz w:val="30"/>
          <w:szCs w:val="30"/>
        </w:rPr>
      </w:pPr>
    </w:p>
    <w:p w14:paraId="02838F8D">
      <w:pPr>
        <w:autoSpaceDE w:val="0"/>
        <w:autoSpaceDN w:val="0"/>
        <w:adjustRightInd w:val="0"/>
        <w:spacing w:line="360" w:lineRule="auto"/>
        <w:rPr>
          <w:rFonts w:ascii="宋体" w:cs="楷体_GB2312"/>
          <w:b/>
          <w:bCs/>
          <w:color w:val="auto"/>
          <w:sz w:val="24"/>
          <w:lang w:val="zh-CN"/>
        </w:rPr>
      </w:pPr>
    </w:p>
    <w:p w14:paraId="7EACDB5D">
      <w:pPr>
        <w:spacing w:before="98" w:line="221" w:lineRule="auto"/>
        <w:ind w:left="2903"/>
        <w:rPr>
          <w:rFonts w:ascii="黑体" w:hAnsi="黑体" w:eastAsia="黑体" w:cs="黑体"/>
          <w:sz w:val="30"/>
          <w:szCs w:val="30"/>
        </w:rPr>
      </w:pPr>
      <w:r>
        <w:rPr>
          <w:rFonts w:hint="eastAsia" w:ascii="黑体" w:hAnsi="黑体" w:eastAsia="黑体" w:cs="黑体"/>
          <w:b/>
          <w:bCs/>
          <w:spacing w:val="-5"/>
          <w:sz w:val="30"/>
          <w:szCs w:val="30"/>
          <w:lang w:eastAsia="zh-CN"/>
        </w:rPr>
        <w:t>（</w:t>
      </w:r>
      <w:r>
        <w:rPr>
          <w:rFonts w:hint="eastAsia" w:ascii="黑体" w:hAnsi="黑体" w:eastAsia="黑体" w:cs="黑体"/>
          <w:b/>
          <w:bCs/>
          <w:spacing w:val="-5"/>
          <w:sz w:val="30"/>
          <w:szCs w:val="30"/>
          <w:lang w:val="en-US" w:eastAsia="zh-CN"/>
        </w:rPr>
        <w:t>5</w:t>
      </w:r>
      <w:r>
        <w:rPr>
          <w:rFonts w:hint="eastAsia" w:ascii="黑体" w:hAnsi="黑体" w:eastAsia="黑体" w:cs="黑体"/>
          <w:b/>
          <w:bCs/>
          <w:spacing w:val="-5"/>
          <w:sz w:val="30"/>
          <w:szCs w:val="30"/>
          <w:lang w:eastAsia="zh-CN"/>
        </w:rPr>
        <w:t>）</w:t>
      </w:r>
      <w:r>
        <w:rPr>
          <w:rFonts w:ascii="黑体" w:hAnsi="黑体" w:eastAsia="黑体" w:cs="黑体"/>
          <w:b/>
          <w:bCs/>
          <w:spacing w:val="-5"/>
          <w:sz w:val="30"/>
          <w:szCs w:val="30"/>
        </w:rPr>
        <w:t>、其他资格证明材料</w:t>
      </w:r>
    </w:p>
    <w:p w14:paraId="5D3E702A">
      <w:pPr>
        <w:spacing w:before="269" w:line="417" w:lineRule="auto"/>
        <w:ind w:left="9" w:firstLine="481"/>
        <w:rPr>
          <w:rFonts w:ascii="宋体" w:hAnsi="宋体" w:eastAsia="宋体" w:cs="宋体"/>
          <w:sz w:val="24"/>
          <w:szCs w:val="24"/>
        </w:rPr>
      </w:pPr>
      <w:r>
        <w:rPr>
          <w:rFonts w:ascii="宋体" w:hAnsi="宋体" w:eastAsia="宋体" w:cs="宋体"/>
          <w:spacing w:val="5"/>
          <w:sz w:val="24"/>
          <w:szCs w:val="24"/>
        </w:rPr>
        <w:t>按</w:t>
      </w:r>
      <w:r>
        <w:rPr>
          <w:rFonts w:hint="eastAsia" w:ascii="宋体" w:hAnsi="宋体" w:eastAsia="宋体" w:cs="宋体"/>
          <w:spacing w:val="5"/>
          <w:sz w:val="24"/>
          <w:szCs w:val="24"/>
          <w:lang w:eastAsia="zh-CN"/>
        </w:rPr>
        <w:t>谈判</w:t>
      </w:r>
      <w:r>
        <w:rPr>
          <w:rFonts w:ascii="宋体" w:hAnsi="宋体" w:eastAsia="宋体" w:cs="宋体"/>
          <w:spacing w:val="5"/>
          <w:sz w:val="24"/>
          <w:szCs w:val="24"/>
        </w:rPr>
        <w:t>文件要求提供的其他资格证明材料或供应商认为有必要提供的其他证明材</w:t>
      </w:r>
      <w:r>
        <w:rPr>
          <w:rFonts w:ascii="宋体" w:hAnsi="宋体" w:eastAsia="宋体" w:cs="宋体"/>
          <w:spacing w:val="1"/>
          <w:sz w:val="24"/>
          <w:szCs w:val="24"/>
        </w:rPr>
        <w:t xml:space="preserve"> </w:t>
      </w:r>
      <w:r>
        <w:rPr>
          <w:rFonts w:ascii="宋体" w:hAnsi="宋体" w:eastAsia="宋体" w:cs="宋体"/>
          <w:spacing w:val="-1"/>
          <w:sz w:val="24"/>
          <w:szCs w:val="24"/>
        </w:rPr>
        <w:t>料。（按招标文件要求电子签名&lt;签章&gt;。）</w:t>
      </w:r>
    </w:p>
    <w:p w14:paraId="36044FC6">
      <w:pPr>
        <w:widowControl w:val="0"/>
        <w:tabs>
          <w:tab w:val="left" w:pos="9365"/>
        </w:tabs>
        <w:snapToGrid w:val="0"/>
        <w:spacing w:after="56" w:line="560" w:lineRule="exact"/>
        <w:ind w:right="85"/>
        <w:jc w:val="center"/>
        <w:textAlignment w:val="top"/>
        <w:rPr>
          <w:rFonts w:hint="eastAsia" w:ascii="黑体" w:hAnsi="黑体" w:eastAsia="黑体"/>
          <w:b/>
          <w:color w:val="auto"/>
          <w:sz w:val="30"/>
          <w:szCs w:val="30"/>
        </w:rPr>
      </w:pPr>
    </w:p>
    <w:p w14:paraId="4579282C">
      <w:pPr>
        <w:widowControl w:val="0"/>
        <w:tabs>
          <w:tab w:val="left" w:pos="9365"/>
        </w:tabs>
        <w:snapToGrid w:val="0"/>
        <w:spacing w:after="56" w:line="560" w:lineRule="exact"/>
        <w:ind w:right="85"/>
        <w:jc w:val="center"/>
        <w:textAlignment w:val="top"/>
        <w:rPr>
          <w:rFonts w:hint="eastAsia" w:ascii="黑体" w:hAnsi="黑体" w:eastAsia="黑体"/>
          <w:b/>
          <w:color w:val="auto"/>
          <w:sz w:val="30"/>
          <w:szCs w:val="30"/>
        </w:rPr>
      </w:pPr>
    </w:p>
    <w:p w14:paraId="70EB8FA9">
      <w:pPr>
        <w:widowControl w:val="0"/>
        <w:tabs>
          <w:tab w:val="left" w:pos="9365"/>
        </w:tabs>
        <w:snapToGrid w:val="0"/>
        <w:spacing w:after="56" w:line="560" w:lineRule="exact"/>
        <w:ind w:right="85"/>
        <w:jc w:val="center"/>
        <w:textAlignment w:val="top"/>
        <w:rPr>
          <w:rFonts w:hint="eastAsia" w:ascii="黑体" w:hAnsi="黑体" w:eastAsia="黑体"/>
          <w:b/>
          <w:color w:val="auto"/>
          <w:sz w:val="30"/>
          <w:szCs w:val="30"/>
        </w:rPr>
      </w:pPr>
    </w:p>
    <w:p w14:paraId="1EA1B36D">
      <w:pPr>
        <w:widowControl w:val="0"/>
        <w:tabs>
          <w:tab w:val="left" w:pos="9365"/>
        </w:tabs>
        <w:snapToGrid w:val="0"/>
        <w:spacing w:after="56" w:line="560" w:lineRule="exact"/>
        <w:ind w:right="85"/>
        <w:jc w:val="center"/>
        <w:textAlignment w:val="top"/>
        <w:rPr>
          <w:rFonts w:hint="eastAsia" w:ascii="黑体" w:hAnsi="黑体" w:eastAsia="黑体"/>
          <w:b/>
          <w:color w:val="auto"/>
          <w:sz w:val="30"/>
          <w:szCs w:val="30"/>
        </w:rPr>
      </w:pPr>
    </w:p>
    <w:p w14:paraId="31A9D8F4">
      <w:pPr>
        <w:widowControl w:val="0"/>
        <w:tabs>
          <w:tab w:val="left" w:pos="9365"/>
        </w:tabs>
        <w:snapToGrid w:val="0"/>
        <w:spacing w:after="56" w:line="560" w:lineRule="exact"/>
        <w:ind w:right="85"/>
        <w:jc w:val="center"/>
        <w:textAlignment w:val="top"/>
        <w:rPr>
          <w:rFonts w:hint="eastAsia" w:ascii="黑体" w:hAnsi="黑体" w:eastAsia="黑体"/>
          <w:b/>
          <w:color w:val="auto"/>
          <w:sz w:val="30"/>
          <w:szCs w:val="30"/>
        </w:rPr>
      </w:pPr>
    </w:p>
    <w:p w14:paraId="3EE96031">
      <w:pPr>
        <w:snapToGrid w:val="0"/>
        <w:spacing w:line="560" w:lineRule="atLeast"/>
        <w:jc w:val="both"/>
        <w:rPr>
          <w:rFonts w:hint="eastAsia" w:ascii="黑体" w:hAnsi="黑体" w:eastAsia="黑体"/>
          <w:b/>
          <w:color w:val="auto"/>
          <w:sz w:val="30"/>
          <w:szCs w:val="30"/>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CDA2">
    <w:pPr>
      <w:widowControl w:val="0"/>
      <w:snapToGrid w:val="0"/>
      <w:spacing w:line="240" w:lineRule="atLeast"/>
      <w:ind w:right="21"/>
      <w:jc w:val="left"/>
      <w:rPr>
        <w:rFonts w:ascii="宋体" w:hAnsi="宋体"/>
        <w:szCs w:val="21"/>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B991">
    <w:pPr>
      <w:pStyle w:val="12"/>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6A3079B7">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9F30">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839EF">
    <w:pPr>
      <w:widowControl w:val="0"/>
      <w:snapToGrid w:val="0"/>
      <w:spacing w:line="240" w:lineRule="atLeast"/>
      <w:ind w:right="21"/>
      <w:jc w:val="left"/>
      <w:rPr>
        <w:rFonts w:ascii="宋体" w:hAnsi="宋体"/>
        <w:szCs w:val="21"/>
        <w:u w:val="single"/>
      </w:rPr>
    </w:pPr>
    <w:r>
      <w:rPr>
        <w:rFonts w:hint="eastAsia" w:ascii="宋体" w:hAnsi="宋体"/>
        <w:szCs w:val="21"/>
        <w:u w:val="single"/>
      </w:rPr>
      <w:t>《</w:t>
    </w:r>
    <w:r>
      <w:rPr>
        <w:rFonts w:hint="eastAsia" w:ascii="宋体" w:hAnsi="宋体"/>
        <w:szCs w:val="21"/>
        <w:u w:val="single"/>
        <w:lang w:eastAsia="zh-CN"/>
      </w:rPr>
      <w:t>谈判</w:t>
    </w:r>
    <w:r>
      <w:rPr>
        <w:rFonts w:hint="eastAsia" w:ascii="宋体" w:hAnsi="宋体"/>
        <w:szCs w:val="21"/>
        <w:u w:val="single"/>
      </w:rPr>
      <w:t>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6"/>
        <w:rFonts w:ascii="宋体" w:hAnsi="宋体"/>
        <w:szCs w:val="21"/>
        <w:u w:val="single"/>
      </w:rPr>
      <w:fldChar w:fldCharType="begin"/>
    </w:r>
    <w:r>
      <w:rPr>
        <w:rStyle w:val="26"/>
        <w:rFonts w:ascii="宋体" w:hAnsi="宋体"/>
        <w:szCs w:val="21"/>
        <w:u w:val="single"/>
      </w:rPr>
      <w:instrText xml:space="preserve"> PAGE </w:instrText>
    </w:r>
    <w:r>
      <w:rPr>
        <w:rStyle w:val="26"/>
        <w:rFonts w:ascii="宋体" w:hAnsi="宋体"/>
        <w:szCs w:val="21"/>
        <w:u w:val="single"/>
      </w:rPr>
      <w:fldChar w:fldCharType="separate"/>
    </w:r>
    <w:r>
      <w:rPr>
        <w:rStyle w:val="26"/>
        <w:rFonts w:ascii="宋体" w:hAnsi="宋体"/>
        <w:szCs w:val="21"/>
        <w:u w:val="single"/>
      </w:rPr>
      <w:t>- 5 -</w:t>
    </w:r>
    <w:r>
      <w:rPr>
        <w:rStyle w:val="26"/>
        <w:rFonts w:ascii="宋体" w:hAnsi="宋体"/>
        <w:szCs w:val="21"/>
        <w:u w:val="single"/>
      </w:rPr>
      <w:fldChar w:fldCharType="end"/>
    </w:r>
    <w:r>
      <w:rPr>
        <w:rStyle w:val="26"/>
        <w:rFonts w:ascii="宋体" w:hAnsi="宋体"/>
        <w:szCs w:val="21"/>
        <w:u w:val="single"/>
      </w:rPr>
      <w:t xml:space="preserve"> </w:t>
    </w:r>
    <w:r>
      <w:rPr>
        <w:rStyle w:val="26"/>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6"/>
        <w:szCs w:val="21"/>
        <w:u w:val="single"/>
      </w:rPr>
      <w:t>65</w:t>
    </w:r>
    <w:r>
      <w:rPr>
        <w:rStyle w:val="26"/>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ne5yNkAAAAOAQAADwAAAAAAAAABACAAAAAiAAAAZHJzL2Rvd25yZXYueG1sUEsBAhQA&#10;FAAAAAgAh07iQGxphaTxAQAA7QMAAA4AAAAAAAAAAQAgAAAAKAEAAGRycy9lMm9Eb2MueG1sUEsF&#10;BgAAAAAGAAYAWQEAAIsFAAAAAA==&#10;">
              <v:fill on="f" focussize="0,0"/>
              <v:stroke on="f"/>
              <v:imagedata o:title=""/>
              <o:lock v:ext="edit" aspectratio="f"/>
              <v:textbox inset="0mm,0mm,0mm,0mm"/>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828E">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FF7B">
    <w:pPr>
      <w:widowControl w:val="0"/>
      <w:snapToGrid w:val="0"/>
      <w:spacing w:line="240" w:lineRule="atLeast"/>
      <w:rPr>
        <w:rFonts w:ascii="宋体" w:hAnsi="宋体"/>
        <w:szCs w:val="21"/>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158750</wp:posOffset>
              </wp:positionH>
              <wp:positionV relativeFrom="page">
                <wp:posOffset>317500</wp:posOffset>
              </wp:positionV>
              <wp:extent cx="5759450" cy="1797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_x0000_s1026" o:spid="_x0000_s1026" o:spt="202" type="#_x0000_t202" style="position:absolute;left:0pt;margin-left:12.5pt;margin-top:25pt;height:14.15pt;width:453.5pt;mso-position-horizontal-relative:page;mso-position-vertical-relative:page;z-index:-251657216;mso-width-relative:page;mso-height-relative:page;" filled="f" stroked="f" coordsize="21600,21600" o:allowincell="f" o:gfxdata="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DRnUtgAAAAIAQAADwAAAAAAAAABACAAAAAiAAAAZHJzL2Rv&#10;d25yZXYueG1sUEsBAhQAFAAAAAgAh07iQPOCB7UBAgAA7gMAAA4AAAAAAAAAAQAgAAAAJwEAAGRy&#10;cy9lMm9Eb2MueG1sUEsFBgAAAAAGAAYAWQEAAJoFA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A1FE">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34FDD">
    <w:pPr>
      <w:widowControl w:val="0"/>
      <w:snapToGrid w:val="0"/>
      <w:spacing w:line="240" w:lineRule="atLeast"/>
      <w:rPr>
        <w:rFonts w:ascii="宋体" w:hAnsi="宋体"/>
        <w:szCs w:val="21"/>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158750</wp:posOffset>
              </wp:positionH>
              <wp:positionV relativeFrom="page">
                <wp:posOffset>317500</wp:posOffset>
              </wp:positionV>
              <wp:extent cx="5759450" cy="17970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wps:wsp>
                </a:graphicData>
              </a:graphic>
            </wp:anchor>
          </w:drawing>
        </mc:Choice>
        <mc:Fallback>
          <w:pict>
            <v:shape id="Text Box 1" o:spid="_x0000_s1026" o:spt="202" type="#_x0000_t202" style="position:absolute;left:0pt;margin-left:12.5pt;margin-top:25pt;height:14.15pt;width:453.5pt;mso-position-horizontal-relative:page;mso-position-vertical-relative:page;z-index:-251657216;mso-width-relative:page;mso-height-relative:page;" filled="f" stroked="f" coordsize="21600,21600" o:allowincell="f" o:gfxdata="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NGdS2AAAAAgBAAAPAAAAAAAAAAEAIAAAACIAAABkcnMvZG93bnJldi54bWxQSwECFAAUAAAA&#10;CACHTuJAqHQZiO4BAADtAwAADgAAAAAAAAABACAAAAAnAQAAZHJzL2Uyb0RvYy54bWxQSwUGAAAA&#10;AAYABgBZAQAAhw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E061FA16"/>
    <w:multiLevelType w:val="singleLevel"/>
    <w:tmpl w:val="E061FA16"/>
    <w:lvl w:ilvl="0" w:tentative="0">
      <w:start w:val="4"/>
      <w:numFmt w:val="decimal"/>
      <w:suff w:val="nothing"/>
      <w:lvlText w:val="%1、"/>
      <w:lvlJc w:val="left"/>
    </w:lvl>
  </w:abstractNum>
  <w:abstractNum w:abstractNumId="2">
    <w:nsid w:val="6A40030C"/>
    <w:multiLevelType w:val="singleLevel"/>
    <w:tmpl w:val="6A40030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OWIxNzIxMTE0MzI0MzVmYTQzNDhiZDVjYTdhYTgifQ=="/>
  </w:docVars>
  <w:rsids>
    <w:rsidRoot w:val="00172A27"/>
    <w:rsid w:val="00001D7A"/>
    <w:rsid w:val="00004B3A"/>
    <w:rsid w:val="00007E7D"/>
    <w:rsid w:val="0001069F"/>
    <w:rsid w:val="00010BD3"/>
    <w:rsid w:val="00012249"/>
    <w:rsid w:val="00013814"/>
    <w:rsid w:val="00013DB2"/>
    <w:rsid w:val="00017E1E"/>
    <w:rsid w:val="0002046F"/>
    <w:rsid w:val="00023676"/>
    <w:rsid w:val="00024608"/>
    <w:rsid w:val="00025F1E"/>
    <w:rsid w:val="0002622F"/>
    <w:rsid w:val="0002701F"/>
    <w:rsid w:val="0002739B"/>
    <w:rsid w:val="000278EC"/>
    <w:rsid w:val="00032B3C"/>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5982"/>
    <w:rsid w:val="00046A4B"/>
    <w:rsid w:val="00054E34"/>
    <w:rsid w:val="00055755"/>
    <w:rsid w:val="00056F01"/>
    <w:rsid w:val="00057F78"/>
    <w:rsid w:val="000602CF"/>
    <w:rsid w:val="0006134B"/>
    <w:rsid w:val="00062821"/>
    <w:rsid w:val="00066F94"/>
    <w:rsid w:val="00067307"/>
    <w:rsid w:val="000673ED"/>
    <w:rsid w:val="00070FA8"/>
    <w:rsid w:val="00072083"/>
    <w:rsid w:val="00072834"/>
    <w:rsid w:val="0007390E"/>
    <w:rsid w:val="00073A45"/>
    <w:rsid w:val="00073DBF"/>
    <w:rsid w:val="00074766"/>
    <w:rsid w:val="00074CF1"/>
    <w:rsid w:val="00077629"/>
    <w:rsid w:val="00080AE9"/>
    <w:rsid w:val="00081801"/>
    <w:rsid w:val="00081C6C"/>
    <w:rsid w:val="000823AD"/>
    <w:rsid w:val="000829A8"/>
    <w:rsid w:val="00086B70"/>
    <w:rsid w:val="00086B8A"/>
    <w:rsid w:val="00087454"/>
    <w:rsid w:val="00090D6B"/>
    <w:rsid w:val="00090EB6"/>
    <w:rsid w:val="00091C5E"/>
    <w:rsid w:val="0009268E"/>
    <w:rsid w:val="00092EC3"/>
    <w:rsid w:val="00093A6B"/>
    <w:rsid w:val="00094FE1"/>
    <w:rsid w:val="00095619"/>
    <w:rsid w:val="000956CE"/>
    <w:rsid w:val="000A152E"/>
    <w:rsid w:val="000A1C72"/>
    <w:rsid w:val="000A3FE8"/>
    <w:rsid w:val="000A4640"/>
    <w:rsid w:val="000A55EE"/>
    <w:rsid w:val="000A62B8"/>
    <w:rsid w:val="000A6CD3"/>
    <w:rsid w:val="000A7CCE"/>
    <w:rsid w:val="000B0EC6"/>
    <w:rsid w:val="000B1334"/>
    <w:rsid w:val="000B4758"/>
    <w:rsid w:val="000B53BD"/>
    <w:rsid w:val="000B5412"/>
    <w:rsid w:val="000B5583"/>
    <w:rsid w:val="000B6571"/>
    <w:rsid w:val="000B7EB1"/>
    <w:rsid w:val="000C2342"/>
    <w:rsid w:val="000C2A92"/>
    <w:rsid w:val="000C2AA6"/>
    <w:rsid w:val="000C4BA5"/>
    <w:rsid w:val="000C540C"/>
    <w:rsid w:val="000D2631"/>
    <w:rsid w:val="000D69FD"/>
    <w:rsid w:val="000E02FC"/>
    <w:rsid w:val="000E54A0"/>
    <w:rsid w:val="000E6D5E"/>
    <w:rsid w:val="000F01A2"/>
    <w:rsid w:val="000F108C"/>
    <w:rsid w:val="000F1C87"/>
    <w:rsid w:val="000F3188"/>
    <w:rsid w:val="000F3D46"/>
    <w:rsid w:val="000F4146"/>
    <w:rsid w:val="000F71A3"/>
    <w:rsid w:val="000F7917"/>
    <w:rsid w:val="00101EAB"/>
    <w:rsid w:val="001048C3"/>
    <w:rsid w:val="00107435"/>
    <w:rsid w:val="00110434"/>
    <w:rsid w:val="001118D4"/>
    <w:rsid w:val="001139D1"/>
    <w:rsid w:val="001163D8"/>
    <w:rsid w:val="00117877"/>
    <w:rsid w:val="001215D2"/>
    <w:rsid w:val="00123128"/>
    <w:rsid w:val="001234C9"/>
    <w:rsid w:val="00125A47"/>
    <w:rsid w:val="00126132"/>
    <w:rsid w:val="001263CF"/>
    <w:rsid w:val="00131B13"/>
    <w:rsid w:val="00131CCB"/>
    <w:rsid w:val="00132364"/>
    <w:rsid w:val="00133387"/>
    <w:rsid w:val="001342A5"/>
    <w:rsid w:val="00135227"/>
    <w:rsid w:val="00135AAC"/>
    <w:rsid w:val="001378C9"/>
    <w:rsid w:val="001401E4"/>
    <w:rsid w:val="001439BF"/>
    <w:rsid w:val="001443E8"/>
    <w:rsid w:val="00144AD8"/>
    <w:rsid w:val="00144E92"/>
    <w:rsid w:val="001532B2"/>
    <w:rsid w:val="001537D5"/>
    <w:rsid w:val="00153A06"/>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5E3A"/>
    <w:rsid w:val="00183C38"/>
    <w:rsid w:val="001863F6"/>
    <w:rsid w:val="00194451"/>
    <w:rsid w:val="0019697C"/>
    <w:rsid w:val="001A1BB5"/>
    <w:rsid w:val="001A1D5B"/>
    <w:rsid w:val="001A6EC8"/>
    <w:rsid w:val="001A733E"/>
    <w:rsid w:val="001B09FB"/>
    <w:rsid w:val="001B2A9F"/>
    <w:rsid w:val="001B4914"/>
    <w:rsid w:val="001B5626"/>
    <w:rsid w:val="001B6072"/>
    <w:rsid w:val="001B7C99"/>
    <w:rsid w:val="001C0445"/>
    <w:rsid w:val="001C050D"/>
    <w:rsid w:val="001C2D34"/>
    <w:rsid w:val="001C397C"/>
    <w:rsid w:val="001C3DAF"/>
    <w:rsid w:val="001C528B"/>
    <w:rsid w:val="001C6505"/>
    <w:rsid w:val="001D0DA4"/>
    <w:rsid w:val="001D14A1"/>
    <w:rsid w:val="001D17A7"/>
    <w:rsid w:val="001D22C4"/>
    <w:rsid w:val="001D2F63"/>
    <w:rsid w:val="001D3921"/>
    <w:rsid w:val="001D3A26"/>
    <w:rsid w:val="001D3B0B"/>
    <w:rsid w:val="001D4345"/>
    <w:rsid w:val="001D48B7"/>
    <w:rsid w:val="001D5E27"/>
    <w:rsid w:val="001D6398"/>
    <w:rsid w:val="001D67DD"/>
    <w:rsid w:val="001E04F2"/>
    <w:rsid w:val="001E0705"/>
    <w:rsid w:val="001E0A3F"/>
    <w:rsid w:val="001E1A46"/>
    <w:rsid w:val="001E1FAC"/>
    <w:rsid w:val="001E30AE"/>
    <w:rsid w:val="001E45BE"/>
    <w:rsid w:val="001E55A2"/>
    <w:rsid w:val="001E60A9"/>
    <w:rsid w:val="001F1D57"/>
    <w:rsid w:val="001F31B8"/>
    <w:rsid w:val="001F4C70"/>
    <w:rsid w:val="001F5F73"/>
    <w:rsid w:val="001F617F"/>
    <w:rsid w:val="001F6921"/>
    <w:rsid w:val="00203DFD"/>
    <w:rsid w:val="00204738"/>
    <w:rsid w:val="002052BF"/>
    <w:rsid w:val="00205670"/>
    <w:rsid w:val="00205DC9"/>
    <w:rsid w:val="0020635B"/>
    <w:rsid w:val="002064E1"/>
    <w:rsid w:val="00210346"/>
    <w:rsid w:val="00212022"/>
    <w:rsid w:val="002146E7"/>
    <w:rsid w:val="00214DD7"/>
    <w:rsid w:val="00214F54"/>
    <w:rsid w:val="002155C5"/>
    <w:rsid w:val="00215944"/>
    <w:rsid w:val="002206D9"/>
    <w:rsid w:val="00221964"/>
    <w:rsid w:val="002228C6"/>
    <w:rsid w:val="002238AE"/>
    <w:rsid w:val="0023012A"/>
    <w:rsid w:val="00231508"/>
    <w:rsid w:val="00231D21"/>
    <w:rsid w:val="0023255F"/>
    <w:rsid w:val="002341A2"/>
    <w:rsid w:val="00237A15"/>
    <w:rsid w:val="00240733"/>
    <w:rsid w:val="00241D3A"/>
    <w:rsid w:val="0024269B"/>
    <w:rsid w:val="00244532"/>
    <w:rsid w:val="0024502A"/>
    <w:rsid w:val="0024541C"/>
    <w:rsid w:val="00247523"/>
    <w:rsid w:val="00247993"/>
    <w:rsid w:val="002511FE"/>
    <w:rsid w:val="00254F6E"/>
    <w:rsid w:val="00255EDA"/>
    <w:rsid w:val="002574D7"/>
    <w:rsid w:val="00257581"/>
    <w:rsid w:val="00257B22"/>
    <w:rsid w:val="002602F6"/>
    <w:rsid w:val="00262D1F"/>
    <w:rsid w:val="00264999"/>
    <w:rsid w:val="002665E4"/>
    <w:rsid w:val="002673AF"/>
    <w:rsid w:val="0027067C"/>
    <w:rsid w:val="00270FE1"/>
    <w:rsid w:val="00271ABB"/>
    <w:rsid w:val="00272B6B"/>
    <w:rsid w:val="00272DEC"/>
    <w:rsid w:val="002736A4"/>
    <w:rsid w:val="00273FB6"/>
    <w:rsid w:val="0027591C"/>
    <w:rsid w:val="00275945"/>
    <w:rsid w:val="002759A2"/>
    <w:rsid w:val="00276204"/>
    <w:rsid w:val="00280E45"/>
    <w:rsid w:val="002810F8"/>
    <w:rsid w:val="00281701"/>
    <w:rsid w:val="0028181D"/>
    <w:rsid w:val="00281B4A"/>
    <w:rsid w:val="00281F3D"/>
    <w:rsid w:val="0028291D"/>
    <w:rsid w:val="002836FF"/>
    <w:rsid w:val="00290D50"/>
    <w:rsid w:val="0029219D"/>
    <w:rsid w:val="0029442F"/>
    <w:rsid w:val="00294947"/>
    <w:rsid w:val="0029595B"/>
    <w:rsid w:val="00295A34"/>
    <w:rsid w:val="00295BC4"/>
    <w:rsid w:val="00296060"/>
    <w:rsid w:val="00296501"/>
    <w:rsid w:val="002968C0"/>
    <w:rsid w:val="002975BF"/>
    <w:rsid w:val="002A0696"/>
    <w:rsid w:val="002A2037"/>
    <w:rsid w:val="002A25E8"/>
    <w:rsid w:val="002A2B5C"/>
    <w:rsid w:val="002A35F6"/>
    <w:rsid w:val="002A4898"/>
    <w:rsid w:val="002A4F6F"/>
    <w:rsid w:val="002A5411"/>
    <w:rsid w:val="002A6D86"/>
    <w:rsid w:val="002A7073"/>
    <w:rsid w:val="002A7814"/>
    <w:rsid w:val="002B1A64"/>
    <w:rsid w:val="002B3090"/>
    <w:rsid w:val="002B5E0D"/>
    <w:rsid w:val="002C00FF"/>
    <w:rsid w:val="002C11FF"/>
    <w:rsid w:val="002C3330"/>
    <w:rsid w:val="002D1708"/>
    <w:rsid w:val="002D1EC7"/>
    <w:rsid w:val="002D2579"/>
    <w:rsid w:val="002D40A9"/>
    <w:rsid w:val="002D6349"/>
    <w:rsid w:val="002D6B6F"/>
    <w:rsid w:val="002D7628"/>
    <w:rsid w:val="002D7A77"/>
    <w:rsid w:val="002D7BE8"/>
    <w:rsid w:val="002E080D"/>
    <w:rsid w:val="002E098C"/>
    <w:rsid w:val="002E3E40"/>
    <w:rsid w:val="002E76EF"/>
    <w:rsid w:val="002E7E70"/>
    <w:rsid w:val="002F08C6"/>
    <w:rsid w:val="002F24F3"/>
    <w:rsid w:val="002F2754"/>
    <w:rsid w:val="002F32CA"/>
    <w:rsid w:val="002F35F5"/>
    <w:rsid w:val="002F37CB"/>
    <w:rsid w:val="002F4ADA"/>
    <w:rsid w:val="002F5465"/>
    <w:rsid w:val="002F7AD0"/>
    <w:rsid w:val="002F7B74"/>
    <w:rsid w:val="002F7EF3"/>
    <w:rsid w:val="002F7F3A"/>
    <w:rsid w:val="002F7FAF"/>
    <w:rsid w:val="0030169A"/>
    <w:rsid w:val="00306123"/>
    <w:rsid w:val="00307CF1"/>
    <w:rsid w:val="0031007D"/>
    <w:rsid w:val="003110D4"/>
    <w:rsid w:val="00311B9B"/>
    <w:rsid w:val="00314D22"/>
    <w:rsid w:val="003157D1"/>
    <w:rsid w:val="00316A48"/>
    <w:rsid w:val="00317222"/>
    <w:rsid w:val="00320DF9"/>
    <w:rsid w:val="003214B1"/>
    <w:rsid w:val="00322389"/>
    <w:rsid w:val="00322799"/>
    <w:rsid w:val="003241F1"/>
    <w:rsid w:val="0032688F"/>
    <w:rsid w:val="00331D60"/>
    <w:rsid w:val="00332C6F"/>
    <w:rsid w:val="00334CC7"/>
    <w:rsid w:val="003355B7"/>
    <w:rsid w:val="00336AAB"/>
    <w:rsid w:val="00342477"/>
    <w:rsid w:val="0034283D"/>
    <w:rsid w:val="00343634"/>
    <w:rsid w:val="00343968"/>
    <w:rsid w:val="00343A1D"/>
    <w:rsid w:val="00343D9C"/>
    <w:rsid w:val="0035121B"/>
    <w:rsid w:val="00351B97"/>
    <w:rsid w:val="003521AC"/>
    <w:rsid w:val="00352D4E"/>
    <w:rsid w:val="00354452"/>
    <w:rsid w:val="00356193"/>
    <w:rsid w:val="00356631"/>
    <w:rsid w:val="00356A9C"/>
    <w:rsid w:val="00357F64"/>
    <w:rsid w:val="0036067C"/>
    <w:rsid w:val="0036276F"/>
    <w:rsid w:val="003634F4"/>
    <w:rsid w:val="00363B02"/>
    <w:rsid w:val="003642B6"/>
    <w:rsid w:val="003655E9"/>
    <w:rsid w:val="00365BD8"/>
    <w:rsid w:val="00367D22"/>
    <w:rsid w:val="00371760"/>
    <w:rsid w:val="00371C40"/>
    <w:rsid w:val="00371CE6"/>
    <w:rsid w:val="003753D6"/>
    <w:rsid w:val="00375B43"/>
    <w:rsid w:val="00376869"/>
    <w:rsid w:val="00377928"/>
    <w:rsid w:val="00377AE0"/>
    <w:rsid w:val="00380598"/>
    <w:rsid w:val="00381B01"/>
    <w:rsid w:val="003829D9"/>
    <w:rsid w:val="00383B17"/>
    <w:rsid w:val="00384803"/>
    <w:rsid w:val="00384A92"/>
    <w:rsid w:val="003854F3"/>
    <w:rsid w:val="00386518"/>
    <w:rsid w:val="003875CD"/>
    <w:rsid w:val="00387FBB"/>
    <w:rsid w:val="003912B8"/>
    <w:rsid w:val="00391A61"/>
    <w:rsid w:val="00393FD4"/>
    <w:rsid w:val="00397B1C"/>
    <w:rsid w:val="00397E86"/>
    <w:rsid w:val="003A0C28"/>
    <w:rsid w:val="003A1388"/>
    <w:rsid w:val="003A1D20"/>
    <w:rsid w:val="003A258C"/>
    <w:rsid w:val="003A37AB"/>
    <w:rsid w:val="003A40E7"/>
    <w:rsid w:val="003A4472"/>
    <w:rsid w:val="003A72D8"/>
    <w:rsid w:val="003A78B7"/>
    <w:rsid w:val="003B2614"/>
    <w:rsid w:val="003B4A06"/>
    <w:rsid w:val="003B5D7B"/>
    <w:rsid w:val="003B5F19"/>
    <w:rsid w:val="003B67A0"/>
    <w:rsid w:val="003B72E5"/>
    <w:rsid w:val="003C0E0B"/>
    <w:rsid w:val="003C1220"/>
    <w:rsid w:val="003C5626"/>
    <w:rsid w:val="003C6339"/>
    <w:rsid w:val="003C6B76"/>
    <w:rsid w:val="003D3B92"/>
    <w:rsid w:val="003D4056"/>
    <w:rsid w:val="003D415D"/>
    <w:rsid w:val="003D46D1"/>
    <w:rsid w:val="003D7EC2"/>
    <w:rsid w:val="003E1BD5"/>
    <w:rsid w:val="003E3AC3"/>
    <w:rsid w:val="003E58E5"/>
    <w:rsid w:val="003E58FF"/>
    <w:rsid w:val="003E5EE1"/>
    <w:rsid w:val="003E7C9B"/>
    <w:rsid w:val="003E7D25"/>
    <w:rsid w:val="003F0417"/>
    <w:rsid w:val="003F0A1E"/>
    <w:rsid w:val="003F3249"/>
    <w:rsid w:val="003F688C"/>
    <w:rsid w:val="00400DD3"/>
    <w:rsid w:val="00403958"/>
    <w:rsid w:val="004053E4"/>
    <w:rsid w:val="00406A1C"/>
    <w:rsid w:val="004073DB"/>
    <w:rsid w:val="004079FF"/>
    <w:rsid w:val="004137F3"/>
    <w:rsid w:val="00414F84"/>
    <w:rsid w:val="00415470"/>
    <w:rsid w:val="00415CFA"/>
    <w:rsid w:val="00416388"/>
    <w:rsid w:val="00417D4F"/>
    <w:rsid w:val="00421975"/>
    <w:rsid w:val="004223F4"/>
    <w:rsid w:val="004223F7"/>
    <w:rsid w:val="004237AF"/>
    <w:rsid w:val="00423C9D"/>
    <w:rsid w:val="00426990"/>
    <w:rsid w:val="004300B5"/>
    <w:rsid w:val="004342C9"/>
    <w:rsid w:val="00434F1F"/>
    <w:rsid w:val="00440412"/>
    <w:rsid w:val="00440804"/>
    <w:rsid w:val="00441A8A"/>
    <w:rsid w:val="00442F04"/>
    <w:rsid w:val="00443935"/>
    <w:rsid w:val="00443963"/>
    <w:rsid w:val="004442B3"/>
    <w:rsid w:val="00444D59"/>
    <w:rsid w:val="00446551"/>
    <w:rsid w:val="00447654"/>
    <w:rsid w:val="004513F9"/>
    <w:rsid w:val="00451605"/>
    <w:rsid w:val="00451DAE"/>
    <w:rsid w:val="00452F36"/>
    <w:rsid w:val="00453130"/>
    <w:rsid w:val="0045394E"/>
    <w:rsid w:val="00454535"/>
    <w:rsid w:val="00454B5D"/>
    <w:rsid w:val="00455B44"/>
    <w:rsid w:val="00456FA3"/>
    <w:rsid w:val="0045754E"/>
    <w:rsid w:val="0046050F"/>
    <w:rsid w:val="00460E98"/>
    <w:rsid w:val="00461626"/>
    <w:rsid w:val="004640E1"/>
    <w:rsid w:val="00465462"/>
    <w:rsid w:val="00465D41"/>
    <w:rsid w:val="00471684"/>
    <w:rsid w:val="0047305B"/>
    <w:rsid w:val="00473540"/>
    <w:rsid w:val="0047493D"/>
    <w:rsid w:val="00475A0F"/>
    <w:rsid w:val="004767AA"/>
    <w:rsid w:val="004771A7"/>
    <w:rsid w:val="00477DF1"/>
    <w:rsid w:val="00477E3B"/>
    <w:rsid w:val="004805E1"/>
    <w:rsid w:val="0048194E"/>
    <w:rsid w:val="00481D33"/>
    <w:rsid w:val="00481EFC"/>
    <w:rsid w:val="0048481A"/>
    <w:rsid w:val="00486D4E"/>
    <w:rsid w:val="00487F50"/>
    <w:rsid w:val="0049352F"/>
    <w:rsid w:val="00495C88"/>
    <w:rsid w:val="00497B97"/>
    <w:rsid w:val="004A1552"/>
    <w:rsid w:val="004A28E9"/>
    <w:rsid w:val="004A2F8D"/>
    <w:rsid w:val="004A4443"/>
    <w:rsid w:val="004A465C"/>
    <w:rsid w:val="004A5A5E"/>
    <w:rsid w:val="004A647D"/>
    <w:rsid w:val="004A6BB2"/>
    <w:rsid w:val="004A7816"/>
    <w:rsid w:val="004A791C"/>
    <w:rsid w:val="004B0A0E"/>
    <w:rsid w:val="004B10CD"/>
    <w:rsid w:val="004B2765"/>
    <w:rsid w:val="004B6984"/>
    <w:rsid w:val="004B6D46"/>
    <w:rsid w:val="004B76A6"/>
    <w:rsid w:val="004C05F2"/>
    <w:rsid w:val="004C1E04"/>
    <w:rsid w:val="004C1EBB"/>
    <w:rsid w:val="004C407E"/>
    <w:rsid w:val="004C506F"/>
    <w:rsid w:val="004C7A15"/>
    <w:rsid w:val="004D11B7"/>
    <w:rsid w:val="004D57A0"/>
    <w:rsid w:val="004D5F36"/>
    <w:rsid w:val="004E0791"/>
    <w:rsid w:val="004E3308"/>
    <w:rsid w:val="004E44CC"/>
    <w:rsid w:val="004E50CC"/>
    <w:rsid w:val="004E5741"/>
    <w:rsid w:val="004E587A"/>
    <w:rsid w:val="004E5CA5"/>
    <w:rsid w:val="004E6F0E"/>
    <w:rsid w:val="004F02F2"/>
    <w:rsid w:val="004F16A1"/>
    <w:rsid w:val="004F1918"/>
    <w:rsid w:val="004F2DDA"/>
    <w:rsid w:val="004F3085"/>
    <w:rsid w:val="004F4B65"/>
    <w:rsid w:val="004F6370"/>
    <w:rsid w:val="00502DF4"/>
    <w:rsid w:val="005034FC"/>
    <w:rsid w:val="00503795"/>
    <w:rsid w:val="00503F67"/>
    <w:rsid w:val="005044B9"/>
    <w:rsid w:val="005055E2"/>
    <w:rsid w:val="00507AFA"/>
    <w:rsid w:val="00510497"/>
    <w:rsid w:val="005106D5"/>
    <w:rsid w:val="005112F3"/>
    <w:rsid w:val="00517BF1"/>
    <w:rsid w:val="00520645"/>
    <w:rsid w:val="00520920"/>
    <w:rsid w:val="00522311"/>
    <w:rsid w:val="0052426A"/>
    <w:rsid w:val="00524C98"/>
    <w:rsid w:val="00524D6D"/>
    <w:rsid w:val="005252C0"/>
    <w:rsid w:val="00530CE7"/>
    <w:rsid w:val="005316A8"/>
    <w:rsid w:val="00532718"/>
    <w:rsid w:val="00535C65"/>
    <w:rsid w:val="0053682D"/>
    <w:rsid w:val="00537F45"/>
    <w:rsid w:val="00540FEC"/>
    <w:rsid w:val="005414D6"/>
    <w:rsid w:val="00541F83"/>
    <w:rsid w:val="005423C1"/>
    <w:rsid w:val="00542766"/>
    <w:rsid w:val="005430C7"/>
    <w:rsid w:val="00543809"/>
    <w:rsid w:val="00543CB6"/>
    <w:rsid w:val="00543EC9"/>
    <w:rsid w:val="005446B0"/>
    <w:rsid w:val="00546DF7"/>
    <w:rsid w:val="005475A9"/>
    <w:rsid w:val="00547E4F"/>
    <w:rsid w:val="00551B6D"/>
    <w:rsid w:val="00551DFC"/>
    <w:rsid w:val="0055211A"/>
    <w:rsid w:val="005539A0"/>
    <w:rsid w:val="00554187"/>
    <w:rsid w:val="00555765"/>
    <w:rsid w:val="00555958"/>
    <w:rsid w:val="00556F12"/>
    <w:rsid w:val="005605F8"/>
    <w:rsid w:val="005615D4"/>
    <w:rsid w:val="005650C2"/>
    <w:rsid w:val="005653C9"/>
    <w:rsid w:val="00565A8C"/>
    <w:rsid w:val="0057050E"/>
    <w:rsid w:val="00572976"/>
    <w:rsid w:val="00573012"/>
    <w:rsid w:val="005731AA"/>
    <w:rsid w:val="00574068"/>
    <w:rsid w:val="00575709"/>
    <w:rsid w:val="005773BE"/>
    <w:rsid w:val="005804F3"/>
    <w:rsid w:val="00580954"/>
    <w:rsid w:val="005824F8"/>
    <w:rsid w:val="00583A5C"/>
    <w:rsid w:val="00584C19"/>
    <w:rsid w:val="005850D6"/>
    <w:rsid w:val="0058643C"/>
    <w:rsid w:val="005866BD"/>
    <w:rsid w:val="00586EDA"/>
    <w:rsid w:val="005927CD"/>
    <w:rsid w:val="0059343A"/>
    <w:rsid w:val="005964EC"/>
    <w:rsid w:val="005A0661"/>
    <w:rsid w:val="005A0EE1"/>
    <w:rsid w:val="005A1FDF"/>
    <w:rsid w:val="005A200A"/>
    <w:rsid w:val="005A2BEB"/>
    <w:rsid w:val="005A2E15"/>
    <w:rsid w:val="005A39AF"/>
    <w:rsid w:val="005A4F1F"/>
    <w:rsid w:val="005A5D75"/>
    <w:rsid w:val="005A61BC"/>
    <w:rsid w:val="005A6732"/>
    <w:rsid w:val="005A7272"/>
    <w:rsid w:val="005A7EC2"/>
    <w:rsid w:val="005B19C2"/>
    <w:rsid w:val="005B2B2C"/>
    <w:rsid w:val="005B334E"/>
    <w:rsid w:val="005B3FB5"/>
    <w:rsid w:val="005B772C"/>
    <w:rsid w:val="005C1868"/>
    <w:rsid w:val="005C3B65"/>
    <w:rsid w:val="005C71EA"/>
    <w:rsid w:val="005D248A"/>
    <w:rsid w:val="005D2723"/>
    <w:rsid w:val="005D2C74"/>
    <w:rsid w:val="005D2CB5"/>
    <w:rsid w:val="005D386F"/>
    <w:rsid w:val="005D511D"/>
    <w:rsid w:val="005D72C1"/>
    <w:rsid w:val="005E3DC5"/>
    <w:rsid w:val="005E4813"/>
    <w:rsid w:val="005E6E82"/>
    <w:rsid w:val="005F6167"/>
    <w:rsid w:val="00602FE3"/>
    <w:rsid w:val="006031DC"/>
    <w:rsid w:val="006035CB"/>
    <w:rsid w:val="00604122"/>
    <w:rsid w:val="0060535C"/>
    <w:rsid w:val="00606709"/>
    <w:rsid w:val="00613D71"/>
    <w:rsid w:val="00613FD6"/>
    <w:rsid w:val="00615523"/>
    <w:rsid w:val="00615DBE"/>
    <w:rsid w:val="006161C5"/>
    <w:rsid w:val="00625C51"/>
    <w:rsid w:val="00626E6E"/>
    <w:rsid w:val="00627347"/>
    <w:rsid w:val="006313EC"/>
    <w:rsid w:val="00631627"/>
    <w:rsid w:val="00633872"/>
    <w:rsid w:val="00634B02"/>
    <w:rsid w:val="0063507E"/>
    <w:rsid w:val="006369CC"/>
    <w:rsid w:val="006374EF"/>
    <w:rsid w:val="00643CAC"/>
    <w:rsid w:val="00643E16"/>
    <w:rsid w:val="00644710"/>
    <w:rsid w:val="00646631"/>
    <w:rsid w:val="006475FD"/>
    <w:rsid w:val="00647F26"/>
    <w:rsid w:val="00651791"/>
    <w:rsid w:val="00653504"/>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EB"/>
    <w:rsid w:val="00671EF7"/>
    <w:rsid w:val="00672756"/>
    <w:rsid w:val="00674F5E"/>
    <w:rsid w:val="006763B3"/>
    <w:rsid w:val="00682F0F"/>
    <w:rsid w:val="00683222"/>
    <w:rsid w:val="00685F1B"/>
    <w:rsid w:val="00686A7A"/>
    <w:rsid w:val="00686F46"/>
    <w:rsid w:val="00687B51"/>
    <w:rsid w:val="006900BC"/>
    <w:rsid w:val="006907CD"/>
    <w:rsid w:val="00691004"/>
    <w:rsid w:val="00692DDF"/>
    <w:rsid w:val="0069376A"/>
    <w:rsid w:val="00694554"/>
    <w:rsid w:val="00695074"/>
    <w:rsid w:val="006A077D"/>
    <w:rsid w:val="006A1725"/>
    <w:rsid w:val="006A211F"/>
    <w:rsid w:val="006A4311"/>
    <w:rsid w:val="006A5EAE"/>
    <w:rsid w:val="006A76FE"/>
    <w:rsid w:val="006B46DC"/>
    <w:rsid w:val="006B5CB6"/>
    <w:rsid w:val="006B63C9"/>
    <w:rsid w:val="006B666A"/>
    <w:rsid w:val="006B7F89"/>
    <w:rsid w:val="006C2281"/>
    <w:rsid w:val="006C3846"/>
    <w:rsid w:val="006C3BF0"/>
    <w:rsid w:val="006C4725"/>
    <w:rsid w:val="006C782D"/>
    <w:rsid w:val="006C78A5"/>
    <w:rsid w:val="006D221B"/>
    <w:rsid w:val="006D4845"/>
    <w:rsid w:val="006D7839"/>
    <w:rsid w:val="006E02B1"/>
    <w:rsid w:val="006E1197"/>
    <w:rsid w:val="006E157D"/>
    <w:rsid w:val="006E3615"/>
    <w:rsid w:val="006E6DDB"/>
    <w:rsid w:val="006E7C2B"/>
    <w:rsid w:val="006F0AC4"/>
    <w:rsid w:val="006F2CEE"/>
    <w:rsid w:val="006F5195"/>
    <w:rsid w:val="006F5426"/>
    <w:rsid w:val="006F61C3"/>
    <w:rsid w:val="006F65DD"/>
    <w:rsid w:val="006F7546"/>
    <w:rsid w:val="00700495"/>
    <w:rsid w:val="00700DAB"/>
    <w:rsid w:val="00702286"/>
    <w:rsid w:val="00703660"/>
    <w:rsid w:val="0070375B"/>
    <w:rsid w:val="00704690"/>
    <w:rsid w:val="00705060"/>
    <w:rsid w:val="00705F0C"/>
    <w:rsid w:val="007064D1"/>
    <w:rsid w:val="00707007"/>
    <w:rsid w:val="00710F95"/>
    <w:rsid w:val="0071188B"/>
    <w:rsid w:val="007132C1"/>
    <w:rsid w:val="00713FD4"/>
    <w:rsid w:val="00714434"/>
    <w:rsid w:val="00714445"/>
    <w:rsid w:val="00721314"/>
    <w:rsid w:val="0072283F"/>
    <w:rsid w:val="00722DD9"/>
    <w:rsid w:val="0072306E"/>
    <w:rsid w:val="0072534C"/>
    <w:rsid w:val="007269A4"/>
    <w:rsid w:val="00732F8B"/>
    <w:rsid w:val="00733E60"/>
    <w:rsid w:val="00734BF0"/>
    <w:rsid w:val="007358D4"/>
    <w:rsid w:val="007362E1"/>
    <w:rsid w:val="007375A2"/>
    <w:rsid w:val="00737D3F"/>
    <w:rsid w:val="00742808"/>
    <w:rsid w:val="00743133"/>
    <w:rsid w:val="00745330"/>
    <w:rsid w:val="00745FC7"/>
    <w:rsid w:val="00746653"/>
    <w:rsid w:val="00746D3B"/>
    <w:rsid w:val="0075061D"/>
    <w:rsid w:val="007506CA"/>
    <w:rsid w:val="00753442"/>
    <w:rsid w:val="00754000"/>
    <w:rsid w:val="0075584E"/>
    <w:rsid w:val="00760447"/>
    <w:rsid w:val="00760C76"/>
    <w:rsid w:val="007616E0"/>
    <w:rsid w:val="007623A6"/>
    <w:rsid w:val="00765CF4"/>
    <w:rsid w:val="00771BDB"/>
    <w:rsid w:val="00773B85"/>
    <w:rsid w:val="007830DD"/>
    <w:rsid w:val="00784AE6"/>
    <w:rsid w:val="00784CA4"/>
    <w:rsid w:val="00784D51"/>
    <w:rsid w:val="0078504E"/>
    <w:rsid w:val="0078521D"/>
    <w:rsid w:val="0078532A"/>
    <w:rsid w:val="00785F2B"/>
    <w:rsid w:val="00787769"/>
    <w:rsid w:val="0079060C"/>
    <w:rsid w:val="007910EF"/>
    <w:rsid w:val="00791384"/>
    <w:rsid w:val="00797162"/>
    <w:rsid w:val="00797A49"/>
    <w:rsid w:val="007A0227"/>
    <w:rsid w:val="007A1908"/>
    <w:rsid w:val="007A23CD"/>
    <w:rsid w:val="007A31E6"/>
    <w:rsid w:val="007A3201"/>
    <w:rsid w:val="007A4951"/>
    <w:rsid w:val="007A5E21"/>
    <w:rsid w:val="007A69E3"/>
    <w:rsid w:val="007A7D92"/>
    <w:rsid w:val="007B1D8C"/>
    <w:rsid w:val="007B2424"/>
    <w:rsid w:val="007B39B5"/>
    <w:rsid w:val="007B62B0"/>
    <w:rsid w:val="007B677B"/>
    <w:rsid w:val="007B76CF"/>
    <w:rsid w:val="007C06DB"/>
    <w:rsid w:val="007C07F2"/>
    <w:rsid w:val="007C442F"/>
    <w:rsid w:val="007C4873"/>
    <w:rsid w:val="007C6E2F"/>
    <w:rsid w:val="007C7F1C"/>
    <w:rsid w:val="007D0693"/>
    <w:rsid w:val="007D26D0"/>
    <w:rsid w:val="007D2F6E"/>
    <w:rsid w:val="007D3B3B"/>
    <w:rsid w:val="007D502C"/>
    <w:rsid w:val="007D53D2"/>
    <w:rsid w:val="007D542C"/>
    <w:rsid w:val="007D5FB6"/>
    <w:rsid w:val="007D6337"/>
    <w:rsid w:val="007D67CA"/>
    <w:rsid w:val="007D71B9"/>
    <w:rsid w:val="007E03DA"/>
    <w:rsid w:val="007E21C1"/>
    <w:rsid w:val="007E63EC"/>
    <w:rsid w:val="007E6B47"/>
    <w:rsid w:val="007E7CC7"/>
    <w:rsid w:val="007F12B7"/>
    <w:rsid w:val="007F25A9"/>
    <w:rsid w:val="007F33A7"/>
    <w:rsid w:val="007F35ED"/>
    <w:rsid w:val="007F6FD1"/>
    <w:rsid w:val="00800944"/>
    <w:rsid w:val="00801036"/>
    <w:rsid w:val="00801575"/>
    <w:rsid w:val="0080418D"/>
    <w:rsid w:val="00804A64"/>
    <w:rsid w:val="00804F81"/>
    <w:rsid w:val="00807160"/>
    <w:rsid w:val="00810E4C"/>
    <w:rsid w:val="00811C1B"/>
    <w:rsid w:val="00813D5B"/>
    <w:rsid w:val="00815D71"/>
    <w:rsid w:val="00820836"/>
    <w:rsid w:val="00821591"/>
    <w:rsid w:val="008231BA"/>
    <w:rsid w:val="008236C3"/>
    <w:rsid w:val="00824005"/>
    <w:rsid w:val="00824E2B"/>
    <w:rsid w:val="0082545A"/>
    <w:rsid w:val="00826779"/>
    <w:rsid w:val="00826980"/>
    <w:rsid w:val="008306DE"/>
    <w:rsid w:val="008313B2"/>
    <w:rsid w:val="00831E17"/>
    <w:rsid w:val="00832B98"/>
    <w:rsid w:val="00832BE4"/>
    <w:rsid w:val="00833607"/>
    <w:rsid w:val="008340FF"/>
    <w:rsid w:val="00835E18"/>
    <w:rsid w:val="00837F0A"/>
    <w:rsid w:val="00840199"/>
    <w:rsid w:val="008405A7"/>
    <w:rsid w:val="00842307"/>
    <w:rsid w:val="00842423"/>
    <w:rsid w:val="0084319C"/>
    <w:rsid w:val="00853B0C"/>
    <w:rsid w:val="00853B1B"/>
    <w:rsid w:val="00854838"/>
    <w:rsid w:val="00857361"/>
    <w:rsid w:val="008577D4"/>
    <w:rsid w:val="00860BCB"/>
    <w:rsid w:val="00860DDC"/>
    <w:rsid w:val="00861136"/>
    <w:rsid w:val="00862065"/>
    <w:rsid w:val="00862400"/>
    <w:rsid w:val="00863DB6"/>
    <w:rsid w:val="00863FD0"/>
    <w:rsid w:val="00867539"/>
    <w:rsid w:val="00871A27"/>
    <w:rsid w:val="008720D8"/>
    <w:rsid w:val="0087325D"/>
    <w:rsid w:val="0087367F"/>
    <w:rsid w:val="00873A06"/>
    <w:rsid w:val="008743C8"/>
    <w:rsid w:val="00874D70"/>
    <w:rsid w:val="00875555"/>
    <w:rsid w:val="00876C81"/>
    <w:rsid w:val="0087789D"/>
    <w:rsid w:val="00880F3E"/>
    <w:rsid w:val="008838C7"/>
    <w:rsid w:val="00883E6C"/>
    <w:rsid w:val="008862B5"/>
    <w:rsid w:val="0088721E"/>
    <w:rsid w:val="0088740B"/>
    <w:rsid w:val="00887544"/>
    <w:rsid w:val="008908F5"/>
    <w:rsid w:val="00890A4C"/>
    <w:rsid w:val="00890DDA"/>
    <w:rsid w:val="00891736"/>
    <w:rsid w:val="00891914"/>
    <w:rsid w:val="008945FD"/>
    <w:rsid w:val="00894A72"/>
    <w:rsid w:val="008951AC"/>
    <w:rsid w:val="008961B7"/>
    <w:rsid w:val="0089677E"/>
    <w:rsid w:val="00897483"/>
    <w:rsid w:val="008978CC"/>
    <w:rsid w:val="008A072A"/>
    <w:rsid w:val="008A1053"/>
    <w:rsid w:val="008A1FED"/>
    <w:rsid w:val="008A227F"/>
    <w:rsid w:val="008A2418"/>
    <w:rsid w:val="008A5CB6"/>
    <w:rsid w:val="008A6931"/>
    <w:rsid w:val="008B5614"/>
    <w:rsid w:val="008B5987"/>
    <w:rsid w:val="008C1F86"/>
    <w:rsid w:val="008C2A3C"/>
    <w:rsid w:val="008C2DAD"/>
    <w:rsid w:val="008C2E65"/>
    <w:rsid w:val="008C37C8"/>
    <w:rsid w:val="008C7F13"/>
    <w:rsid w:val="008D0652"/>
    <w:rsid w:val="008D0BF5"/>
    <w:rsid w:val="008D114B"/>
    <w:rsid w:val="008D27C1"/>
    <w:rsid w:val="008D2E88"/>
    <w:rsid w:val="008D45D9"/>
    <w:rsid w:val="008D7DDB"/>
    <w:rsid w:val="008E08F8"/>
    <w:rsid w:val="008E1F19"/>
    <w:rsid w:val="008E2631"/>
    <w:rsid w:val="008F11E2"/>
    <w:rsid w:val="008F3032"/>
    <w:rsid w:val="008F3660"/>
    <w:rsid w:val="008F3F09"/>
    <w:rsid w:val="008F4326"/>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4FA9"/>
    <w:rsid w:val="00915D80"/>
    <w:rsid w:val="00917556"/>
    <w:rsid w:val="009205BD"/>
    <w:rsid w:val="009209E2"/>
    <w:rsid w:val="00924B22"/>
    <w:rsid w:val="009258F6"/>
    <w:rsid w:val="00927A24"/>
    <w:rsid w:val="00927F3E"/>
    <w:rsid w:val="00930A46"/>
    <w:rsid w:val="00930D8F"/>
    <w:rsid w:val="009323A5"/>
    <w:rsid w:val="0093437E"/>
    <w:rsid w:val="00934A69"/>
    <w:rsid w:val="00936103"/>
    <w:rsid w:val="00936722"/>
    <w:rsid w:val="009376A3"/>
    <w:rsid w:val="009405F0"/>
    <w:rsid w:val="00945087"/>
    <w:rsid w:val="009451C2"/>
    <w:rsid w:val="0095018E"/>
    <w:rsid w:val="0095022F"/>
    <w:rsid w:val="00950C28"/>
    <w:rsid w:val="009528ED"/>
    <w:rsid w:val="009548FE"/>
    <w:rsid w:val="00954B36"/>
    <w:rsid w:val="009565C1"/>
    <w:rsid w:val="00960E55"/>
    <w:rsid w:val="00962C6A"/>
    <w:rsid w:val="00964509"/>
    <w:rsid w:val="00965A62"/>
    <w:rsid w:val="00965A8D"/>
    <w:rsid w:val="00966C54"/>
    <w:rsid w:val="009678FD"/>
    <w:rsid w:val="0097037F"/>
    <w:rsid w:val="00972CB3"/>
    <w:rsid w:val="00975828"/>
    <w:rsid w:val="00975DA4"/>
    <w:rsid w:val="0097649D"/>
    <w:rsid w:val="00976EC3"/>
    <w:rsid w:val="00977466"/>
    <w:rsid w:val="00977987"/>
    <w:rsid w:val="0098169D"/>
    <w:rsid w:val="0098287F"/>
    <w:rsid w:val="0098388D"/>
    <w:rsid w:val="00984F86"/>
    <w:rsid w:val="00985126"/>
    <w:rsid w:val="009853EE"/>
    <w:rsid w:val="009862FF"/>
    <w:rsid w:val="00986463"/>
    <w:rsid w:val="009872D8"/>
    <w:rsid w:val="00990627"/>
    <w:rsid w:val="00990D29"/>
    <w:rsid w:val="0099123A"/>
    <w:rsid w:val="009916C7"/>
    <w:rsid w:val="00991914"/>
    <w:rsid w:val="00992128"/>
    <w:rsid w:val="009937E4"/>
    <w:rsid w:val="00993BB2"/>
    <w:rsid w:val="009944E0"/>
    <w:rsid w:val="009946A0"/>
    <w:rsid w:val="009A32F5"/>
    <w:rsid w:val="009A4397"/>
    <w:rsid w:val="009A5102"/>
    <w:rsid w:val="009A5462"/>
    <w:rsid w:val="009A58EC"/>
    <w:rsid w:val="009A5BBB"/>
    <w:rsid w:val="009A7DF7"/>
    <w:rsid w:val="009B0310"/>
    <w:rsid w:val="009B09C6"/>
    <w:rsid w:val="009B0F05"/>
    <w:rsid w:val="009B13D3"/>
    <w:rsid w:val="009B1ACA"/>
    <w:rsid w:val="009B31FA"/>
    <w:rsid w:val="009B4A2A"/>
    <w:rsid w:val="009C0A02"/>
    <w:rsid w:val="009C3782"/>
    <w:rsid w:val="009C4B02"/>
    <w:rsid w:val="009D182C"/>
    <w:rsid w:val="009D4ED5"/>
    <w:rsid w:val="009D5869"/>
    <w:rsid w:val="009D7CE9"/>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775D"/>
    <w:rsid w:val="00A00951"/>
    <w:rsid w:val="00A00B8C"/>
    <w:rsid w:val="00A034E8"/>
    <w:rsid w:val="00A03BF8"/>
    <w:rsid w:val="00A10C86"/>
    <w:rsid w:val="00A13326"/>
    <w:rsid w:val="00A14BC6"/>
    <w:rsid w:val="00A17053"/>
    <w:rsid w:val="00A17418"/>
    <w:rsid w:val="00A179C6"/>
    <w:rsid w:val="00A22797"/>
    <w:rsid w:val="00A2538B"/>
    <w:rsid w:val="00A2594E"/>
    <w:rsid w:val="00A2690A"/>
    <w:rsid w:val="00A26A38"/>
    <w:rsid w:val="00A3056D"/>
    <w:rsid w:val="00A30F8F"/>
    <w:rsid w:val="00A32C0E"/>
    <w:rsid w:val="00A32EFD"/>
    <w:rsid w:val="00A3358B"/>
    <w:rsid w:val="00A34FE8"/>
    <w:rsid w:val="00A3510C"/>
    <w:rsid w:val="00A35F40"/>
    <w:rsid w:val="00A4131F"/>
    <w:rsid w:val="00A42B4F"/>
    <w:rsid w:val="00A52609"/>
    <w:rsid w:val="00A52796"/>
    <w:rsid w:val="00A52E90"/>
    <w:rsid w:val="00A572D0"/>
    <w:rsid w:val="00A603FA"/>
    <w:rsid w:val="00A60D25"/>
    <w:rsid w:val="00A63BEB"/>
    <w:rsid w:val="00A6519F"/>
    <w:rsid w:val="00A6575E"/>
    <w:rsid w:val="00A65949"/>
    <w:rsid w:val="00A65E12"/>
    <w:rsid w:val="00A66FC6"/>
    <w:rsid w:val="00A67467"/>
    <w:rsid w:val="00A71215"/>
    <w:rsid w:val="00A7196F"/>
    <w:rsid w:val="00A71CE3"/>
    <w:rsid w:val="00A72E2B"/>
    <w:rsid w:val="00A74B2E"/>
    <w:rsid w:val="00A758F4"/>
    <w:rsid w:val="00A84169"/>
    <w:rsid w:val="00A866E0"/>
    <w:rsid w:val="00A8701B"/>
    <w:rsid w:val="00A93155"/>
    <w:rsid w:val="00A93B9A"/>
    <w:rsid w:val="00A9411B"/>
    <w:rsid w:val="00A943CA"/>
    <w:rsid w:val="00A94A12"/>
    <w:rsid w:val="00A9789C"/>
    <w:rsid w:val="00A97DE0"/>
    <w:rsid w:val="00AA347C"/>
    <w:rsid w:val="00AA51FF"/>
    <w:rsid w:val="00AA66A4"/>
    <w:rsid w:val="00AA6CAA"/>
    <w:rsid w:val="00AB1D4D"/>
    <w:rsid w:val="00AB3041"/>
    <w:rsid w:val="00AB3D2E"/>
    <w:rsid w:val="00AB4415"/>
    <w:rsid w:val="00AB479F"/>
    <w:rsid w:val="00AB6C79"/>
    <w:rsid w:val="00AB7B74"/>
    <w:rsid w:val="00AC1289"/>
    <w:rsid w:val="00AC298F"/>
    <w:rsid w:val="00AC324F"/>
    <w:rsid w:val="00AC4174"/>
    <w:rsid w:val="00AD067A"/>
    <w:rsid w:val="00AD5870"/>
    <w:rsid w:val="00AD5C4D"/>
    <w:rsid w:val="00AD5E53"/>
    <w:rsid w:val="00AD6254"/>
    <w:rsid w:val="00AD7338"/>
    <w:rsid w:val="00AD7497"/>
    <w:rsid w:val="00AE13D3"/>
    <w:rsid w:val="00AE35E2"/>
    <w:rsid w:val="00AE407C"/>
    <w:rsid w:val="00AE4B00"/>
    <w:rsid w:val="00AE4E6C"/>
    <w:rsid w:val="00AE5259"/>
    <w:rsid w:val="00AE5F33"/>
    <w:rsid w:val="00AE68AF"/>
    <w:rsid w:val="00AE6B15"/>
    <w:rsid w:val="00AE6FD6"/>
    <w:rsid w:val="00AF0B6C"/>
    <w:rsid w:val="00AF2763"/>
    <w:rsid w:val="00AF27C9"/>
    <w:rsid w:val="00AF3745"/>
    <w:rsid w:val="00AF4175"/>
    <w:rsid w:val="00B007BD"/>
    <w:rsid w:val="00B0328B"/>
    <w:rsid w:val="00B03E26"/>
    <w:rsid w:val="00B04257"/>
    <w:rsid w:val="00B0583F"/>
    <w:rsid w:val="00B0669C"/>
    <w:rsid w:val="00B06911"/>
    <w:rsid w:val="00B07FCB"/>
    <w:rsid w:val="00B10D13"/>
    <w:rsid w:val="00B11C68"/>
    <w:rsid w:val="00B11E69"/>
    <w:rsid w:val="00B12E1D"/>
    <w:rsid w:val="00B13366"/>
    <w:rsid w:val="00B13F72"/>
    <w:rsid w:val="00B141B7"/>
    <w:rsid w:val="00B1532B"/>
    <w:rsid w:val="00B15AE4"/>
    <w:rsid w:val="00B20DFF"/>
    <w:rsid w:val="00B222C9"/>
    <w:rsid w:val="00B2438A"/>
    <w:rsid w:val="00B26011"/>
    <w:rsid w:val="00B308A3"/>
    <w:rsid w:val="00B31161"/>
    <w:rsid w:val="00B31DA0"/>
    <w:rsid w:val="00B33815"/>
    <w:rsid w:val="00B347DC"/>
    <w:rsid w:val="00B35E7F"/>
    <w:rsid w:val="00B36561"/>
    <w:rsid w:val="00B400EA"/>
    <w:rsid w:val="00B40306"/>
    <w:rsid w:val="00B41904"/>
    <w:rsid w:val="00B43727"/>
    <w:rsid w:val="00B46129"/>
    <w:rsid w:val="00B46ADD"/>
    <w:rsid w:val="00B50649"/>
    <w:rsid w:val="00B535E8"/>
    <w:rsid w:val="00B57631"/>
    <w:rsid w:val="00B57DB6"/>
    <w:rsid w:val="00B60169"/>
    <w:rsid w:val="00B630CF"/>
    <w:rsid w:val="00B63F49"/>
    <w:rsid w:val="00B644F7"/>
    <w:rsid w:val="00B647CD"/>
    <w:rsid w:val="00B65358"/>
    <w:rsid w:val="00B65ACE"/>
    <w:rsid w:val="00B65C97"/>
    <w:rsid w:val="00B65EC2"/>
    <w:rsid w:val="00B6616F"/>
    <w:rsid w:val="00B66FE1"/>
    <w:rsid w:val="00B7007B"/>
    <w:rsid w:val="00B71EBD"/>
    <w:rsid w:val="00B73982"/>
    <w:rsid w:val="00B73D85"/>
    <w:rsid w:val="00B73ECE"/>
    <w:rsid w:val="00B74195"/>
    <w:rsid w:val="00B75D74"/>
    <w:rsid w:val="00B77029"/>
    <w:rsid w:val="00B77183"/>
    <w:rsid w:val="00B817E0"/>
    <w:rsid w:val="00B81DA2"/>
    <w:rsid w:val="00B82115"/>
    <w:rsid w:val="00B83416"/>
    <w:rsid w:val="00B83A9F"/>
    <w:rsid w:val="00B83D81"/>
    <w:rsid w:val="00B843CD"/>
    <w:rsid w:val="00B86B09"/>
    <w:rsid w:val="00B86B7A"/>
    <w:rsid w:val="00B86BB3"/>
    <w:rsid w:val="00B876EF"/>
    <w:rsid w:val="00B909FE"/>
    <w:rsid w:val="00B92014"/>
    <w:rsid w:val="00B92F0C"/>
    <w:rsid w:val="00B933D6"/>
    <w:rsid w:val="00B94616"/>
    <w:rsid w:val="00B96979"/>
    <w:rsid w:val="00BA19EC"/>
    <w:rsid w:val="00BA1D1A"/>
    <w:rsid w:val="00BA2225"/>
    <w:rsid w:val="00BA39C4"/>
    <w:rsid w:val="00BA3BB4"/>
    <w:rsid w:val="00BA474B"/>
    <w:rsid w:val="00BB091F"/>
    <w:rsid w:val="00BB3AEE"/>
    <w:rsid w:val="00BB5EC0"/>
    <w:rsid w:val="00BB6334"/>
    <w:rsid w:val="00BB69B1"/>
    <w:rsid w:val="00BB7050"/>
    <w:rsid w:val="00BB7973"/>
    <w:rsid w:val="00BC08FD"/>
    <w:rsid w:val="00BC1CEE"/>
    <w:rsid w:val="00BC2AA4"/>
    <w:rsid w:val="00BC375A"/>
    <w:rsid w:val="00BC55A1"/>
    <w:rsid w:val="00BC5BE9"/>
    <w:rsid w:val="00BC645B"/>
    <w:rsid w:val="00BD25BF"/>
    <w:rsid w:val="00BD32FA"/>
    <w:rsid w:val="00BD47D3"/>
    <w:rsid w:val="00BD520F"/>
    <w:rsid w:val="00BD5CC5"/>
    <w:rsid w:val="00BE0054"/>
    <w:rsid w:val="00BE0F2C"/>
    <w:rsid w:val="00BE0F69"/>
    <w:rsid w:val="00BE0F82"/>
    <w:rsid w:val="00BE11EF"/>
    <w:rsid w:val="00BE309E"/>
    <w:rsid w:val="00BE51FD"/>
    <w:rsid w:val="00BE5D49"/>
    <w:rsid w:val="00BE7CAC"/>
    <w:rsid w:val="00BF041A"/>
    <w:rsid w:val="00BF0778"/>
    <w:rsid w:val="00BF13A5"/>
    <w:rsid w:val="00BF243B"/>
    <w:rsid w:val="00BF2441"/>
    <w:rsid w:val="00BF2689"/>
    <w:rsid w:val="00BF2EFF"/>
    <w:rsid w:val="00BF3213"/>
    <w:rsid w:val="00BF44BF"/>
    <w:rsid w:val="00BF760E"/>
    <w:rsid w:val="00BF7F06"/>
    <w:rsid w:val="00C00872"/>
    <w:rsid w:val="00C0489E"/>
    <w:rsid w:val="00C04E48"/>
    <w:rsid w:val="00C0725D"/>
    <w:rsid w:val="00C10437"/>
    <w:rsid w:val="00C116D2"/>
    <w:rsid w:val="00C126FA"/>
    <w:rsid w:val="00C12952"/>
    <w:rsid w:val="00C12F61"/>
    <w:rsid w:val="00C14091"/>
    <w:rsid w:val="00C14230"/>
    <w:rsid w:val="00C167AC"/>
    <w:rsid w:val="00C203A0"/>
    <w:rsid w:val="00C22776"/>
    <w:rsid w:val="00C2476B"/>
    <w:rsid w:val="00C250DA"/>
    <w:rsid w:val="00C25E5D"/>
    <w:rsid w:val="00C27F5E"/>
    <w:rsid w:val="00C3000A"/>
    <w:rsid w:val="00C32997"/>
    <w:rsid w:val="00C3697F"/>
    <w:rsid w:val="00C374B1"/>
    <w:rsid w:val="00C374F3"/>
    <w:rsid w:val="00C40725"/>
    <w:rsid w:val="00C40CF4"/>
    <w:rsid w:val="00C42C0F"/>
    <w:rsid w:val="00C430E3"/>
    <w:rsid w:val="00C43CD6"/>
    <w:rsid w:val="00C45050"/>
    <w:rsid w:val="00C45F57"/>
    <w:rsid w:val="00C46500"/>
    <w:rsid w:val="00C50250"/>
    <w:rsid w:val="00C51BF2"/>
    <w:rsid w:val="00C51EDF"/>
    <w:rsid w:val="00C5250C"/>
    <w:rsid w:val="00C534F2"/>
    <w:rsid w:val="00C56AAF"/>
    <w:rsid w:val="00C603FA"/>
    <w:rsid w:val="00C62CB0"/>
    <w:rsid w:val="00C65011"/>
    <w:rsid w:val="00C66105"/>
    <w:rsid w:val="00C671F1"/>
    <w:rsid w:val="00C6752D"/>
    <w:rsid w:val="00C67644"/>
    <w:rsid w:val="00C67E09"/>
    <w:rsid w:val="00C700AE"/>
    <w:rsid w:val="00C7247D"/>
    <w:rsid w:val="00C72DC4"/>
    <w:rsid w:val="00C81411"/>
    <w:rsid w:val="00C8145D"/>
    <w:rsid w:val="00C8592B"/>
    <w:rsid w:val="00C90D9A"/>
    <w:rsid w:val="00C94481"/>
    <w:rsid w:val="00C9508F"/>
    <w:rsid w:val="00C96E35"/>
    <w:rsid w:val="00CA279F"/>
    <w:rsid w:val="00CA46B8"/>
    <w:rsid w:val="00CA536F"/>
    <w:rsid w:val="00CA63E8"/>
    <w:rsid w:val="00CA652B"/>
    <w:rsid w:val="00CA6FFD"/>
    <w:rsid w:val="00CA7199"/>
    <w:rsid w:val="00CB290E"/>
    <w:rsid w:val="00CB2E26"/>
    <w:rsid w:val="00CB2F0D"/>
    <w:rsid w:val="00CB303B"/>
    <w:rsid w:val="00CB6EAC"/>
    <w:rsid w:val="00CB7F74"/>
    <w:rsid w:val="00CC14C1"/>
    <w:rsid w:val="00CC157B"/>
    <w:rsid w:val="00CC25EB"/>
    <w:rsid w:val="00CC4269"/>
    <w:rsid w:val="00CC550F"/>
    <w:rsid w:val="00CC56A1"/>
    <w:rsid w:val="00CC5756"/>
    <w:rsid w:val="00CC7A70"/>
    <w:rsid w:val="00CC7CE2"/>
    <w:rsid w:val="00CD127C"/>
    <w:rsid w:val="00CD1819"/>
    <w:rsid w:val="00CD2896"/>
    <w:rsid w:val="00CD4E39"/>
    <w:rsid w:val="00CD5611"/>
    <w:rsid w:val="00CD57D3"/>
    <w:rsid w:val="00CD5B38"/>
    <w:rsid w:val="00CD6149"/>
    <w:rsid w:val="00CD69B2"/>
    <w:rsid w:val="00CD6FD1"/>
    <w:rsid w:val="00CD7D98"/>
    <w:rsid w:val="00CE06EC"/>
    <w:rsid w:val="00CE1EEB"/>
    <w:rsid w:val="00CE3598"/>
    <w:rsid w:val="00CE45C2"/>
    <w:rsid w:val="00CE5DBB"/>
    <w:rsid w:val="00CE6963"/>
    <w:rsid w:val="00CE6A45"/>
    <w:rsid w:val="00CF0E0A"/>
    <w:rsid w:val="00CF23E3"/>
    <w:rsid w:val="00CF328E"/>
    <w:rsid w:val="00CF47C2"/>
    <w:rsid w:val="00CF6310"/>
    <w:rsid w:val="00D00C66"/>
    <w:rsid w:val="00D01398"/>
    <w:rsid w:val="00D0357C"/>
    <w:rsid w:val="00D03688"/>
    <w:rsid w:val="00D055EB"/>
    <w:rsid w:val="00D06DA1"/>
    <w:rsid w:val="00D14E9B"/>
    <w:rsid w:val="00D1593D"/>
    <w:rsid w:val="00D20263"/>
    <w:rsid w:val="00D21F09"/>
    <w:rsid w:val="00D24A23"/>
    <w:rsid w:val="00D250A8"/>
    <w:rsid w:val="00D25CA2"/>
    <w:rsid w:val="00D268CF"/>
    <w:rsid w:val="00D27F87"/>
    <w:rsid w:val="00D33262"/>
    <w:rsid w:val="00D363F6"/>
    <w:rsid w:val="00D370E0"/>
    <w:rsid w:val="00D37B8E"/>
    <w:rsid w:val="00D404F4"/>
    <w:rsid w:val="00D4118C"/>
    <w:rsid w:val="00D419A2"/>
    <w:rsid w:val="00D44FF9"/>
    <w:rsid w:val="00D4654C"/>
    <w:rsid w:val="00D46C8B"/>
    <w:rsid w:val="00D46DF1"/>
    <w:rsid w:val="00D51C9A"/>
    <w:rsid w:val="00D541DC"/>
    <w:rsid w:val="00D56035"/>
    <w:rsid w:val="00D56AFD"/>
    <w:rsid w:val="00D619EB"/>
    <w:rsid w:val="00D61DCC"/>
    <w:rsid w:val="00D6227C"/>
    <w:rsid w:val="00D62745"/>
    <w:rsid w:val="00D63C60"/>
    <w:rsid w:val="00D64231"/>
    <w:rsid w:val="00D651DD"/>
    <w:rsid w:val="00D70171"/>
    <w:rsid w:val="00D70BC5"/>
    <w:rsid w:val="00D727D0"/>
    <w:rsid w:val="00D72999"/>
    <w:rsid w:val="00D75E58"/>
    <w:rsid w:val="00D7649C"/>
    <w:rsid w:val="00D82AD9"/>
    <w:rsid w:val="00D83165"/>
    <w:rsid w:val="00D8376F"/>
    <w:rsid w:val="00D83794"/>
    <w:rsid w:val="00D85E77"/>
    <w:rsid w:val="00D87E6F"/>
    <w:rsid w:val="00D91DBA"/>
    <w:rsid w:val="00D91EA2"/>
    <w:rsid w:val="00D9279B"/>
    <w:rsid w:val="00D94630"/>
    <w:rsid w:val="00D9472B"/>
    <w:rsid w:val="00D94E6E"/>
    <w:rsid w:val="00D96227"/>
    <w:rsid w:val="00D96679"/>
    <w:rsid w:val="00D97347"/>
    <w:rsid w:val="00D97D15"/>
    <w:rsid w:val="00DA123A"/>
    <w:rsid w:val="00DA19BC"/>
    <w:rsid w:val="00DA2952"/>
    <w:rsid w:val="00DA3BC8"/>
    <w:rsid w:val="00DA5380"/>
    <w:rsid w:val="00DA5B16"/>
    <w:rsid w:val="00DA67BC"/>
    <w:rsid w:val="00DA6ACF"/>
    <w:rsid w:val="00DB0246"/>
    <w:rsid w:val="00DB11F4"/>
    <w:rsid w:val="00DB4E9C"/>
    <w:rsid w:val="00DB6685"/>
    <w:rsid w:val="00DB686C"/>
    <w:rsid w:val="00DB6C15"/>
    <w:rsid w:val="00DB74DE"/>
    <w:rsid w:val="00DC1CA3"/>
    <w:rsid w:val="00DC25CB"/>
    <w:rsid w:val="00DC26C4"/>
    <w:rsid w:val="00DC393D"/>
    <w:rsid w:val="00DC3DF5"/>
    <w:rsid w:val="00DC4C3D"/>
    <w:rsid w:val="00DC511E"/>
    <w:rsid w:val="00DC5DD9"/>
    <w:rsid w:val="00DC72D6"/>
    <w:rsid w:val="00DD091C"/>
    <w:rsid w:val="00DD2292"/>
    <w:rsid w:val="00DD2BCF"/>
    <w:rsid w:val="00DD427D"/>
    <w:rsid w:val="00DD4D95"/>
    <w:rsid w:val="00DE18BB"/>
    <w:rsid w:val="00DE2EF4"/>
    <w:rsid w:val="00DE3DFD"/>
    <w:rsid w:val="00DE584B"/>
    <w:rsid w:val="00DE6A19"/>
    <w:rsid w:val="00DF1AEE"/>
    <w:rsid w:val="00DF45B0"/>
    <w:rsid w:val="00DF6A98"/>
    <w:rsid w:val="00E03529"/>
    <w:rsid w:val="00E03C57"/>
    <w:rsid w:val="00E04B8B"/>
    <w:rsid w:val="00E05083"/>
    <w:rsid w:val="00E0520E"/>
    <w:rsid w:val="00E054BB"/>
    <w:rsid w:val="00E05DE6"/>
    <w:rsid w:val="00E06CC8"/>
    <w:rsid w:val="00E07501"/>
    <w:rsid w:val="00E107B3"/>
    <w:rsid w:val="00E10F19"/>
    <w:rsid w:val="00E1181B"/>
    <w:rsid w:val="00E11E49"/>
    <w:rsid w:val="00E1282D"/>
    <w:rsid w:val="00E12F99"/>
    <w:rsid w:val="00E14D21"/>
    <w:rsid w:val="00E15611"/>
    <w:rsid w:val="00E15791"/>
    <w:rsid w:val="00E159B3"/>
    <w:rsid w:val="00E16F68"/>
    <w:rsid w:val="00E1750C"/>
    <w:rsid w:val="00E200B1"/>
    <w:rsid w:val="00E202E6"/>
    <w:rsid w:val="00E20CA3"/>
    <w:rsid w:val="00E20D90"/>
    <w:rsid w:val="00E22DB9"/>
    <w:rsid w:val="00E22F63"/>
    <w:rsid w:val="00E23D18"/>
    <w:rsid w:val="00E240A5"/>
    <w:rsid w:val="00E245B2"/>
    <w:rsid w:val="00E247F0"/>
    <w:rsid w:val="00E25817"/>
    <w:rsid w:val="00E25E6E"/>
    <w:rsid w:val="00E266D4"/>
    <w:rsid w:val="00E30E51"/>
    <w:rsid w:val="00E34393"/>
    <w:rsid w:val="00E3500F"/>
    <w:rsid w:val="00E36B30"/>
    <w:rsid w:val="00E36C86"/>
    <w:rsid w:val="00E36F05"/>
    <w:rsid w:val="00E37305"/>
    <w:rsid w:val="00E37B70"/>
    <w:rsid w:val="00E449A7"/>
    <w:rsid w:val="00E45EEA"/>
    <w:rsid w:val="00E465EC"/>
    <w:rsid w:val="00E523EB"/>
    <w:rsid w:val="00E530DB"/>
    <w:rsid w:val="00E55661"/>
    <w:rsid w:val="00E605A9"/>
    <w:rsid w:val="00E63CFB"/>
    <w:rsid w:val="00E644E0"/>
    <w:rsid w:val="00E64B8A"/>
    <w:rsid w:val="00E65E72"/>
    <w:rsid w:val="00E668D2"/>
    <w:rsid w:val="00E679D7"/>
    <w:rsid w:val="00E67BF8"/>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95D44"/>
    <w:rsid w:val="00EA1510"/>
    <w:rsid w:val="00EA2658"/>
    <w:rsid w:val="00EA3FCF"/>
    <w:rsid w:val="00EA499B"/>
    <w:rsid w:val="00EA4F20"/>
    <w:rsid w:val="00EA6050"/>
    <w:rsid w:val="00EA6552"/>
    <w:rsid w:val="00EA73DB"/>
    <w:rsid w:val="00EA77E5"/>
    <w:rsid w:val="00EB0C2C"/>
    <w:rsid w:val="00EB0E5E"/>
    <w:rsid w:val="00EB1EBB"/>
    <w:rsid w:val="00EB23AB"/>
    <w:rsid w:val="00EB4133"/>
    <w:rsid w:val="00EB4D7D"/>
    <w:rsid w:val="00EB5E0E"/>
    <w:rsid w:val="00EB6BC3"/>
    <w:rsid w:val="00EC366F"/>
    <w:rsid w:val="00EC5B6B"/>
    <w:rsid w:val="00EC6088"/>
    <w:rsid w:val="00EC7244"/>
    <w:rsid w:val="00ED0F2D"/>
    <w:rsid w:val="00ED1498"/>
    <w:rsid w:val="00ED1FF5"/>
    <w:rsid w:val="00ED42CE"/>
    <w:rsid w:val="00EE273B"/>
    <w:rsid w:val="00EE28AB"/>
    <w:rsid w:val="00EE5CB2"/>
    <w:rsid w:val="00EF22DB"/>
    <w:rsid w:val="00EF3529"/>
    <w:rsid w:val="00EF3D82"/>
    <w:rsid w:val="00EF5D3F"/>
    <w:rsid w:val="00EF712B"/>
    <w:rsid w:val="00EF7D01"/>
    <w:rsid w:val="00EF7D5A"/>
    <w:rsid w:val="00F018F3"/>
    <w:rsid w:val="00F020DD"/>
    <w:rsid w:val="00F02505"/>
    <w:rsid w:val="00F03617"/>
    <w:rsid w:val="00F04CF6"/>
    <w:rsid w:val="00F04EF2"/>
    <w:rsid w:val="00F05FA7"/>
    <w:rsid w:val="00F06801"/>
    <w:rsid w:val="00F06EAB"/>
    <w:rsid w:val="00F07170"/>
    <w:rsid w:val="00F1069B"/>
    <w:rsid w:val="00F112EA"/>
    <w:rsid w:val="00F13519"/>
    <w:rsid w:val="00F14DD4"/>
    <w:rsid w:val="00F16C66"/>
    <w:rsid w:val="00F17781"/>
    <w:rsid w:val="00F23AA8"/>
    <w:rsid w:val="00F25C21"/>
    <w:rsid w:val="00F25F07"/>
    <w:rsid w:val="00F2626E"/>
    <w:rsid w:val="00F26B4C"/>
    <w:rsid w:val="00F31EA1"/>
    <w:rsid w:val="00F34DA5"/>
    <w:rsid w:val="00F35EC8"/>
    <w:rsid w:val="00F36871"/>
    <w:rsid w:val="00F377A4"/>
    <w:rsid w:val="00F41368"/>
    <w:rsid w:val="00F41834"/>
    <w:rsid w:val="00F44420"/>
    <w:rsid w:val="00F45CFC"/>
    <w:rsid w:val="00F469BA"/>
    <w:rsid w:val="00F474F2"/>
    <w:rsid w:val="00F52628"/>
    <w:rsid w:val="00F55401"/>
    <w:rsid w:val="00F55FA6"/>
    <w:rsid w:val="00F5774B"/>
    <w:rsid w:val="00F60480"/>
    <w:rsid w:val="00F61EEE"/>
    <w:rsid w:val="00F64D99"/>
    <w:rsid w:val="00F6590C"/>
    <w:rsid w:val="00F678E0"/>
    <w:rsid w:val="00F703CA"/>
    <w:rsid w:val="00F70D07"/>
    <w:rsid w:val="00F715E6"/>
    <w:rsid w:val="00F7263B"/>
    <w:rsid w:val="00F72EE9"/>
    <w:rsid w:val="00F743FE"/>
    <w:rsid w:val="00F76B51"/>
    <w:rsid w:val="00F76C91"/>
    <w:rsid w:val="00F774B6"/>
    <w:rsid w:val="00F779CD"/>
    <w:rsid w:val="00F80A6A"/>
    <w:rsid w:val="00F8350E"/>
    <w:rsid w:val="00F837B8"/>
    <w:rsid w:val="00F838CE"/>
    <w:rsid w:val="00F84D96"/>
    <w:rsid w:val="00F91422"/>
    <w:rsid w:val="00F9167A"/>
    <w:rsid w:val="00F91DBB"/>
    <w:rsid w:val="00F9246E"/>
    <w:rsid w:val="00F955B1"/>
    <w:rsid w:val="00F96029"/>
    <w:rsid w:val="00F961B9"/>
    <w:rsid w:val="00FA1256"/>
    <w:rsid w:val="00FA208A"/>
    <w:rsid w:val="00FA3EAA"/>
    <w:rsid w:val="00FB2B62"/>
    <w:rsid w:val="00FB2FD9"/>
    <w:rsid w:val="00FB3398"/>
    <w:rsid w:val="00FB37AA"/>
    <w:rsid w:val="00FB38B9"/>
    <w:rsid w:val="00FB3EF3"/>
    <w:rsid w:val="00FB4547"/>
    <w:rsid w:val="00FB4FC4"/>
    <w:rsid w:val="00FB50D6"/>
    <w:rsid w:val="00FB665C"/>
    <w:rsid w:val="00FB668B"/>
    <w:rsid w:val="00FB76E4"/>
    <w:rsid w:val="00FC072E"/>
    <w:rsid w:val="00FC5F55"/>
    <w:rsid w:val="00FD0ACF"/>
    <w:rsid w:val="00FD32A7"/>
    <w:rsid w:val="00FD5E24"/>
    <w:rsid w:val="00FE1080"/>
    <w:rsid w:val="00FE133D"/>
    <w:rsid w:val="00FE1A74"/>
    <w:rsid w:val="00FE206C"/>
    <w:rsid w:val="00FE4D17"/>
    <w:rsid w:val="00FE5427"/>
    <w:rsid w:val="00FE63A1"/>
    <w:rsid w:val="00FE71C5"/>
    <w:rsid w:val="00FF21FA"/>
    <w:rsid w:val="00FF23BD"/>
    <w:rsid w:val="00FF33F5"/>
    <w:rsid w:val="00FF536D"/>
    <w:rsid w:val="00FF5408"/>
    <w:rsid w:val="00FF623A"/>
    <w:rsid w:val="00FF6240"/>
    <w:rsid w:val="00FF680E"/>
    <w:rsid w:val="010158D6"/>
    <w:rsid w:val="010C1F2E"/>
    <w:rsid w:val="01114F72"/>
    <w:rsid w:val="012313A8"/>
    <w:rsid w:val="01303AC5"/>
    <w:rsid w:val="016E2F6B"/>
    <w:rsid w:val="01A324E9"/>
    <w:rsid w:val="01B6221C"/>
    <w:rsid w:val="01BD17FD"/>
    <w:rsid w:val="02112B97"/>
    <w:rsid w:val="0227136C"/>
    <w:rsid w:val="024141DC"/>
    <w:rsid w:val="02414679"/>
    <w:rsid w:val="026D3223"/>
    <w:rsid w:val="02BC7D06"/>
    <w:rsid w:val="02BF15A4"/>
    <w:rsid w:val="02E334E5"/>
    <w:rsid w:val="02F17232"/>
    <w:rsid w:val="03004097"/>
    <w:rsid w:val="0313544C"/>
    <w:rsid w:val="03197BAA"/>
    <w:rsid w:val="03367F9D"/>
    <w:rsid w:val="034F2CF9"/>
    <w:rsid w:val="03853611"/>
    <w:rsid w:val="039B7903"/>
    <w:rsid w:val="03A367D0"/>
    <w:rsid w:val="03E56DE9"/>
    <w:rsid w:val="04BE38BF"/>
    <w:rsid w:val="04C71D1F"/>
    <w:rsid w:val="04E470A0"/>
    <w:rsid w:val="04F973C8"/>
    <w:rsid w:val="05151207"/>
    <w:rsid w:val="054F6C10"/>
    <w:rsid w:val="055661F0"/>
    <w:rsid w:val="056E77AF"/>
    <w:rsid w:val="05825942"/>
    <w:rsid w:val="05AB2747"/>
    <w:rsid w:val="05C80770"/>
    <w:rsid w:val="05E82BC0"/>
    <w:rsid w:val="05FF4C0F"/>
    <w:rsid w:val="060043AE"/>
    <w:rsid w:val="060E0879"/>
    <w:rsid w:val="06456265"/>
    <w:rsid w:val="065D710A"/>
    <w:rsid w:val="067032E2"/>
    <w:rsid w:val="06806D5E"/>
    <w:rsid w:val="06867AFA"/>
    <w:rsid w:val="068C5C42"/>
    <w:rsid w:val="069A65B0"/>
    <w:rsid w:val="06BB0938"/>
    <w:rsid w:val="06E45830"/>
    <w:rsid w:val="06E8731C"/>
    <w:rsid w:val="07247C28"/>
    <w:rsid w:val="0728596A"/>
    <w:rsid w:val="075524D7"/>
    <w:rsid w:val="07610E7C"/>
    <w:rsid w:val="076C3255"/>
    <w:rsid w:val="07846919"/>
    <w:rsid w:val="07A86AAB"/>
    <w:rsid w:val="07B42E3F"/>
    <w:rsid w:val="07D41561"/>
    <w:rsid w:val="07D94EB7"/>
    <w:rsid w:val="07E027FB"/>
    <w:rsid w:val="08034DCD"/>
    <w:rsid w:val="08144141"/>
    <w:rsid w:val="081D0413"/>
    <w:rsid w:val="082A0FC8"/>
    <w:rsid w:val="08485B98"/>
    <w:rsid w:val="087D7F38"/>
    <w:rsid w:val="087F6C0C"/>
    <w:rsid w:val="08856DEC"/>
    <w:rsid w:val="089D5EE4"/>
    <w:rsid w:val="08B17BE1"/>
    <w:rsid w:val="08DB6A0C"/>
    <w:rsid w:val="09016173"/>
    <w:rsid w:val="0902043D"/>
    <w:rsid w:val="09077801"/>
    <w:rsid w:val="090E293E"/>
    <w:rsid w:val="0919374A"/>
    <w:rsid w:val="092038AE"/>
    <w:rsid w:val="093E76C7"/>
    <w:rsid w:val="096D1D5A"/>
    <w:rsid w:val="0971046C"/>
    <w:rsid w:val="09892AB3"/>
    <w:rsid w:val="09C0099F"/>
    <w:rsid w:val="09E30F28"/>
    <w:rsid w:val="09EC1E1C"/>
    <w:rsid w:val="0A163D09"/>
    <w:rsid w:val="0A187F18"/>
    <w:rsid w:val="0A1E12A6"/>
    <w:rsid w:val="0A825391"/>
    <w:rsid w:val="0A9E7CF1"/>
    <w:rsid w:val="0ABB08A3"/>
    <w:rsid w:val="0AC97464"/>
    <w:rsid w:val="0ACE4378"/>
    <w:rsid w:val="0AFB5144"/>
    <w:rsid w:val="0B3223F6"/>
    <w:rsid w:val="0B4F3897"/>
    <w:rsid w:val="0B5F1B77"/>
    <w:rsid w:val="0B811AED"/>
    <w:rsid w:val="0B9A495D"/>
    <w:rsid w:val="0BAA5656"/>
    <w:rsid w:val="0BAD5B3D"/>
    <w:rsid w:val="0BB7550F"/>
    <w:rsid w:val="0BCB37F7"/>
    <w:rsid w:val="0BCD6AE0"/>
    <w:rsid w:val="0BD51E39"/>
    <w:rsid w:val="0BD53F98"/>
    <w:rsid w:val="0BEF2EFA"/>
    <w:rsid w:val="0BF57DE5"/>
    <w:rsid w:val="0C051D50"/>
    <w:rsid w:val="0C460641"/>
    <w:rsid w:val="0C48085D"/>
    <w:rsid w:val="0C776A4C"/>
    <w:rsid w:val="0C8C699B"/>
    <w:rsid w:val="0C943AA2"/>
    <w:rsid w:val="0CC47EE3"/>
    <w:rsid w:val="0CEA0A00"/>
    <w:rsid w:val="0CEC1234"/>
    <w:rsid w:val="0D1763E2"/>
    <w:rsid w:val="0D4A5F0F"/>
    <w:rsid w:val="0D505C1B"/>
    <w:rsid w:val="0D7A11E1"/>
    <w:rsid w:val="0DB00467"/>
    <w:rsid w:val="0E0E518E"/>
    <w:rsid w:val="0E19600D"/>
    <w:rsid w:val="0E537D4A"/>
    <w:rsid w:val="0E653000"/>
    <w:rsid w:val="0E75024E"/>
    <w:rsid w:val="0EBC1367"/>
    <w:rsid w:val="0F1418E8"/>
    <w:rsid w:val="0F1A028E"/>
    <w:rsid w:val="0F1A6158"/>
    <w:rsid w:val="0F8556A3"/>
    <w:rsid w:val="0FAD1102"/>
    <w:rsid w:val="0FFD0C46"/>
    <w:rsid w:val="10014FAA"/>
    <w:rsid w:val="10022AD1"/>
    <w:rsid w:val="10196798"/>
    <w:rsid w:val="10344F01"/>
    <w:rsid w:val="10417A9D"/>
    <w:rsid w:val="10433815"/>
    <w:rsid w:val="104430E9"/>
    <w:rsid w:val="105F6EB1"/>
    <w:rsid w:val="10740C17"/>
    <w:rsid w:val="10802373"/>
    <w:rsid w:val="10C77FA2"/>
    <w:rsid w:val="10D97CD5"/>
    <w:rsid w:val="10ED4BDA"/>
    <w:rsid w:val="11074842"/>
    <w:rsid w:val="11131439"/>
    <w:rsid w:val="112018B8"/>
    <w:rsid w:val="1139301B"/>
    <w:rsid w:val="114535BD"/>
    <w:rsid w:val="117E08F8"/>
    <w:rsid w:val="118916FB"/>
    <w:rsid w:val="11895257"/>
    <w:rsid w:val="11BA18B5"/>
    <w:rsid w:val="11CE0167"/>
    <w:rsid w:val="11D706B9"/>
    <w:rsid w:val="11E701D0"/>
    <w:rsid w:val="11F823DD"/>
    <w:rsid w:val="12002115"/>
    <w:rsid w:val="121B6BB6"/>
    <w:rsid w:val="122D2087"/>
    <w:rsid w:val="123258EF"/>
    <w:rsid w:val="123E24E6"/>
    <w:rsid w:val="129506C9"/>
    <w:rsid w:val="129F4311"/>
    <w:rsid w:val="12EA7F78"/>
    <w:rsid w:val="13255454"/>
    <w:rsid w:val="13336455"/>
    <w:rsid w:val="13367661"/>
    <w:rsid w:val="133815F1"/>
    <w:rsid w:val="1360023A"/>
    <w:rsid w:val="13737F6D"/>
    <w:rsid w:val="143A6943"/>
    <w:rsid w:val="145E0C1D"/>
    <w:rsid w:val="146D0E60"/>
    <w:rsid w:val="14915321"/>
    <w:rsid w:val="1497612C"/>
    <w:rsid w:val="14BE346A"/>
    <w:rsid w:val="14BF71E2"/>
    <w:rsid w:val="14E37374"/>
    <w:rsid w:val="15007F26"/>
    <w:rsid w:val="150F1F18"/>
    <w:rsid w:val="15437E13"/>
    <w:rsid w:val="15556DAB"/>
    <w:rsid w:val="15747FCD"/>
    <w:rsid w:val="15AC1DE4"/>
    <w:rsid w:val="15B34F99"/>
    <w:rsid w:val="15B825CF"/>
    <w:rsid w:val="16223ECC"/>
    <w:rsid w:val="1668590A"/>
    <w:rsid w:val="16A82624"/>
    <w:rsid w:val="16A9014A"/>
    <w:rsid w:val="170E5811"/>
    <w:rsid w:val="17173305"/>
    <w:rsid w:val="17215F32"/>
    <w:rsid w:val="17343EB7"/>
    <w:rsid w:val="1743234C"/>
    <w:rsid w:val="174340FA"/>
    <w:rsid w:val="174F41CD"/>
    <w:rsid w:val="177B3894"/>
    <w:rsid w:val="17B15508"/>
    <w:rsid w:val="181810E3"/>
    <w:rsid w:val="183A37FA"/>
    <w:rsid w:val="184A45BC"/>
    <w:rsid w:val="18664544"/>
    <w:rsid w:val="18A06497"/>
    <w:rsid w:val="18A07277"/>
    <w:rsid w:val="191F46F3"/>
    <w:rsid w:val="19422BB3"/>
    <w:rsid w:val="19564FD4"/>
    <w:rsid w:val="198F7ACB"/>
    <w:rsid w:val="19C84D8B"/>
    <w:rsid w:val="19F811E0"/>
    <w:rsid w:val="1A2B77F4"/>
    <w:rsid w:val="1A5A3C35"/>
    <w:rsid w:val="1A6118B2"/>
    <w:rsid w:val="1A750A6F"/>
    <w:rsid w:val="1A9C249F"/>
    <w:rsid w:val="1ABC32DC"/>
    <w:rsid w:val="1AC75042"/>
    <w:rsid w:val="1ACC4407"/>
    <w:rsid w:val="1AD05CA5"/>
    <w:rsid w:val="1AED4AA9"/>
    <w:rsid w:val="1B027E29"/>
    <w:rsid w:val="1B083691"/>
    <w:rsid w:val="1B391A9C"/>
    <w:rsid w:val="1B3A5814"/>
    <w:rsid w:val="1B642331"/>
    <w:rsid w:val="1B832F8B"/>
    <w:rsid w:val="1B9238A2"/>
    <w:rsid w:val="1B9C027D"/>
    <w:rsid w:val="1C454471"/>
    <w:rsid w:val="1C485D0F"/>
    <w:rsid w:val="1CB20460"/>
    <w:rsid w:val="1CD83537"/>
    <w:rsid w:val="1D246635"/>
    <w:rsid w:val="1D28626C"/>
    <w:rsid w:val="1D2B4884"/>
    <w:rsid w:val="1D4244E6"/>
    <w:rsid w:val="1D464944"/>
    <w:rsid w:val="1D5F5A06"/>
    <w:rsid w:val="1D725739"/>
    <w:rsid w:val="1D84327C"/>
    <w:rsid w:val="1DEF6CCC"/>
    <w:rsid w:val="1E122A78"/>
    <w:rsid w:val="1E3649B9"/>
    <w:rsid w:val="1E8F40C9"/>
    <w:rsid w:val="1EBD0C36"/>
    <w:rsid w:val="1EC975DB"/>
    <w:rsid w:val="1EE44415"/>
    <w:rsid w:val="1F007536"/>
    <w:rsid w:val="1F6966C8"/>
    <w:rsid w:val="1FC833B6"/>
    <w:rsid w:val="1FF71F26"/>
    <w:rsid w:val="1FF9265B"/>
    <w:rsid w:val="20087C8F"/>
    <w:rsid w:val="20232D1B"/>
    <w:rsid w:val="20401B1F"/>
    <w:rsid w:val="204C4020"/>
    <w:rsid w:val="205B3F14"/>
    <w:rsid w:val="206A26F8"/>
    <w:rsid w:val="20AF45AF"/>
    <w:rsid w:val="20D109C9"/>
    <w:rsid w:val="210963B5"/>
    <w:rsid w:val="213276BA"/>
    <w:rsid w:val="21472A39"/>
    <w:rsid w:val="214E5B76"/>
    <w:rsid w:val="21550807"/>
    <w:rsid w:val="217F21D3"/>
    <w:rsid w:val="21B87493"/>
    <w:rsid w:val="21C30312"/>
    <w:rsid w:val="21E20908"/>
    <w:rsid w:val="22100F35"/>
    <w:rsid w:val="222039B6"/>
    <w:rsid w:val="224F1BA5"/>
    <w:rsid w:val="225B679C"/>
    <w:rsid w:val="226A4C31"/>
    <w:rsid w:val="227C4964"/>
    <w:rsid w:val="227E75EB"/>
    <w:rsid w:val="228F5B9E"/>
    <w:rsid w:val="22914F7A"/>
    <w:rsid w:val="22B1221A"/>
    <w:rsid w:val="22DB78DD"/>
    <w:rsid w:val="22EB084B"/>
    <w:rsid w:val="22FA2A5A"/>
    <w:rsid w:val="231E3CEC"/>
    <w:rsid w:val="23291699"/>
    <w:rsid w:val="232A2D31"/>
    <w:rsid w:val="23735D67"/>
    <w:rsid w:val="23827D58"/>
    <w:rsid w:val="239008F8"/>
    <w:rsid w:val="23AA3C9A"/>
    <w:rsid w:val="23BA0DB5"/>
    <w:rsid w:val="23C6233B"/>
    <w:rsid w:val="23D03586"/>
    <w:rsid w:val="24294678"/>
    <w:rsid w:val="24295BA6"/>
    <w:rsid w:val="24925E82"/>
    <w:rsid w:val="24A81995"/>
    <w:rsid w:val="24C745BD"/>
    <w:rsid w:val="25034EC9"/>
    <w:rsid w:val="2535374E"/>
    <w:rsid w:val="2540611D"/>
    <w:rsid w:val="25675376"/>
    <w:rsid w:val="2569105A"/>
    <w:rsid w:val="25756232"/>
    <w:rsid w:val="257858B7"/>
    <w:rsid w:val="258B138C"/>
    <w:rsid w:val="258E50DA"/>
    <w:rsid w:val="25AC5561"/>
    <w:rsid w:val="25AD06FA"/>
    <w:rsid w:val="25DC4098"/>
    <w:rsid w:val="26506B34"/>
    <w:rsid w:val="26634A64"/>
    <w:rsid w:val="2685028B"/>
    <w:rsid w:val="26914E82"/>
    <w:rsid w:val="26993D37"/>
    <w:rsid w:val="26AD2E1E"/>
    <w:rsid w:val="26B865A8"/>
    <w:rsid w:val="26C03072"/>
    <w:rsid w:val="26D60AE7"/>
    <w:rsid w:val="26E054C2"/>
    <w:rsid w:val="270C62B7"/>
    <w:rsid w:val="272A0E33"/>
    <w:rsid w:val="273311A3"/>
    <w:rsid w:val="273673D1"/>
    <w:rsid w:val="27587A98"/>
    <w:rsid w:val="27A504B9"/>
    <w:rsid w:val="27B64475"/>
    <w:rsid w:val="27BD5803"/>
    <w:rsid w:val="27BF157B"/>
    <w:rsid w:val="27C43F9E"/>
    <w:rsid w:val="27F91B60"/>
    <w:rsid w:val="28074CD0"/>
    <w:rsid w:val="281C4C20"/>
    <w:rsid w:val="284D6B87"/>
    <w:rsid w:val="287265EE"/>
    <w:rsid w:val="28814A83"/>
    <w:rsid w:val="288E0F4E"/>
    <w:rsid w:val="29187854"/>
    <w:rsid w:val="292D4C60"/>
    <w:rsid w:val="2956273D"/>
    <w:rsid w:val="296B5579"/>
    <w:rsid w:val="2973086F"/>
    <w:rsid w:val="29842A7C"/>
    <w:rsid w:val="2996630C"/>
    <w:rsid w:val="29982084"/>
    <w:rsid w:val="29A21154"/>
    <w:rsid w:val="29B85C4A"/>
    <w:rsid w:val="29B9024C"/>
    <w:rsid w:val="29BD1AEA"/>
    <w:rsid w:val="2A0140CD"/>
    <w:rsid w:val="2A8F792B"/>
    <w:rsid w:val="2ACB2680"/>
    <w:rsid w:val="2ACB6489"/>
    <w:rsid w:val="2AE61515"/>
    <w:rsid w:val="2AE8528D"/>
    <w:rsid w:val="2AEB08D9"/>
    <w:rsid w:val="2B1B4372"/>
    <w:rsid w:val="2B33475A"/>
    <w:rsid w:val="2B475A91"/>
    <w:rsid w:val="2B934E62"/>
    <w:rsid w:val="2B970FCF"/>
    <w:rsid w:val="2B9E32FA"/>
    <w:rsid w:val="2BC279B4"/>
    <w:rsid w:val="2BC5112A"/>
    <w:rsid w:val="2BFF63EA"/>
    <w:rsid w:val="2C395544"/>
    <w:rsid w:val="2C5030EA"/>
    <w:rsid w:val="2C923702"/>
    <w:rsid w:val="2C9A25B7"/>
    <w:rsid w:val="2CB73169"/>
    <w:rsid w:val="2D0451F9"/>
    <w:rsid w:val="2D0642D6"/>
    <w:rsid w:val="2D4D587B"/>
    <w:rsid w:val="2D6A1F89"/>
    <w:rsid w:val="2D9214E0"/>
    <w:rsid w:val="2DB1273B"/>
    <w:rsid w:val="2DCF003E"/>
    <w:rsid w:val="2E0917A2"/>
    <w:rsid w:val="2E132CAC"/>
    <w:rsid w:val="2E456552"/>
    <w:rsid w:val="2E4E47E9"/>
    <w:rsid w:val="2E6966E5"/>
    <w:rsid w:val="2E933DFC"/>
    <w:rsid w:val="2EFC4E63"/>
    <w:rsid w:val="2F193C67"/>
    <w:rsid w:val="2F222046"/>
    <w:rsid w:val="2F324D29"/>
    <w:rsid w:val="2F4862FA"/>
    <w:rsid w:val="2F7365B4"/>
    <w:rsid w:val="2F805A94"/>
    <w:rsid w:val="2F996B56"/>
    <w:rsid w:val="2FAC5040"/>
    <w:rsid w:val="2FB247A4"/>
    <w:rsid w:val="2FBB6ACC"/>
    <w:rsid w:val="2FD04090"/>
    <w:rsid w:val="305956BF"/>
    <w:rsid w:val="30B5176D"/>
    <w:rsid w:val="30C65728"/>
    <w:rsid w:val="30CC6AB7"/>
    <w:rsid w:val="30D00355"/>
    <w:rsid w:val="30DB6CFA"/>
    <w:rsid w:val="30DD2A72"/>
    <w:rsid w:val="30E1509C"/>
    <w:rsid w:val="30E62834"/>
    <w:rsid w:val="31061FBA"/>
    <w:rsid w:val="31614F93"/>
    <w:rsid w:val="31813D45"/>
    <w:rsid w:val="318949A1"/>
    <w:rsid w:val="31A43590"/>
    <w:rsid w:val="31CB6D6E"/>
    <w:rsid w:val="3212446A"/>
    <w:rsid w:val="32702945"/>
    <w:rsid w:val="327F64D7"/>
    <w:rsid w:val="32877139"/>
    <w:rsid w:val="32A001FB"/>
    <w:rsid w:val="32D22AAA"/>
    <w:rsid w:val="32D80A18"/>
    <w:rsid w:val="32D83E39"/>
    <w:rsid w:val="32ED05B6"/>
    <w:rsid w:val="330F056E"/>
    <w:rsid w:val="33115EF0"/>
    <w:rsid w:val="33467A14"/>
    <w:rsid w:val="334E793E"/>
    <w:rsid w:val="3353526D"/>
    <w:rsid w:val="33541711"/>
    <w:rsid w:val="33590AD6"/>
    <w:rsid w:val="335C6818"/>
    <w:rsid w:val="337C6572"/>
    <w:rsid w:val="33C87A09"/>
    <w:rsid w:val="33D85FFE"/>
    <w:rsid w:val="33ED56C2"/>
    <w:rsid w:val="342C7F98"/>
    <w:rsid w:val="343E5F1E"/>
    <w:rsid w:val="344C4197"/>
    <w:rsid w:val="345E76B1"/>
    <w:rsid w:val="34713BFD"/>
    <w:rsid w:val="348A1163"/>
    <w:rsid w:val="350031D3"/>
    <w:rsid w:val="353F5AA9"/>
    <w:rsid w:val="35410BA6"/>
    <w:rsid w:val="35C97A69"/>
    <w:rsid w:val="360C62D3"/>
    <w:rsid w:val="36160F00"/>
    <w:rsid w:val="3659703F"/>
    <w:rsid w:val="36716824"/>
    <w:rsid w:val="36955821"/>
    <w:rsid w:val="36C62FBA"/>
    <w:rsid w:val="36CA1CEB"/>
    <w:rsid w:val="36D503EC"/>
    <w:rsid w:val="36D913FC"/>
    <w:rsid w:val="36E7289C"/>
    <w:rsid w:val="37003711"/>
    <w:rsid w:val="37023232"/>
    <w:rsid w:val="372B09DB"/>
    <w:rsid w:val="376E7BF5"/>
    <w:rsid w:val="37AC1BBE"/>
    <w:rsid w:val="37D4739F"/>
    <w:rsid w:val="380B7797"/>
    <w:rsid w:val="380F4E72"/>
    <w:rsid w:val="38342CCA"/>
    <w:rsid w:val="38384D04"/>
    <w:rsid w:val="384A4E91"/>
    <w:rsid w:val="38561A88"/>
    <w:rsid w:val="385B0E4C"/>
    <w:rsid w:val="386817BB"/>
    <w:rsid w:val="389C3213"/>
    <w:rsid w:val="389E780D"/>
    <w:rsid w:val="38B22A36"/>
    <w:rsid w:val="38D02233"/>
    <w:rsid w:val="38E56968"/>
    <w:rsid w:val="38E8321F"/>
    <w:rsid w:val="38F972B9"/>
    <w:rsid w:val="38FE5C7B"/>
    <w:rsid w:val="39101C57"/>
    <w:rsid w:val="392042CD"/>
    <w:rsid w:val="39276F80"/>
    <w:rsid w:val="396B1563"/>
    <w:rsid w:val="39893797"/>
    <w:rsid w:val="39B14AF6"/>
    <w:rsid w:val="39C11183"/>
    <w:rsid w:val="39C66799"/>
    <w:rsid w:val="39E84962"/>
    <w:rsid w:val="3A064F18"/>
    <w:rsid w:val="3A52627F"/>
    <w:rsid w:val="3AB56613"/>
    <w:rsid w:val="3AB605BC"/>
    <w:rsid w:val="3AF92B9E"/>
    <w:rsid w:val="3AFD443D"/>
    <w:rsid w:val="3B07350D"/>
    <w:rsid w:val="3B0752BB"/>
    <w:rsid w:val="3B0F4170"/>
    <w:rsid w:val="3B15271E"/>
    <w:rsid w:val="3B385475"/>
    <w:rsid w:val="3B677B08"/>
    <w:rsid w:val="3B7A229E"/>
    <w:rsid w:val="3B8763FC"/>
    <w:rsid w:val="3BB30F9F"/>
    <w:rsid w:val="3BDC6748"/>
    <w:rsid w:val="3BEB698B"/>
    <w:rsid w:val="3BF13876"/>
    <w:rsid w:val="3C25444D"/>
    <w:rsid w:val="3C26480B"/>
    <w:rsid w:val="3C544530"/>
    <w:rsid w:val="3C715BFC"/>
    <w:rsid w:val="3C750D8E"/>
    <w:rsid w:val="3C8A61A4"/>
    <w:rsid w:val="3CA87892"/>
    <w:rsid w:val="3CBA5DA4"/>
    <w:rsid w:val="3CD62AAA"/>
    <w:rsid w:val="3CFC24D2"/>
    <w:rsid w:val="3D121CF5"/>
    <w:rsid w:val="3D1912D6"/>
    <w:rsid w:val="3D734E6A"/>
    <w:rsid w:val="3DA9265A"/>
    <w:rsid w:val="3DC42B5C"/>
    <w:rsid w:val="3DD07BE6"/>
    <w:rsid w:val="3DDA2813"/>
    <w:rsid w:val="3DDD2303"/>
    <w:rsid w:val="3E396BE6"/>
    <w:rsid w:val="3E4E644A"/>
    <w:rsid w:val="3E9A6446"/>
    <w:rsid w:val="3E9C21BE"/>
    <w:rsid w:val="3EC84125"/>
    <w:rsid w:val="3ECD2378"/>
    <w:rsid w:val="3EE741CF"/>
    <w:rsid w:val="3EE94778"/>
    <w:rsid w:val="3F256F54"/>
    <w:rsid w:val="3F593C0C"/>
    <w:rsid w:val="3F7456A5"/>
    <w:rsid w:val="3F852C53"/>
    <w:rsid w:val="3FAC6431"/>
    <w:rsid w:val="3FCF4A8E"/>
    <w:rsid w:val="3FF51B86"/>
    <w:rsid w:val="402204A1"/>
    <w:rsid w:val="402A2BCA"/>
    <w:rsid w:val="40384169"/>
    <w:rsid w:val="40385F17"/>
    <w:rsid w:val="40487D7A"/>
    <w:rsid w:val="404E74E8"/>
    <w:rsid w:val="406823F1"/>
    <w:rsid w:val="408E5B37"/>
    <w:rsid w:val="40C477AB"/>
    <w:rsid w:val="40D75730"/>
    <w:rsid w:val="40F40090"/>
    <w:rsid w:val="4185518C"/>
    <w:rsid w:val="41A76EB0"/>
    <w:rsid w:val="41AF70B2"/>
    <w:rsid w:val="41EF2605"/>
    <w:rsid w:val="421D53C4"/>
    <w:rsid w:val="425132C0"/>
    <w:rsid w:val="427B20EB"/>
    <w:rsid w:val="42AD3214"/>
    <w:rsid w:val="42D157F3"/>
    <w:rsid w:val="42F00D2B"/>
    <w:rsid w:val="42F12FC7"/>
    <w:rsid w:val="43123DB8"/>
    <w:rsid w:val="43324E9F"/>
    <w:rsid w:val="433D6D73"/>
    <w:rsid w:val="434A2406"/>
    <w:rsid w:val="438415F9"/>
    <w:rsid w:val="43A51B15"/>
    <w:rsid w:val="43F839F3"/>
    <w:rsid w:val="4427077C"/>
    <w:rsid w:val="444B446B"/>
    <w:rsid w:val="44564BBE"/>
    <w:rsid w:val="446B0669"/>
    <w:rsid w:val="447D3E73"/>
    <w:rsid w:val="447D63C6"/>
    <w:rsid w:val="44A330D3"/>
    <w:rsid w:val="44B82D18"/>
    <w:rsid w:val="44D426B2"/>
    <w:rsid w:val="44DC5472"/>
    <w:rsid w:val="45140D01"/>
    <w:rsid w:val="45322F35"/>
    <w:rsid w:val="453F100C"/>
    <w:rsid w:val="4545710C"/>
    <w:rsid w:val="457E261E"/>
    <w:rsid w:val="45C310AE"/>
    <w:rsid w:val="45F91CA4"/>
    <w:rsid w:val="46083838"/>
    <w:rsid w:val="460A5784"/>
    <w:rsid w:val="46137211"/>
    <w:rsid w:val="4614088C"/>
    <w:rsid w:val="461A5125"/>
    <w:rsid w:val="46731A57"/>
    <w:rsid w:val="46833448"/>
    <w:rsid w:val="468477C0"/>
    <w:rsid w:val="468E71DB"/>
    <w:rsid w:val="46935C55"/>
    <w:rsid w:val="46C95B1B"/>
    <w:rsid w:val="46EE0206"/>
    <w:rsid w:val="46FF778E"/>
    <w:rsid w:val="471E558B"/>
    <w:rsid w:val="47637D1D"/>
    <w:rsid w:val="47807760"/>
    <w:rsid w:val="478101A3"/>
    <w:rsid w:val="47AB6C3D"/>
    <w:rsid w:val="47B02837"/>
    <w:rsid w:val="47D2232A"/>
    <w:rsid w:val="47D8081E"/>
    <w:rsid w:val="47DB3D58"/>
    <w:rsid w:val="47F92430"/>
    <w:rsid w:val="48111527"/>
    <w:rsid w:val="48396CD0"/>
    <w:rsid w:val="485315FA"/>
    <w:rsid w:val="48873598"/>
    <w:rsid w:val="48B9571B"/>
    <w:rsid w:val="48C60564"/>
    <w:rsid w:val="48DB18C5"/>
    <w:rsid w:val="48E704DA"/>
    <w:rsid w:val="48EE7ABB"/>
    <w:rsid w:val="49D2118A"/>
    <w:rsid w:val="4A02381D"/>
    <w:rsid w:val="4A272793"/>
    <w:rsid w:val="4A273284"/>
    <w:rsid w:val="4A435BE4"/>
    <w:rsid w:val="4A791606"/>
    <w:rsid w:val="4A963F66"/>
    <w:rsid w:val="4AB27CAF"/>
    <w:rsid w:val="4AC00FE3"/>
    <w:rsid w:val="4AEC627C"/>
    <w:rsid w:val="4AEE5B50"/>
    <w:rsid w:val="4B0E61F2"/>
    <w:rsid w:val="4B17489C"/>
    <w:rsid w:val="4B571947"/>
    <w:rsid w:val="4B7A73E4"/>
    <w:rsid w:val="4BAE52DF"/>
    <w:rsid w:val="4BC451B5"/>
    <w:rsid w:val="4BCD5DC9"/>
    <w:rsid w:val="4C121D12"/>
    <w:rsid w:val="4C285091"/>
    <w:rsid w:val="4C3C1D45"/>
    <w:rsid w:val="4C6A38FC"/>
    <w:rsid w:val="4C6F3130"/>
    <w:rsid w:val="4C9B5316"/>
    <w:rsid w:val="4C9E0FCC"/>
    <w:rsid w:val="4CA46E0E"/>
    <w:rsid w:val="4CCC3C6F"/>
    <w:rsid w:val="4CE4545C"/>
    <w:rsid w:val="4CE4720A"/>
    <w:rsid w:val="4CEA67EB"/>
    <w:rsid w:val="4CFC2EE3"/>
    <w:rsid w:val="4D094EC3"/>
    <w:rsid w:val="4D3565F4"/>
    <w:rsid w:val="4D5B0EA9"/>
    <w:rsid w:val="4D994499"/>
    <w:rsid w:val="4D9F75D5"/>
    <w:rsid w:val="4DF94F37"/>
    <w:rsid w:val="4E01203E"/>
    <w:rsid w:val="4E0F02B7"/>
    <w:rsid w:val="4E3162AA"/>
    <w:rsid w:val="4E485577"/>
    <w:rsid w:val="4E4B5067"/>
    <w:rsid w:val="4E552D97"/>
    <w:rsid w:val="4E61488B"/>
    <w:rsid w:val="4E65467D"/>
    <w:rsid w:val="4E9407BC"/>
    <w:rsid w:val="4EC83D9D"/>
    <w:rsid w:val="4F0A0A7E"/>
    <w:rsid w:val="4F310701"/>
    <w:rsid w:val="4F626B0C"/>
    <w:rsid w:val="4F642884"/>
    <w:rsid w:val="4FA233AD"/>
    <w:rsid w:val="4FB01626"/>
    <w:rsid w:val="4FE90FDC"/>
    <w:rsid w:val="50243DC2"/>
    <w:rsid w:val="50427A3F"/>
    <w:rsid w:val="504C1022"/>
    <w:rsid w:val="50610B72"/>
    <w:rsid w:val="50625682"/>
    <w:rsid w:val="50722D7F"/>
    <w:rsid w:val="50834F8C"/>
    <w:rsid w:val="50923421"/>
    <w:rsid w:val="50AD3332"/>
    <w:rsid w:val="50E83041"/>
    <w:rsid w:val="50F814D6"/>
    <w:rsid w:val="51015CE6"/>
    <w:rsid w:val="513546BA"/>
    <w:rsid w:val="514F4525"/>
    <w:rsid w:val="51583D23"/>
    <w:rsid w:val="5167040A"/>
    <w:rsid w:val="51CF1D01"/>
    <w:rsid w:val="51DA565B"/>
    <w:rsid w:val="51DB6FA8"/>
    <w:rsid w:val="51F577C4"/>
    <w:rsid w:val="52102850"/>
    <w:rsid w:val="52157E66"/>
    <w:rsid w:val="525E35BB"/>
    <w:rsid w:val="527B5B4C"/>
    <w:rsid w:val="5288688A"/>
    <w:rsid w:val="52943481"/>
    <w:rsid w:val="52A66D10"/>
    <w:rsid w:val="52B61649"/>
    <w:rsid w:val="52D01FDF"/>
    <w:rsid w:val="52FE4DAA"/>
    <w:rsid w:val="531A7FEC"/>
    <w:rsid w:val="531E2D4A"/>
    <w:rsid w:val="538057B3"/>
    <w:rsid w:val="53C71634"/>
    <w:rsid w:val="53D53D51"/>
    <w:rsid w:val="53EF2354"/>
    <w:rsid w:val="54244390"/>
    <w:rsid w:val="54260108"/>
    <w:rsid w:val="545868D9"/>
    <w:rsid w:val="54705828"/>
    <w:rsid w:val="5486329D"/>
    <w:rsid w:val="54B43966"/>
    <w:rsid w:val="54DB5397"/>
    <w:rsid w:val="54FC530D"/>
    <w:rsid w:val="552626FD"/>
    <w:rsid w:val="553E44D1"/>
    <w:rsid w:val="5540005A"/>
    <w:rsid w:val="554B32A8"/>
    <w:rsid w:val="558E755D"/>
    <w:rsid w:val="558F1AEB"/>
    <w:rsid w:val="55CE0A58"/>
    <w:rsid w:val="55EE4C56"/>
    <w:rsid w:val="561938D6"/>
    <w:rsid w:val="5627460C"/>
    <w:rsid w:val="5630526E"/>
    <w:rsid w:val="563244E4"/>
    <w:rsid w:val="565A40BC"/>
    <w:rsid w:val="5672361C"/>
    <w:rsid w:val="568E61DD"/>
    <w:rsid w:val="56951575"/>
    <w:rsid w:val="56A47A0A"/>
    <w:rsid w:val="56C80405"/>
    <w:rsid w:val="56CC66E8"/>
    <w:rsid w:val="56F45AF9"/>
    <w:rsid w:val="57081D47"/>
    <w:rsid w:val="5717469B"/>
    <w:rsid w:val="574D23FA"/>
    <w:rsid w:val="5753390A"/>
    <w:rsid w:val="575651A9"/>
    <w:rsid w:val="5774562F"/>
    <w:rsid w:val="57781C71"/>
    <w:rsid w:val="57AA2DFF"/>
    <w:rsid w:val="57FA3D86"/>
    <w:rsid w:val="58020E8D"/>
    <w:rsid w:val="58095D77"/>
    <w:rsid w:val="58101FC1"/>
    <w:rsid w:val="582F4A9D"/>
    <w:rsid w:val="58382B00"/>
    <w:rsid w:val="584119B5"/>
    <w:rsid w:val="58686145"/>
    <w:rsid w:val="588875E4"/>
    <w:rsid w:val="588B2C30"/>
    <w:rsid w:val="58B84130"/>
    <w:rsid w:val="58C12AF6"/>
    <w:rsid w:val="58D2231F"/>
    <w:rsid w:val="591A3AE7"/>
    <w:rsid w:val="592069FD"/>
    <w:rsid w:val="592E3EB3"/>
    <w:rsid w:val="595219A0"/>
    <w:rsid w:val="598F49A2"/>
    <w:rsid w:val="599365C9"/>
    <w:rsid w:val="59B30827"/>
    <w:rsid w:val="59D86349"/>
    <w:rsid w:val="5A2C21F1"/>
    <w:rsid w:val="5A3B0686"/>
    <w:rsid w:val="5A8B6F17"/>
    <w:rsid w:val="5AA41D2B"/>
    <w:rsid w:val="5AB05C78"/>
    <w:rsid w:val="5AFD7E54"/>
    <w:rsid w:val="5B1A029B"/>
    <w:rsid w:val="5B236096"/>
    <w:rsid w:val="5B352FB6"/>
    <w:rsid w:val="5B3D3F8A"/>
    <w:rsid w:val="5B927597"/>
    <w:rsid w:val="5B94004E"/>
    <w:rsid w:val="5BA67D81"/>
    <w:rsid w:val="5BC61BBC"/>
    <w:rsid w:val="5BF46D3E"/>
    <w:rsid w:val="5C251D7A"/>
    <w:rsid w:val="5C335AB8"/>
    <w:rsid w:val="5C545372"/>
    <w:rsid w:val="5C9347A9"/>
    <w:rsid w:val="5C9A78E6"/>
    <w:rsid w:val="5C9D1184"/>
    <w:rsid w:val="5C9F6F73"/>
    <w:rsid w:val="5CBA14E0"/>
    <w:rsid w:val="5CE341FD"/>
    <w:rsid w:val="5CE935C2"/>
    <w:rsid w:val="5CF27722"/>
    <w:rsid w:val="5D077594"/>
    <w:rsid w:val="5D096D84"/>
    <w:rsid w:val="5D325D70"/>
    <w:rsid w:val="5D683540"/>
    <w:rsid w:val="5D7243BE"/>
    <w:rsid w:val="5D8365CC"/>
    <w:rsid w:val="5DA402F0"/>
    <w:rsid w:val="5DA56BD3"/>
    <w:rsid w:val="5DB83D3A"/>
    <w:rsid w:val="5DC50992"/>
    <w:rsid w:val="5DFF50A0"/>
    <w:rsid w:val="5E0C65C1"/>
    <w:rsid w:val="5E1B6804"/>
    <w:rsid w:val="5E2A4C99"/>
    <w:rsid w:val="5E382896"/>
    <w:rsid w:val="5E5B30A5"/>
    <w:rsid w:val="5E68756F"/>
    <w:rsid w:val="5E79352B"/>
    <w:rsid w:val="5EF552A7"/>
    <w:rsid w:val="5F261904"/>
    <w:rsid w:val="5F4070E6"/>
    <w:rsid w:val="5F57549B"/>
    <w:rsid w:val="5F5C0E82"/>
    <w:rsid w:val="5F645F02"/>
    <w:rsid w:val="5F7C1524"/>
    <w:rsid w:val="5F7C32D2"/>
    <w:rsid w:val="5F816B3B"/>
    <w:rsid w:val="5F8F61EB"/>
    <w:rsid w:val="5FA81FEB"/>
    <w:rsid w:val="5FD27396"/>
    <w:rsid w:val="603E4513"/>
    <w:rsid w:val="60803296"/>
    <w:rsid w:val="6085265B"/>
    <w:rsid w:val="60CC64DC"/>
    <w:rsid w:val="60D67163"/>
    <w:rsid w:val="60E92BEA"/>
    <w:rsid w:val="611E2668"/>
    <w:rsid w:val="6146108D"/>
    <w:rsid w:val="614D2DEA"/>
    <w:rsid w:val="61616C24"/>
    <w:rsid w:val="61646714"/>
    <w:rsid w:val="617701F5"/>
    <w:rsid w:val="61856F4B"/>
    <w:rsid w:val="61972646"/>
    <w:rsid w:val="61B136B8"/>
    <w:rsid w:val="61B74A96"/>
    <w:rsid w:val="61BE5E24"/>
    <w:rsid w:val="61CF694F"/>
    <w:rsid w:val="620C3A58"/>
    <w:rsid w:val="622C7E7F"/>
    <w:rsid w:val="622E2AD0"/>
    <w:rsid w:val="623F1DB9"/>
    <w:rsid w:val="626562A0"/>
    <w:rsid w:val="62782477"/>
    <w:rsid w:val="627E55B4"/>
    <w:rsid w:val="62B62F9F"/>
    <w:rsid w:val="62BB6808"/>
    <w:rsid w:val="62C55BF8"/>
    <w:rsid w:val="62EC2B8B"/>
    <w:rsid w:val="634467FD"/>
    <w:rsid w:val="634634F5"/>
    <w:rsid w:val="6347009B"/>
    <w:rsid w:val="63495BC1"/>
    <w:rsid w:val="636C3207"/>
    <w:rsid w:val="637A3FCD"/>
    <w:rsid w:val="637F15E3"/>
    <w:rsid w:val="63A5145A"/>
    <w:rsid w:val="63AD0293"/>
    <w:rsid w:val="63BC2837"/>
    <w:rsid w:val="63EB4EB9"/>
    <w:rsid w:val="63F26259"/>
    <w:rsid w:val="63F83144"/>
    <w:rsid w:val="64260D73"/>
    <w:rsid w:val="64371EBE"/>
    <w:rsid w:val="643E4FFA"/>
    <w:rsid w:val="64430863"/>
    <w:rsid w:val="6477050C"/>
    <w:rsid w:val="648D1ADE"/>
    <w:rsid w:val="64AE5DCB"/>
    <w:rsid w:val="65085608"/>
    <w:rsid w:val="65263B2D"/>
    <w:rsid w:val="65420B1A"/>
    <w:rsid w:val="654A364D"/>
    <w:rsid w:val="656942F9"/>
    <w:rsid w:val="65835215"/>
    <w:rsid w:val="658F27D5"/>
    <w:rsid w:val="65CD7DAB"/>
    <w:rsid w:val="65F06E06"/>
    <w:rsid w:val="65F8742B"/>
    <w:rsid w:val="66065FEC"/>
    <w:rsid w:val="6615622F"/>
    <w:rsid w:val="66331DAC"/>
    <w:rsid w:val="66442670"/>
    <w:rsid w:val="664A4D4B"/>
    <w:rsid w:val="665E1984"/>
    <w:rsid w:val="668F04BA"/>
    <w:rsid w:val="66A75FE0"/>
    <w:rsid w:val="66CA7019"/>
    <w:rsid w:val="66DA46D0"/>
    <w:rsid w:val="66E57009"/>
    <w:rsid w:val="66F463D0"/>
    <w:rsid w:val="67193AFD"/>
    <w:rsid w:val="67424E02"/>
    <w:rsid w:val="675039C2"/>
    <w:rsid w:val="675149C1"/>
    <w:rsid w:val="675B5EC3"/>
    <w:rsid w:val="67694A84"/>
    <w:rsid w:val="676C00D0"/>
    <w:rsid w:val="678D6B8D"/>
    <w:rsid w:val="67987117"/>
    <w:rsid w:val="67EC1211"/>
    <w:rsid w:val="681C38A5"/>
    <w:rsid w:val="683D381B"/>
    <w:rsid w:val="685748DD"/>
    <w:rsid w:val="688B0A2A"/>
    <w:rsid w:val="68A8338A"/>
    <w:rsid w:val="68DF7438"/>
    <w:rsid w:val="69113955"/>
    <w:rsid w:val="691427CE"/>
    <w:rsid w:val="691750A1"/>
    <w:rsid w:val="693410C2"/>
    <w:rsid w:val="69431305"/>
    <w:rsid w:val="695F0580"/>
    <w:rsid w:val="697D4817"/>
    <w:rsid w:val="698A2A90"/>
    <w:rsid w:val="69903FC9"/>
    <w:rsid w:val="699B2EEF"/>
    <w:rsid w:val="69BA1345"/>
    <w:rsid w:val="69D157A9"/>
    <w:rsid w:val="69E8568C"/>
    <w:rsid w:val="6A0B0320"/>
    <w:rsid w:val="6A180EBF"/>
    <w:rsid w:val="6A420416"/>
    <w:rsid w:val="6A4E52F8"/>
    <w:rsid w:val="6A54795C"/>
    <w:rsid w:val="6A557B61"/>
    <w:rsid w:val="6A5F5CCB"/>
    <w:rsid w:val="6A6B28C1"/>
    <w:rsid w:val="6A6B466F"/>
    <w:rsid w:val="6AFF7F45"/>
    <w:rsid w:val="6B1D7FFE"/>
    <w:rsid w:val="6B282560"/>
    <w:rsid w:val="6B361121"/>
    <w:rsid w:val="6B3929BF"/>
    <w:rsid w:val="6B59096C"/>
    <w:rsid w:val="6B5C6DE7"/>
    <w:rsid w:val="6B67752D"/>
    <w:rsid w:val="6B7632CC"/>
    <w:rsid w:val="6BB81B36"/>
    <w:rsid w:val="6BE51D9B"/>
    <w:rsid w:val="6C021003"/>
    <w:rsid w:val="6C0905E4"/>
    <w:rsid w:val="6C7A3290"/>
    <w:rsid w:val="6C953C26"/>
    <w:rsid w:val="6C9A4035"/>
    <w:rsid w:val="6CB5251A"/>
    <w:rsid w:val="6CD7423E"/>
    <w:rsid w:val="6CFB0D6C"/>
    <w:rsid w:val="6D0A2E73"/>
    <w:rsid w:val="6D125276"/>
    <w:rsid w:val="6D1C0E5C"/>
    <w:rsid w:val="6D1F7993"/>
    <w:rsid w:val="6D3557F7"/>
    <w:rsid w:val="6D7B106D"/>
    <w:rsid w:val="6D8855EB"/>
    <w:rsid w:val="6D8C17DB"/>
    <w:rsid w:val="6D9A2BD9"/>
    <w:rsid w:val="6DA5433C"/>
    <w:rsid w:val="6DD62748"/>
    <w:rsid w:val="6DDB5FB0"/>
    <w:rsid w:val="6DDE33AA"/>
    <w:rsid w:val="6E0C310C"/>
    <w:rsid w:val="6E13574A"/>
    <w:rsid w:val="6E2E60E0"/>
    <w:rsid w:val="6E6B10E2"/>
    <w:rsid w:val="6E8B1784"/>
    <w:rsid w:val="6EA12D56"/>
    <w:rsid w:val="6EB011EB"/>
    <w:rsid w:val="6EB03D33"/>
    <w:rsid w:val="6EB20ABF"/>
    <w:rsid w:val="6EB33282"/>
    <w:rsid w:val="6EB72579"/>
    <w:rsid w:val="6EC72090"/>
    <w:rsid w:val="6F347726"/>
    <w:rsid w:val="6F396C7C"/>
    <w:rsid w:val="6F571666"/>
    <w:rsid w:val="6F583B84"/>
    <w:rsid w:val="6F5B73A8"/>
    <w:rsid w:val="6F6F075E"/>
    <w:rsid w:val="6F7B5F2D"/>
    <w:rsid w:val="6F9D176F"/>
    <w:rsid w:val="6FA30BE8"/>
    <w:rsid w:val="6FC17448"/>
    <w:rsid w:val="6FCA1E38"/>
    <w:rsid w:val="6FF869A5"/>
    <w:rsid w:val="703D085C"/>
    <w:rsid w:val="705D4A5A"/>
    <w:rsid w:val="706C1141"/>
    <w:rsid w:val="70A628A5"/>
    <w:rsid w:val="70A73F27"/>
    <w:rsid w:val="70EC5DDE"/>
    <w:rsid w:val="70FF1FB5"/>
    <w:rsid w:val="710F044A"/>
    <w:rsid w:val="716167CC"/>
    <w:rsid w:val="71804EA4"/>
    <w:rsid w:val="719E717C"/>
    <w:rsid w:val="719E770A"/>
    <w:rsid w:val="71AF12E6"/>
    <w:rsid w:val="71BA5FBA"/>
    <w:rsid w:val="71C8684B"/>
    <w:rsid w:val="71CD55A5"/>
    <w:rsid w:val="71CF1988"/>
    <w:rsid w:val="71DB657E"/>
    <w:rsid w:val="720930EC"/>
    <w:rsid w:val="72404633"/>
    <w:rsid w:val="726227FC"/>
    <w:rsid w:val="72624542"/>
    <w:rsid w:val="727A7B45"/>
    <w:rsid w:val="72BB3CBA"/>
    <w:rsid w:val="72BF7C4E"/>
    <w:rsid w:val="72D32C92"/>
    <w:rsid w:val="72D86D9B"/>
    <w:rsid w:val="72EE22E1"/>
    <w:rsid w:val="72FC1335"/>
    <w:rsid w:val="732301DD"/>
    <w:rsid w:val="732950C8"/>
    <w:rsid w:val="73357F10"/>
    <w:rsid w:val="734E2D80"/>
    <w:rsid w:val="73830C7C"/>
    <w:rsid w:val="739C7F8F"/>
    <w:rsid w:val="74404DBF"/>
    <w:rsid w:val="74545933"/>
    <w:rsid w:val="745B39A7"/>
    <w:rsid w:val="74900F07"/>
    <w:rsid w:val="74933140"/>
    <w:rsid w:val="74B12793"/>
    <w:rsid w:val="74D774D1"/>
    <w:rsid w:val="74D95FC0"/>
    <w:rsid w:val="74FA31C0"/>
    <w:rsid w:val="750E0A19"/>
    <w:rsid w:val="75134281"/>
    <w:rsid w:val="7530273D"/>
    <w:rsid w:val="753F4763"/>
    <w:rsid w:val="75524DAA"/>
    <w:rsid w:val="75BF1D13"/>
    <w:rsid w:val="762A5E0D"/>
    <w:rsid w:val="762B1157"/>
    <w:rsid w:val="763E0EED"/>
    <w:rsid w:val="76932AA1"/>
    <w:rsid w:val="76944F4E"/>
    <w:rsid w:val="769B452E"/>
    <w:rsid w:val="76B24594"/>
    <w:rsid w:val="76B33626"/>
    <w:rsid w:val="76C75323"/>
    <w:rsid w:val="76CC75E6"/>
    <w:rsid w:val="76E25CB9"/>
    <w:rsid w:val="77057BFA"/>
    <w:rsid w:val="775E5C88"/>
    <w:rsid w:val="7772528F"/>
    <w:rsid w:val="777456D8"/>
    <w:rsid w:val="77763CAD"/>
    <w:rsid w:val="77894387"/>
    <w:rsid w:val="77972F48"/>
    <w:rsid w:val="77C4367F"/>
    <w:rsid w:val="77CB0E43"/>
    <w:rsid w:val="77D777E8"/>
    <w:rsid w:val="77E617D9"/>
    <w:rsid w:val="78006D3F"/>
    <w:rsid w:val="7803238B"/>
    <w:rsid w:val="78175E36"/>
    <w:rsid w:val="781F0214"/>
    <w:rsid w:val="783555F4"/>
    <w:rsid w:val="783655E8"/>
    <w:rsid w:val="78450BF6"/>
    <w:rsid w:val="787B63C5"/>
    <w:rsid w:val="78972AD3"/>
    <w:rsid w:val="78CF48B8"/>
    <w:rsid w:val="78D57876"/>
    <w:rsid w:val="78E0447A"/>
    <w:rsid w:val="795F5CE7"/>
    <w:rsid w:val="79BD37A5"/>
    <w:rsid w:val="7A1B7E60"/>
    <w:rsid w:val="7A7757CA"/>
    <w:rsid w:val="7A8A0B42"/>
    <w:rsid w:val="7AA53BCD"/>
    <w:rsid w:val="7AE30252"/>
    <w:rsid w:val="7B130366"/>
    <w:rsid w:val="7B2A6FC9"/>
    <w:rsid w:val="7B354F51"/>
    <w:rsid w:val="7B3B0675"/>
    <w:rsid w:val="7B42141C"/>
    <w:rsid w:val="7B7B048A"/>
    <w:rsid w:val="7B9671CE"/>
    <w:rsid w:val="7BB06386"/>
    <w:rsid w:val="7BB67714"/>
    <w:rsid w:val="7BCB31C0"/>
    <w:rsid w:val="7BF94115"/>
    <w:rsid w:val="7C1B1BFF"/>
    <w:rsid w:val="7C601F2C"/>
    <w:rsid w:val="7C782C21"/>
    <w:rsid w:val="7C8236CE"/>
    <w:rsid w:val="7C8B6DF3"/>
    <w:rsid w:val="7C8F0691"/>
    <w:rsid w:val="7C9537CE"/>
    <w:rsid w:val="7CC77E2B"/>
    <w:rsid w:val="7CED7166"/>
    <w:rsid w:val="7D1666BD"/>
    <w:rsid w:val="7D1F193A"/>
    <w:rsid w:val="7D2E7EAA"/>
    <w:rsid w:val="7D691E33"/>
    <w:rsid w:val="7D8F372A"/>
    <w:rsid w:val="7D9A72EE"/>
    <w:rsid w:val="7DA55C93"/>
    <w:rsid w:val="7DE844FD"/>
    <w:rsid w:val="7DF6029C"/>
    <w:rsid w:val="7DFC1D56"/>
    <w:rsid w:val="7E1846B6"/>
    <w:rsid w:val="7E235535"/>
    <w:rsid w:val="7E2D7368"/>
    <w:rsid w:val="7E494BA3"/>
    <w:rsid w:val="7E6B5954"/>
    <w:rsid w:val="7E71728C"/>
    <w:rsid w:val="7E7A2AE4"/>
    <w:rsid w:val="7EC44585"/>
    <w:rsid w:val="7EE1660B"/>
    <w:rsid w:val="7F0D7F93"/>
    <w:rsid w:val="7F1419C3"/>
    <w:rsid w:val="7F2E59FC"/>
    <w:rsid w:val="7F3D7202"/>
    <w:rsid w:val="7F4C286A"/>
    <w:rsid w:val="7F5E745D"/>
    <w:rsid w:val="7F625BE9"/>
    <w:rsid w:val="7F646BC3"/>
    <w:rsid w:val="7F6A2CF0"/>
    <w:rsid w:val="7F743B6E"/>
    <w:rsid w:val="7FA02BB5"/>
    <w:rsid w:val="7FA72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41"/>
    <w:autoRedefine/>
    <w:qFormat/>
    <w:uiPriority w:val="99"/>
    <w:pPr>
      <w:keepNext/>
      <w:keepLines/>
      <w:widowControl w:val="0"/>
      <w:spacing w:before="340" w:after="330" w:line="576" w:lineRule="auto"/>
      <w:textAlignment w:val="auto"/>
      <w:outlineLvl w:val="0"/>
    </w:pPr>
    <w:rPr>
      <w:b/>
      <w:bCs/>
      <w:kern w:val="44"/>
      <w:sz w:val="44"/>
      <w:szCs w:val="44"/>
    </w:rPr>
  </w:style>
  <w:style w:type="paragraph" w:styleId="4">
    <w:name w:val="heading 3"/>
    <w:basedOn w:val="1"/>
    <w:next w:val="1"/>
    <w:link w:val="42"/>
    <w:autoRedefine/>
    <w:qFormat/>
    <w:uiPriority w:val="99"/>
    <w:pPr>
      <w:keepNext/>
      <w:keepLines/>
      <w:spacing w:before="260" w:after="260" w:line="416" w:lineRule="atLeast"/>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adjustRightInd w:val="0"/>
      <w:snapToGrid w:val="0"/>
      <w:spacing w:after="200" w:line="400" w:lineRule="exact"/>
      <w:jc w:val="left"/>
      <w:textAlignment w:val="auto"/>
    </w:pPr>
    <w:rPr>
      <w:rFonts w:ascii="Tahoma" w:hAnsi="Tahoma" w:eastAsia="微软雅黑"/>
      <w:color w:val="auto"/>
      <w:sz w:val="24"/>
      <w:szCs w:val="22"/>
    </w:rPr>
  </w:style>
  <w:style w:type="paragraph" w:styleId="5">
    <w:name w:val="annotation text"/>
    <w:basedOn w:val="1"/>
    <w:link w:val="83"/>
    <w:autoRedefine/>
    <w:semiHidden/>
    <w:unhideWhenUsed/>
    <w:qFormat/>
    <w:locked/>
    <w:uiPriority w:val="99"/>
    <w:pPr>
      <w:jc w:val="left"/>
    </w:pPr>
  </w:style>
  <w:style w:type="paragraph" w:styleId="6">
    <w:name w:val="Body Text"/>
    <w:basedOn w:val="1"/>
    <w:next w:val="1"/>
    <w:link w:val="76"/>
    <w:autoRedefine/>
    <w:semiHidden/>
    <w:unhideWhenUsed/>
    <w:qFormat/>
    <w:locked/>
    <w:uiPriority w:val="99"/>
    <w:pPr>
      <w:spacing w:after="120"/>
    </w:pPr>
  </w:style>
  <w:style w:type="paragraph" w:styleId="7">
    <w:name w:val="Body Text Indent"/>
    <w:basedOn w:val="1"/>
    <w:link w:val="43"/>
    <w:autoRedefine/>
    <w:qFormat/>
    <w:uiPriority w:val="99"/>
    <w:pPr>
      <w:widowControl w:val="0"/>
      <w:snapToGrid w:val="0"/>
      <w:spacing w:before="283" w:line="560" w:lineRule="exact"/>
      <w:ind w:firstLine="510"/>
    </w:pPr>
    <w:rPr>
      <w:sz w:val="20"/>
    </w:rPr>
  </w:style>
  <w:style w:type="paragraph" w:styleId="8">
    <w:name w:val="List 2"/>
    <w:basedOn w:val="1"/>
    <w:autoRedefine/>
    <w:qFormat/>
    <w:locked/>
    <w:uiPriority w:val="0"/>
    <w:pPr>
      <w:ind w:left="100" w:leftChars="200" w:hanging="200" w:hangingChars="200"/>
    </w:pPr>
  </w:style>
  <w:style w:type="paragraph" w:styleId="9">
    <w:name w:val="Plain Text"/>
    <w:basedOn w:val="1"/>
    <w:link w:val="44"/>
    <w:autoRedefine/>
    <w:qFormat/>
    <w:uiPriority w:val="99"/>
    <w:pPr>
      <w:widowControl w:val="0"/>
      <w:spacing w:line="240" w:lineRule="auto"/>
      <w:textAlignment w:val="auto"/>
    </w:pPr>
    <w:rPr>
      <w:rFonts w:ascii="宋体" w:hAnsi="Courier New"/>
      <w:color w:val="auto"/>
      <w:kern w:val="2"/>
    </w:rPr>
  </w:style>
  <w:style w:type="paragraph" w:styleId="10">
    <w:name w:val="Date"/>
    <w:basedOn w:val="1"/>
    <w:next w:val="1"/>
    <w:link w:val="45"/>
    <w:autoRedefine/>
    <w:qFormat/>
    <w:uiPriority w:val="99"/>
    <w:pPr>
      <w:ind w:left="100" w:leftChars="2500"/>
    </w:pPr>
  </w:style>
  <w:style w:type="paragraph" w:styleId="11">
    <w:name w:val="Balloon Text"/>
    <w:basedOn w:val="1"/>
    <w:link w:val="46"/>
    <w:autoRedefine/>
    <w:qFormat/>
    <w:uiPriority w:val="99"/>
    <w:pPr>
      <w:spacing w:line="240" w:lineRule="auto"/>
    </w:pPr>
    <w:rPr>
      <w:sz w:val="18"/>
      <w:szCs w:val="18"/>
    </w:rPr>
  </w:style>
  <w:style w:type="paragraph" w:styleId="12">
    <w:name w:val="footer"/>
    <w:basedOn w:val="1"/>
    <w:link w:val="47"/>
    <w:autoRedefine/>
    <w:qFormat/>
    <w:uiPriority w:val="0"/>
    <w:pPr>
      <w:tabs>
        <w:tab w:val="center" w:pos="4153"/>
        <w:tab w:val="right" w:pos="8306"/>
      </w:tabs>
      <w:snapToGrid w:val="0"/>
      <w:spacing w:line="240" w:lineRule="atLeast"/>
      <w:jc w:val="left"/>
    </w:pPr>
    <w:rPr>
      <w:sz w:val="18"/>
      <w:szCs w:val="18"/>
    </w:rPr>
  </w:style>
  <w:style w:type="paragraph" w:styleId="13">
    <w:name w:val="envelope return"/>
    <w:basedOn w:val="1"/>
    <w:autoRedefine/>
    <w:qFormat/>
    <w:locked/>
    <w:uiPriority w:val="0"/>
    <w:pPr>
      <w:snapToGrid w:val="0"/>
    </w:pPr>
    <w:rPr>
      <w:rFonts w:ascii="Arial" w:hAnsi="Arial" w:cs="Arial"/>
    </w:rPr>
  </w:style>
  <w:style w:type="paragraph" w:styleId="14">
    <w:name w:val="header"/>
    <w:basedOn w:val="1"/>
    <w:link w:val="48"/>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autoRedefine/>
    <w:qFormat/>
    <w:uiPriority w:val="39"/>
  </w:style>
  <w:style w:type="paragraph" w:styleId="16">
    <w:name w:val="toc 2"/>
    <w:basedOn w:val="1"/>
    <w:next w:val="1"/>
    <w:autoRedefine/>
    <w:qFormat/>
    <w:uiPriority w:val="39"/>
    <w:pPr>
      <w:ind w:left="420" w:leftChars="200"/>
    </w:pPr>
  </w:style>
  <w:style w:type="paragraph" w:styleId="17">
    <w:name w:val="Body Text 2"/>
    <w:basedOn w:val="1"/>
    <w:link w:val="49"/>
    <w:autoRedefine/>
    <w:qFormat/>
    <w:uiPriority w:val="99"/>
    <w:pPr>
      <w:spacing w:after="120" w:line="480" w:lineRule="auto"/>
    </w:pPr>
    <w:rPr>
      <w:sz w:val="20"/>
    </w:rPr>
  </w:style>
  <w:style w:type="paragraph" w:styleId="18">
    <w:name w:val="Normal (Web)"/>
    <w:basedOn w:val="1"/>
    <w:autoRedefine/>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9">
    <w:name w:val="annotation subject"/>
    <w:basedOn w:val="5"/>
    <w:next w:val="5"/>
    <w:link w:val="84"/>
    <w:autoRedefine/>
    <w:semiHidden/>
    <w:unhideWhenUsed/>
    <w:qFormat/>
    <w:locked/>
    <w:uiPriority w:val="99"/>
    <w:rPr>
      <w:b/>
      <w:bCs/>
    </w:rPr>
  </w:style>
  <w:style w:type="paragraph" w:styleId="20">
    <w:name w:val="Body Text First Indent"/>
    <w:basedOn w:val="6"/>
    <w:next w:val="21"/>
    <w:link w:val="77"/>
    <w:autoRedefine/>
    <w:semiHidden/>
    <w:unhideWhenUsed/>
    <w:qFormat/>
    <w:locked/>
    <w:uiPriority w:val="99"/>
    <w:pPr>
      <w:ind w:firstLine="420" w:firstLineChars="100"/>
    </w:pPr>
  </w:style>
  <w:style w:type="paragraph" w:styleId="21">
    <w:name w:val="Body Text First Indent 2"/>
    <w:basedOn w:val="7"/>
    <w:next w:val="6"/>
    <w:autoRedefine/>
    <w:unhideWhenUsed/>
    <w:qFormat/>
    <w:locked/>
    <w:uiPriority w:val="99"/>
    <w:pPr>
      <w:snapToGrid/>
      <w:spacing w:after="120" w:line="240" w:lineRule="auto"/>
      <w:ind w:left="420" w:leftChars="200" w:firstLine="420" w:firstLineChars="200"/>
    </w:pPr>
    <w:rPr>
      <w:sz w:val="21"/>
      <w:szCs w:val="24"/>
    </w:r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99"/>
    <w:rPr>
      <w:rFonts w:cs="Times New Roman"/>
      <w:b/>
    </w:rPr>
  </w:style>
  <w:style w:type="character" w:styleId="26">
    <w:name w:val="page number"/>
    <w:autoRedefine/>
    <w:qFormat/>
    <w:uiPriority w:val="99"/>
    <w:rPr>
      <w:rFonts w:cs="Times New Roman"/>
    </w:rPr>
  </w:style>
  <w:style w:type="character" w:styleId="27">
    <w:name w:val="FollowedHyperlink"/>
    <w:basedOn w:val="24"/>
    <w:semiHidden/>
    <w:unhideWhenUsed/>
    <w:qFormat/>
    <w:locked/>
    <w:uiPriority w:val="99"/>
    <w:rPr>
      <w:color w:val="800080"/>
      <w:u w:val="none"/>
    </w:rPr>
  </w:style>
  <w:style w:type="character" w:styleId="28">
    <w:name w:val="Emphasis"/>
    <w:basedOn w:val="24"/>
    <w:autoRedefine/>
    <w:qFormat/>
    <w:locked/>
    <w:uiPriority w:val="20"/>
    <w:rPr>
      <w:i/>
    </w:rPr>
  </w:style>
  <w:style w:type="character" w:styleId="29">
    <w:name w:val="HTML Definition"/>
    <w:basedOn w:val="24"/>
    <w:semiHidden/>
    <w:unhideWhenUsed/>
    <w:qFormat/>
    <w:locked/>
    <w:uiPriority w:val="99"/>
  </w:style>
  <w:style w:type="character" w:styleId="30">
    <w:name w:val="HTML Typewriter"/>
    <w:basedOn w:val="24"/>
    <w:semiHidden/>
    <w:unhideWhenUsed/>
    <w:qFormat/>
    <w:locked/>
    <w:uiPriority w:val="99"/>
    <w:rPr>
      <w:rFonts w:hint="default" w:ascii="monospace" w:hAnsi="monospace" w:eastAsia="monospace" w:cs="monospace"/>
      <w:sz w:val="20"/>
    </w:rPr>
  </w:style>
  <w:style w:type="character" w:styleId="31">
    <w:name w:val="HTML Acronym"/>
    <w:basedOn w:val="24"/>
    <w:semiHidden/>
    <w:unhideWhenUsed/>
    <w:qFormat/>
    <w:locked/>
    <w:uiPriority w:val="99"/>
  </w:style>
  <w:style w:type="character" w:styleId="32">
    <w:name w:val="HTML Variable"/>
    <w:basedOn w:val="24"/>
    <w:semiHidden/>
    <w:unhideWhenUsed/>
    <w:qFormat/>
    <w:locked/>
    <w:uiPriority w:val="99"/>
  </w:style>
  <w:style w:type="character" w:styleId="33">
    <w:name w:val="Hyperlink"/>
    <w:autoRedefine/>
    <w:qFormat/>
    <w:uiPriority w:val="99"/>
    <w:rPr>
      <w:rFonts w:cs="Times New Roman"/>
      <w:color w:val="0368A8"/>
      <w:u w:val="none"/>
    </w:rPr>
  </w:style>
  <w:style w:type="character" w:styleId="34">
    <w:name w:val="HTML Code"/>
    <w:basedOn w:val="24"/>
    <w:semiHidden/>
    <w:unhideWhenUsed/>
    <w:qFormat/>
    <w:locked/>
    <w:uiPriority w:val="99"/>
    <w:rPr>
      <w:rFonts w:hint="default" w:ascii="monospace" w:hAnsi="monospace" w:eastAsia="monospace" w:cs="monospace"/>
      <w:sz w:val="20"/>
    </w:rPr>
  </w:style>
  <w:style w:type="character" w:styleId="35">
    <w:name w:val="annotation reference"/>
    <w:autoRedefine/>
    <w:semiHidden/>
    <w:unhideWhenUsed/>
    <w:qFormat/>
    <w:locked/>
    <w:uiPriority w:val="99"/>
    <w:rPr>
      <w:sz w:val="21"/>
      <w:szCs w:val="21"/>
    </w:rPr>
  </w:style>
  <w:style w:type="character" w:styleId="36">
    <w:name w:val="HTML Cite"/>
    <w:basedOn w:val="24"/>
    <w:semiHidden/>
    <w:unhideWhenUsed/>
    <w:qFormat/>
    <w:locked/>
    <w:uiPriority w:val="99"/>
  </w:style>
  <w:style w:type="character" w:styleId="37">
    <w:name w:val="HTML Keyboard"/>
    <w:basedOn w:val="24"/>
    <w:semiHidden/>
    <w:unhideWhenUsed/>
    <w:qFormat/>
    <w:locked/>
    <w:uiPriority w:val="99"/>
    <w:rPr>
      <w:rFonts w:hint="default" w:ascii="monospace" w:hAnsi="monospace" w:eastAsia="monospace" w:cs="monospace"/>
      <w:sz w:val="20"/>
    </w:rPr>
  </w:style>
  <w:style w:type="character" w:styleId="38">
    <w:name w:val="HTML Sample"/>
    <w:basedOn w:val="24"/>
    <w:semiHidden/>
    <w:unhideWhenUsed/>
    <w:qFormat/>
    <w:locked/>
    <w:uiPriority w:val="99"/>
    <w:rPr>
      <w:rFonts w:ascii="monospace" w:hAnsi="monospace" w:eastAsia="monospace" w:cs="monospace"/>
    </w:rPr>
  </w:style>
  <w:style w:type="paragraph" w:customStyle="1" w:styleId="39">
    <w:name w:val="Default"/>
    <w:next w:val="40"/>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大标题"/>
    <w:basedOn w:val="1"/>
    <w:next w:val="21"/>
    <w:autoRedefine/>
    <w:qFormat/>
    <w:uiPriority w:val="0"/>
    <w:pPr>
      <w:jc w:val="center"/>
    </w:pPr>
    <w:rPr>
      <w:rFonts w:ascii="Arial" w:hAnsi="Arial" w:eastAsia="宋体"/>
      <w:b/>
      <w:sz w:val="28"/>
      <w:szCs w:val="24"/>
    </w:rPr>
  </w:style>
  <w:style w:type="character" w:customStyle="1" w:styleId="41">
    <w:name w:val="标题 1 Char"/>
    <w:link w:val="3"/>
    <w:autoRedefine/>
    <w:qFormat/>
    <w:locked/>
    <w:uiPriority w:val="99"/>
    <w:rPr>
      <w:rFonts w:cs="Times New Roman"/>
      <w:b/>
      <w:color w:val="000000"/>
      <w:kern w:val="44"/>
      <w:sz w:val="44"/>
      <w:u w:val="none" w:color="000000"/>
    </w:rPr>
  </w:style>
  <w:style w:type="character" w:customStyle="1" w:styleId="42">
    <w:name w:val="标题 3 Char"/>
    <w:link w:val="4"/>
    <w:autoRedefine/>
    <w:semiHidden/>
    <w:qFormat/>
    <w:locked/>
    <w:uiPriority w:val="99"/>
    <w:rPr>
      <w:rFonts w:cs="Times New Roman"/>
      <w:b/>
      <w:color w:val="000000"/>
      <w:sz w:val="32"/>
      <w:u w:val="none" w:color="000000"/>
    </w:rPr>
  </w:style>
  <w:style w:type="character" w:customStyle="1" w:styleId="43">
    <w:name w:val="正文文本缩进 Char"/>
    <w:link w:val="7"/>
    <w:autoRedefine/>
    <w:semiHidden/>
    <w:qFormat/>
    <w:locked/>
    <w:uiPriority w:val="99"/>
    <w:rPr>
      <w:rFonts w:cs="Times New Roman"/>
      <w:color w:val="000000"/>
      <w:kern w:val="0"/>
      <w:sz w:val="20"/>
      <w:u w:val="none" w:color="000000"/>
    </w:rPr>
  </w:style>
  <w:style w:type="character" w:customStyle="1" w:styleId="44">
    <w:name w:val="纯文本 Char1"/>
    <w:link w:val="9"/>
    <w:autoRedefine/>
    <w:qFormat/>
    <w:locked/>
    <w:uiPriority w:val="99"/>
    <w:rPr>
      <w:rFonts w:ascii="宋体" w:hAnsi="Courier New" w:cs="Times New Roman"/>
      <w:color w:val="000000"/>
      <w:kern w:val="0"/>
      <w:sz w:val="21"/>
      <w:u w:val="none" w:color="000000"/>
    </w:rPr>
  </w:style>
  <w:style w:type="character" w:customStyle="1" w:styleId="45">
    <w:name w:val="日期 Char"/>
    <w:link w:val="10"/>
    <w:autoRedefine/>
    <w:qFormat/>
    <w:locked/>
    <w:uiPriority w:val="99"/>
    <w:rPr>
      <w:rFonts w:cs="Times New Roman"/>
      <w:color w:val="000000"/>
      <w:sz w:val="21"/>
      <w:u w:val="none" w:color="000000"/>
    </w:rPr>
  </w:style>
  <w:style w:type="character" w:customStyle="1" w:styleId="46">
    <w:name w:val="批注框文本 Char"/>
    <w:link w:val="11"/>
    <w:autoRedefine/>
    <w:qFormat/>
    <w:locked/>
    <w:uiPriority w:val="99"/>
    <w:rPr>
      <w:rFonts w:cs="Times New Roman"/>
      <w:color w:val="000000"/>
      <w:sz w:val="18"/>
      <w:u w:val="none" w:color="000000"/>
    </w:rPr>
  </w:style>
  <w:style w:type="character" w:customStyle="1" w:styleId="47">
    <w:name w:val="页脚 Char"/>
    <w:link w:val="12"/>
    <w:autoRedefine/>
    <w:qFormat/>
    <w:locked/>
    <w:uiPriority w:val="0"/>
    <w:rPr>
      <w:rFonts w:cs="Times New Roman"/>
      <w:color w:val="000000"/>
      <w:kern w:val="0"/>
      <w:sz w:val="18"/>
      <w:u w:val="none" w:color="000000"/>
    </w:rPr>
  </w:style>
  <w:style w:type="character" w:customStyle="1" w:styleId="48">
    <w:name w:val="页眉 Char"/>
    <w:link w:val="14"/>
    <w:autoRedefine/>
    <w:semiHidden/>
    <w:qFormat/>
    <w:locked/>
    <w:uiPriority w:val="99"/>
    <w:rPr>
      <w:rFonts w:cs="Times New Roman"/>
      <w:color w:val="000000"/>
      <w:kern w:val="0"/>
      <w:sz w:val="18"/>
      <w:u w:val="none" w:color="000000"/>
    </w:rPr>
  </w:style>
  <w:style w:type="character" w:customStyle="1" w:styleId="49">
    <w:name w:val="正文文本 2 Char"/>
    <w:link w:val="17"/>
    <w:autoRedefine/>
    <w:semiHidden/>
    <w:qFormat/>
    <w:locked/>
    <w:uiPriority w:val="99"/>
    <w:rPr>
      <w:rFonts w:cs="Times New Roman"/>
      <w:color w:val="000000"/>
      <w:kern w:val="0"/>
      <w:sz w:val="20"/>
      <w:u w:val="none" w:color="000000"/>
    </w:rPr>
  </w:style>
  <w:style w:type="paragraph" w:customStyle="1" w:styleId="50">
    <w:name w:val="目录1"/>
    <w:basedOn w:val="1"/>
    <w:next w:val="1"/>
    <w:autoRedefine/>
    <w:qFormat/>
    <w:uiPriority w:val="99"/>
    <w:pPr>
      <w:tabs>
        <w:tab w:val="left" w:leader="dot" w:pos="8503"/>
      </w:tabs>
      <w:spacing w:after="136" w:line="289" w:lineRule="atLeast"/>
      <w:jc w:val="left"/>
    </w:pPr>
    <w:rPr>
      <w:rFonts w:ascii="Arial" w:eastAsia="黑体"/>
      <w:sz w:val="28"/>
    </w:rPr>
  </w:style>
  <w:style w:type="paragraph" w:customStyle="1" w:styleId="51">
    <w:name w:val="章标题"/>
    <w:basedOn w:val="1"/>
    <w:next w:val="52"/>
    <w:autoRedefine/>
    <w:qFormat/>
    <w:uiPriority w:val="99"/>
    <w:pPr>
      <w:spacing w:before="158" w:after="153" w:line="323" w:lineRule="atLeast"/>
      <w:jc w:val="center"/>
    </w:pPr>
    <w:rPr>
      <w:rFonts w:ascii="Arial" w:eastAsia="黑体"/>
      <w:sz w:val="31"/>
    </w:rPr>
  </w:style>
  <w:style w:type="paragraph" w:customStyle="1" w:styleId="52">
    <w:name w:val="节标题"/>
    <w:basedOn w:val="1"/>
    <w:next w:val="53"/>
    <w:autoRedefine/>
    <w:qFormat/>
    <w:uiPriority w:val="99"/>
    <w:pPr>
      <w:spacing w:line="289" w:lineRule="atLeast"/>
      <w:jc w:val="center"/>
    </w:pPr>
    <w:rPr>
      <w:sz w:val="28"/>
    </w:rPr>
  </w:style>
  <w:style w:type="paragraph" w:customStyle="1" w:styleId="53">
    <w:name w:val="小节标题"/>
    <w:basedOn w:val="1"/>
    <w:next w:val="1"/>
    <w:autoRedefine/>
    <w:qFormat/>
    <w:uiPriority w:val="99"/>
    <w:pPr>
      <w:spacing w:before="175" w:after="102" w:line="351" w:lineRule="atLeast"/>
    </w:pPr>
    <w:rPr>
      <w:rFonts w:eastAsia="黑体"/>
    </w:rPr>
  </w:style>
  <w:style w:type="paragraph" w:customStyle="1" w:styleId="54">
    <w:name w:val="目录2"/>
    <w:basedOn w:val="1"/>
    <w:next w:val="1"/>
    <w:autoRedefine/>
    <w:qFormat/>
    <w:uiPriority w:val="99"/>
    <w:pPr>
      <w:tabs>
        <w:tab w:val="left" w:leader="dot" w:pos="8503"/>
      </w:tabs>
      <w:spacing w:line="317" w:lineRule="atLeast"/>
      <w:ind w:firstLine="209"/>
    </w:pPr>
  </w:style>
  <w:style w:type="paragraph" w:customStyle="1" w:styleId="55">
    <w:name w:val="目录4"/>
    <w:basedOn w:val="1"/>
    <w:next w:val="1"/>
    <w:autoRedefine/>
    <w:qFormat/>
    <w:uiPriority w:val="99"/>
    <w:pPr>
      <w:tabs>
        <w:tab w:val="left" w:leader="dot" w:pos="8503"/>
      </w:tabs>
      <w:spacing w:line="317" w:lineRule="atLeast"/>
      <w:ind w:firstLine="629"/>
    </w:pPr>
  </w:style>
  <w:style w:type="paragraph" w:customStyle="1" w:styleId="56">
    <w:name w:val="1 Char Char Char Char"/>
    <w:basedOn w:val="1"/>
    <w:autoRedefine/>
    <w:qFormat/>
    <w:uiPriority w:val="99"/>
    <w:pPr>
      <w:widowControl w:val="0"/>
      <w:spacing w:line="240" w:lineRule="auto"/>
      <w:textAlignment w:val="auto"/>
    </w:pPr>
    <w:rPr>
      <w:rFonts w:ascii="Tahoma" w:hAnsi="Tahoma" w:cs="Tahoma"/>
      <w:color w:val="auto"/>
      <w:kern w:val="2"/>
      <w:sz w:val="24"/>
      <w:szCs w:val="24"/>
    </w:rPr>
  </w:style>
  <w:style w:type="paragraph" w:customStyle="1" w:styleId="57">
    <w:name w:val="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58">
    <w:name w:val="目录3"/>
    <w:basedOn w:val="1"/>
    <w:next w:val="1"/>
    <w:autoRedefine/>
    <w:qFormat/>
    <w:uiPriority w:val="99"/>
    <w:pPr>
      <w:tabs>
        <w:tab w:val="left" w:leader="dot" w:pos="8503"/>
      </w:tabs>
      <w:spacing w:line="317" w:lineRule="atLeast"/>
      <w:ind w:firstLine="419"/>
    </w:pPr>
  </w:style>
  <w:style w:type="paragraph" w:customStyle="1" w:styleId="59">
    <w:name w:val="目录标题"/>
    <w:basedOn w:val="1"/>
    <w:next w:val="1"/>
    <w:autoRedefine/>
    <w:qFormat/>
    <w:uiPriority w:val="99"/>
    <w:pPr>
      <w:spacing w:before="566" w:after="544" w:line="566" w:lineRule="atLeast"/>
      <w:ind w:firstLine="419"/>
      <w:jc w:val="center"/>
    </w:pPr>
    <w:rPr>
      <w:rFonts w:ascii="Arial" w:eastAsia="黑体"/>
      <w:spacing w:val="566"/>
      <w:sz w:val="54"/>
    </w:rPr>
  </w:style>
  <w:style w:type="paragraph" w:customStyle="1" w:styleId="60">
    <w:name w:val="文章总标题"/>
    <w:basedOn w:val="1"/>
    <w:next w:val="61"/>
    <w:autoRedefine/>
    <w:qFormat/>
    <w:uiPriority w:val="99"/>
    <w:pPr>
      <w:spacing w:before="566" w:after="544" w:line="566" w:lineRule="atLeast"/>
      <w:jc w:val="center"/>
    </w:pPr>
    <w:rPr>
      <w:rFonts w:ascii="Arial" w:eastAsia="黑体"/>
      <w:sz w:val="54"/>
    </w:rPr>
  </w:style>
  <w:style w:type="paragraph" w:customStyle="1" w:styleId="61">
    <w:name w:val="文章附标题"/>
    <w:basedOn w:val="1"/>
    <w:next w:val="51"/>
    <w:autoRedefine/>
    <w:qFormat/>
    <w:uiPriority w:val="99"/>
    <w:pPr>
      <w:spacing w:before="187" w:after="175" w:line="374" w:lineRule="atLeast"/>
      <w:jc w:val="center"/>
    </w:pPr>
    <w:rPr>
      <w:sz w:val="36"/>
    </w:rPr>
  </w:style>
  <w:style w:type="paragraph" w:customStyle="1" w:styleId="62">
    <w:name w:val="Char1"/>
    <w:basedOn w:val="1"/>
    <w:autoRedefine/>
    <w:qFormat/>
    <w:uiPriority w:val="99"/>
    <w:pPr>
      <w:widowControl w:val="0"/>
      <w:spacing w:line="240" w:lineRule="auto"/>
      <w:textAlignment w:val="auto"/>
    </w:pPr>
    <w:rPr>
      <w:rFonts w:ascii="Tahoma" w:hAnsi="Tahoma"/>
      <w:color w:val="auto"/>
      <w:kern w:val="2"/>
      <w:sz w:val="24"/>
    </w:rPr>
  </w:style>
  <w:style w:type="paragraph" w:customStyle="1" w:styleId="63">
    <w:name w:val="Char11"/>
    <w:basedOn w:val="1"/>
    <w:autoRedefine/>
    <w:qFormat/>
    <w:uiPriority w:val="99"/>
    <w:pPr>
      <w:widowControl w:val="0"/>
      <w:spacing w:line="240" w:lineRule="auto"/>
      <w:textAlignment w:val="auto"/>
    </w:pPr>
    <w:rPr>
      <w:rFonts w:ascii="Tahoma" w:hAnsi="Tahoma"/>
      <w:color w:val="auto"/>
      <w:kern w:val="2"/>
      <w:sz w:val="24"/>
    </w:rPr>
  </w:style>
  <w:style w:type="paragraph" w:customStyle="1" w:styleId="64">
    <w:name w:val="Char Char Char Char Char Char Char"/>
    <w:basedOn w:val="1"/>
    <w:autoRedefine/>
    <w:qFormat/>
    <w:uiPriority w:val="99"/>
    <w:pPr>
      <w:widowControl w:val="0"/>
      <w:spacing w:line="240" w:lineRule="auto"/>
      <w:textAlignment w:val="auto"/>
    </w:pPr>
    <w:rPr>
      <w:rFonts w:ascii="Tahoma" w:hAnsi="Tahoma"/>
      <w:color w:val="auto"/>
      <w:kern w:val="2"/>
      <w:sz w:val="24"/>
    </w:rPr>
  </w:style>
  <w:style w:type="paragraph" w:customStyle="1" w:styleId="65">
    <w:name w:val="WPS Plain"/>
    <w:autoRedefine/>
    <w:qFormat/>
    <w:uiPriority w:val="99"/>
    <w:rPr>
      <w:rFonts w:ascii="Times New Roman" w:hAnsi="Times New Roman" w:eastAsia="宋体" w:cs="Times New Roman"/>
      <w:lang w:val="en-US" w:eastAsia="zh-CN" w:bidi="ar-SA"/>
    </w:rPr>
  </w:style>
  <w:style w:type="paragraph" w:customStyle="1" w:styleId="66">
    <w:name w:val="cjk"/>
    <w:basedOn w:val="1"/>
    <w:autoRedefine/>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7">
    <w:name w:val="TOC 标题1"/>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8">
    <w:name w:val="链接"/>
    <w:autoRedefine/>
    <w:qFormat/>
    <w:uiPriority w:val="99"/>
    <w:rPr>
      <w:rFonts w:ascii="Times New Roman" w:eastAsia="宋体"/>
      <w:color w:val="0000FF"/>
      <w:sz w:val="21"/>
      <w:u w:val="single" w:color="0000FF"/>
      <w:lang w:val="en-US" w:eastAsia="zh-CN"/>
    </w:rPr>
  </w:style>
  <w:style w:type="character" w:customStyle="1" w:styleId="69">
    <w:name w:val="超级链接"/>
    <w:autoRedefine/>
    <w:qFormat/>
    <w:uiPriority w:val="99"/>
    <w:rPr>
      <w:rFonts w:ascii="Times New Roman" w:eastAsia="宋体"/>
      <w:color w:val="0000FF"/>
      <w:sz w:val="21"/>
      <w:u w:val="single" w:color="0000FF"/>
      <w:lang w:val="en-US" w:eastAsia="zh-CN"/>
    </w:rPr>
  </w:style>
  <w:style w:type="character" w:customStyle="1" w:styleId="70">
    <w:name w:val="param_td12"/>
    <w:autoRedefine/>
    <w:qFormat/>
    <w:uiPriority w:val="99"/>
  </w:style>
  <w:style w:type="character" w:customStyle="1" w:styleId="71">
    <w:name w:val="纯文本 Char"/>
    <w:autoRedefine/>
    <w:qFormat/>
    <w:locked/>
    <w:uiPriority w:val="99"/>
    <w:rPr>
      <w:rFonts w:ascii="宋体" w:hAnsi="Courier New" w:eastAsia="宋体"/>
      <w:kern w:val="2"/>
      <w:sz w:val="21"/>
      <w:lang w:val="en-US" w:eastAsia="zh-CN"/>
    </w:rPr>
  </w:style>
  <w:style w:type="character" w:customStyle="1" w:styleId="72">
    <w:name w:val="纯文本 Char Char"/>
    <w:autoRedefine/>
    <w:qFormat/>
    <w:uiPriority w:val="99"/>
    <w:rPr>
      <w:rFonts w:ascii="宋体" w:hAnsi="Courier New" w:eastAsia="宋体"/>
      <w:kern w:val="2"/>
      <w:sz w:val="21"/>
      <w:lang w:val="en-US" w:eastAsia="zh-CN"/>
    </w:rPr>
  </w:style>
  <w:style w:type="character" w:customStyle="1" w:styleId="73">
    <w:name w:val="Char Char4"/>
    <w:autoRedefine/>
    <w:qFormat/>
    <w:uiPriority w:val="99"/>
    <w:rPr>
      <w:rFonts w:ascii="宋体" w:eastAsia="宋体"/>
      <w:kern w:val="2"/>
      <w:sz w:val="28"/>
    </w:rPr>
  </w:style>
  <w:style w:type="character" w:customStyle="1" w:styleId="74">
    <w:name w:val="Plain Text Char1"/>
    <w:autoRedefine/>
    <w:semiHidden/>
    <w:qFormat/>
    <w:locked/>
    <w:uiPriority w:val="99"/>
    <w:rPr>
      <w:rFonts w:ascii="宋体" w:hAnsi="Courier New" w:cs="Courier New"/>
      <w:color w:val="000000"/>
      <w:kern w:val="0"/>
      <w:sz w:val="21"/>
      <w:szCs w:val="21"/>
      <w:u w:val="none" w:color="000000"/>
    </w:rPr>
  </w:style>
  <w:style w:type="character" w:customStyle="1" w:styleId="75">
    <w:name w:val="15"/>
    <w:basedOn w:val="24"/>
    <w:autoRedefine/>
    <w:qFormat/>
    <w:uiPriority w:val="0"/>
  </w:style>
  <w:style w:type="character" w:customStyle="1" w:styleId="76">
    <w:name w:val="正文文本 Char"/>
    <w:link w:val="6"/>
    <w:autoRedefine/>
    <w:semiHidden/>
    <w:qFormat/>
    <w:uiPriority w:val="99"/>
    <w:rPr>
      <w:color w:val="000000"/>
      <w:sz w:val="21"/>
      <w:u w:color="000000"/>
    </w:rPr>
  </w:style>
  <w:style w:type="character" w:customStyle="1" w:styleId="77">
    <w:name w:val="正文首行缩进 Char"/>
    <w:link w:val="20"/>
    <w:autoRedefine/>
    <w:semiHidden/>
    <w:qFormat/>
    <w:uiPriority w:val="99"/>
    <w:rPr>
      <w:color w:val="000000"/>
      <w:sz w:val="21"/>
      <w:u w:color="000000"/>
    </w:rPr>
  </w:style>
  <w:style w:type="character" w:customStyle="1" w:styleId="78">
    <w:name w:val="页眉或页脚 + Calibri"/>
    <w:autoRedefine/>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9">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80">
    <w:name w:val="正文文本 (2)"/>
    <w:basedOn w:val="1"/>
    <w:link w:val="81"/>
    <w:autoRedefine/>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81">
    <w:name w:val="正文文本 (2)_"/>
    <w:link w:val="80"/>
    <w:autoRedefine/>
    <w:qFormat/>
    <w:uiPriority w:val="0"/>
    <w:rPr>
      <w:rFonts w:ascii="MingLiU" w:hAnsi="MingLiU" w:eastAsia="MingLiU" w:cs="MingLiU"/>
      <w:spacing w:val="30"/>
      <w:sz w:val="30"/>
      <w:szCs w:val="30"/>
      <w:u w:color="000000"/>
      <w:shd w:val="clear" w:color="auto" w:fill="FFFFFF"/>
    </w:rPr>
  </w:style>
  <w:style w:type="paragraph" w:styleId="82">
    <w:name w:val="List Paragraph"/>
    <w:basedOn w:val="1"/>
    <w:autoRedefine/>
    <w:unhideWhenUsed/>
    <w:qFormat/>
    <w:uiPriority w:val="99"/>
    <w:pPr>
      <w:ind w:firstLine="420" w:firstLineChars="200"/>
    </w:pPr>
  </w:style>
  <w:style w:type="character" w:customStyle="1" w:styleId="83">
    <w:name w:val="批注文字 Char"/>
    <w:link w:val="5"/>
    <w:autoRedefine/>
    <w:semiHidden/>
    <w:qFormat/>
    <w:uiPriority w:val="99"/>
    <w:rPr>
      <w:color w:val="000000"/>
      <w:sz w:val="21"/>
      <w:u w:color="000000"/>
    </w:rPr>
  </w:style>
  <w:style w:type="character" w:customStyle="1" w:styleId="84">
    <w:name w:val="批注主题 Char"/>
    <w:link w:val="19"/>
    <w:autoRedefine/>
    <w:semiHidden/>
    <w:qFormat/>
    <w:uiPriority w:val="99"/>
    <w:rPr>
      <w:b/>
      <w:bCs/>
      <w:color w:val="000000"/>
      <w:sz w:val="21"/>
      <w:u w:color="000000"/>
    </w:rPr>
  </w:style>
  <w:style w:type="paragraph" w:customStyle="1" w:styleId="85">
    <w:name w:val="Table Paragraph"/>
    <w:basedOn w:val="1"/>
    <w:autoRedefine/>
    <w:qFormat/>
    <w:uiPriority w:val="1"/>
    <w:pPr>
      <w:widowControl w:val="0"/>
      <w:autoSpaceDE w:val="0"/>
      <w:autoSpaceDN w:val="0"/>
      <w:spacing w:line="240" w:lineRule="auto"/>
      <w:jc w:val="left"/>
      <w:textAlignment w:val="auto"/>
    </w:pPr>
    <w:rPr>
      <w:rFonts w:ascii="宋体" w:hAnsi="宋体" w:cs="宋体"/>
      <w:color w:val="auto"/>
      <w:sz w:val="22"/>
      <w:szCs w:val="22"/>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Table Text"/>
    <w:basedOn w:val="1"/>
    <w:semiHidden/>
    <w:qFormat/>
    <w:uiPriority w:val="0"/>
    <w:rPr>
      <w:rFonts w:ascii="宋体" w:hAnsi="宋体" w:eastAsia="宋体" w:cs="宋体"/>
      <w:sz w:val="24"/>
      <w:szCs w:val="24"/>
      <w:lang w:val="en-US" w:eastAsia="en-US" w:bidi="ar-SA"/>
    </w:rPr>
  </w:style>
  <w:style w:type="character" w:customStyle="1" w:styleId="88">
    <w:name w:val="layui-layer-tabnow"/>
    <w:basedOn w:val="24"/>
    <w:qFormat/>
    <w:uiPriority w:val="0"/>
    <w:rPr>
      <w:bdr w:val="single" w:color="CCCCCC" w:sz="6" w:space="0"/>
      <w:shd w:val="clear" w:fill="FFFFFF"/>
    </w:rPr>
  </w:style>
  <w:style w:type="character" w:customStyle="1" w:styleId="89">
    <w:name w:val="before"/>
    <w:basedOn w:val="24"/>
    <w:qFormat/>
    <w:uiPriority w:val="0"/>
    <w:rPr>
      <w:shd w:val="clear" w:fill="0085FF"/>
    </w:rPr>
  </w:style>
  <w:style w:type="character" w:customStyle="1" w:styleId="90">
    <w:name w:val="first-child"/>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63</Pages>
  <Words>376</Words>
  <Characters>426</Characters>
  <Lines>64</Lines>
  <Paragraphs>91</Paragraphs>
  <TotalTime>91</TotalTime>
  <ScaleCrop>false</ScaleCrop>
  <LinksUpToDate>false</LinksUpToDate>
  <CharactersWithSpaces>529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2022-10-17T07:59:00Z</dcterms:created>
  <dc:creator>Administrator</dc:creator>
  <cp:lastModifiedBy>.</cp:lastModifiedBy>
  <cp:lastPrinted>2025-05-15T08:11:00Z</cp:lastPrinted>
  <dcterms:modified xsi:type="dcterms:W3CDTF">2025-05-22T06:16:38Z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03ABE38C2A1440EF839C764599C82CA8_13</vt:lpwstr>
  </property>
  <property fmtid="{D5CDD505-2E9C-101B-9397-08002B2CF9AE}" pid="3" name="KSOProductBuildVer">
    <vt:lpwstr>2052-12.1.0.20784</vt:lpwstr>
  </property>
  <property fmtid="{D5CDD505-2E9C-101B-9397-08002B2CF9AE}" pid="4" name="KSOTemplateDocerSaveRecord">
    <vt:lpwstr>eyJoZGlkIjoiNDNhZjBhN2U4YWIzNDA5Y2YwZTVhNWZhZmU1YTIxYzEiLCJ1c2VySWQiOiI0MTkwNDMxNjkifQ==</vt:lpwstr>
  </property>
</Properties>
</file>