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18B18">
      <w:pPr>
        <w:widowControl/>
        <w:jc w:val="center"/>
        <w:rPr>
          <w:rFonts w:hint="eastAsia" w:ascii="仿宋" w:hAnsi="仿宋" w:eastAsia="仿宋" w:cs="仿宋"/>
          <w:b/>
          <w:bCs/>
          <w:sz w:val="32"/>
          <w:szCs w:val="32"/>
          <w:lang w:val="en-US" w:eastAsia="zh-CN"/>
        </w:rPr>
      </w:pPr>
      <w:r>
        <w:rPr>
          <w:rFonts w:hint="eastAsia" w:ascii="仿宋" w:hAnsi="仿宋" w:eastAsia="仿宋" w:cs="仿宋"/>
          <w:b/>
          <w:bCs/>
          <w:kern w:val="2"/>
          <w:sz w:val="32"/>
          <w:szCs w:val="32"/>
          <w:lang w:eastAsia="zh-CN"/>
        </w:rPr>
        <w:t>洛阳职业技术学院2026年数字资源采购项目</w:t>
      </w:r>
      <w:r>
        <w:rPr>
          <w:rFonts w:hint="eastAsia" w:ascii="仿宋" w:hAnsi="仿宋" w:eastAsia="仿宋" w:cs="仿宋"/>
          <w:b/>
          <w:bCs/>
          <w:kern w:val="2"/>
          <w:sz w:val="32"/>
          <w:szCs w:val="32"/>
        </w:rPr>
        <w:t>参数</w:t>
      </w:r>
    </w:p>
    <w:tbl>
      <w:tblPr>
        <w:tblStyle w:val="11"/>
        <w:tblW w:w="14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9"/>
        <w:gridCol w:w="1448"/>
        <w:gridCol w:w="1971"/>
        <w:gridCol w:w="9163"/>
        <w:gridCol w:w="693"/>
        <w:gridCol w:w="693"/>
      </w:tblGrid>
      <w:tr w14:paraId="1127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469" w:type="dxa"/>
            <w:noWrap w:val="0"/>
            <w:tcMar>
              <w:top w:w="0" w:type="dxa"/>
              <w:left w:w="108" w:type="dxa"/>
              <w:bottom w:w="0" w:type="dxa"/>
              <w:right w:w="108" w:type="dxa"/>
            </w:tcMar>
            <w:vAlign w:val="center"/>
          </w:tcPr>
          <w:p w14:paraId="6798A631">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序号</w:t>
            </w:r>
          </w:p>
        </w:tc>
        <w:tc>
          <w:tcPr>
            <w:tcW w:w="1448" w:type="dxa"/>
            <w:noWrap w:val="0"/>
            <w:tcMar>
              <w:top w:w="0" w:type="dxa"/>
              <w:left w:w="108" w:type="dxa"/>
              <w:bottom w:w="0" w:type="dxa"/>
              <w:right w:w="108" w:type="dxa"/>
            </w:tcMar>
            <w:vAlign w:val="center"/>
          </w:tcPr>
          <w:p w14:paraId="76437B48">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资源名称</w:t>
            </w:r>
          </w:p>
        </w:tc>
        <w:tc>
          <w:tcPr>
            <w:tcW w:w="1971" w:type="dxa"/>
            <w:noWrap w:val="0"/>
            <w:tcMar>
              <w:top w:w="0" w:type="dxa"/>
              <w:left w:w="108" w:type="dxa"/>
              <w:bottom w:w="0" w:type="dxa"/>
              <w:right w:w="108" w:type="dxa"/>
            </w:tcMar>
            <w:vAlign w:val="center"/>
          </w:tcPr>
          <w:p w14:paraId="6FCB857E">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单一来源供应商</w:t>
            </w:r>
          </w:p>
        </w:tc>
        <w:tc>
          <w:tcPr>
            <w:tcW w:w="9163" w:type="dxa"/>
            <w:noWrap w:val="0"/>
            <w:tcMar>
              <w:top w:w="0" w:type="dxa"/>
              <w:left w:w="108" w:type="dxa"/>
              <w:bottom w:w="0" w:type="dxa"/>
              <w:right w:w="108" w:type="dxa"/>
            </w:tcMar>
            <w:vAlign w:val="center"/>
          </w:tcPr>
          <w:p w14:paraId="2E267421">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功能及参数</w:t>
            </w:r>
          </w:p>
        </w:tc>
        <w:tc>
          <w:tcPr>
            <w:tcW w:w="693" w:type="dxa"/>
            <w:noWrap w:val="0"/>
            <w:tcMar>
              <w:top w:w="0" w:type="dxa"/>
              <w:left w:w="108" w:type="dxa"/>
              <w:bottom w:w="0" w:type="dxa"/>
              <w:right w:w="108" w:type="dxa"/>
            </w:tcMar>
            <w:vAlign w:val="center"/>
          </w:tcPr>
          <w:p w14:paraId="52CB0B89">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数量</w:t>
            </w:r>
          </w:p>
        </w:tc>
        <w:tc>
          <w:tcPr>
            <w:tcW w:w="693" w:type="dxa"/>
            <w:noWrap w:val="0"/>
            <w:tcMar>
              <w:top w:w="0" w:type="dxa"/>
              <w:left w:w="108" w:type="dxa"/>
              <w:bottom w:w="0" w:type="dxa"/>
              <w:right w:w="108" w:type="dxa"/>
            </w:tcMar>
            <w:vAlign w:val="center"/>
          </w:tcPr>
          <w:p w14:paraId="1B1074DF">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单位</w:t>
            </w:r>
          </w:p>
        </w:tc>
      </w:tr>
      <w:tr w14:paraId="3D30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25" w:hRule="atLeast"/>
          <w:jc w:val="center"/>
        </w:trPr>
        <w:tc>
          <w:tcPr>
            <w:tcW w:w="469" w:type="dxa"/>
            <w:noWrap w:val="0"/>
            <w:tcMar>
              <w:top w:w="0" w:type="dxa"/>
              <w:left w:w="108" w:type="dxa"/>
              <w:bottom w:w="0" w:type="dxa"/>
              <w:right w:w="108" w:type="dxa"/>
            </w:tcMar>
            <w:vAlign w:val="center"/>
          </w:tcPr>
          <w:p w14:paraId="3C4F9DC4">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w:t>
            </w:r>
          </w:p>
        </w:tc>
        <w:tc>
          <w:tcPr>
            <w:tcW w:w="1448" w:type="dxa"/>
            <w:noWrap w:val="0"/>
            <w:tcMar>
              <w:top w:w="0" w:type="dxa"/>
              <w:left w:w="108" w:type="dxa"/>
              <w:bottom w:w="0" w:type="dxa"/>
              <w:right w:w="108" w:type="dxa"/>
            </w:tcMar>
            <w:vAlign w:val="center"/>
          </w:tcPr>
          <w:p w14:paraId="16EB0F23">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中国知网</w:t>
            </w:r>
          </w:p>
        </w:tc>
        <w:tc>
          <w:tcPr>
            <w:tcW w:w="1971" w:type="dxa"/>
            <w:noWrap w:val="0"/>
            <w:tcMar>
              <w:top w:w="0" w:type="dxa"/>
              <w:left w:w="108" w:type="dxa"/>
              <w:bottom w:w="0" w:type="dxa"/>
              <w:right w:w="108" w:type="dxa"/>
            </w:tcMar>
            <w:vAlign w:val="center"/>
          </w:tcPr>
          <w:p w14:paraId="1A73BDF1">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同方知网数字科技有限公司</w:t>
            </w:r>
          </w:p>
        </w:tc>
        <w:tc>
          <w:tcPr>
            <w:tcW w:w="9163" w:type="dxa"/>
            <w:noWrap w:val="0"/>
            <w:tcMar>
              <w:top w:w="0" w:type="dxa"/>
              <w:left w:w="108" w:type="dxa"/>
              <w:bottom w:w="0" w:type="dxa"/>
              <w:right w:w="108" w:type="dxa"/>
            </w:tcMar>
            <w:vAlign w:val="center"/>
          </w:tcPr>
          <w:p w14:paraId="5AA70F3B">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基本指标要求：</w:t>
            </w:r>
          </w:p>
          <w:p w14:paraId="5D4593A8">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1、采购内容：</w:t>
            </w:r>
          </w:p>
          <w:p w14:paraId="329120A1">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中国学术期刊网络版，中国博士学位论文全文数据库，中国优秀硕士学位论文全文数据库，中国重要会议论文全文数据库包含基础科学专辑（A），工程科技I辑（B）， 工程科技Ⅱ辑（C），医药卫生科技专辑（E），哲学与人文科学专辑（F），社会科学I辑（G），社会科学Ⅱ辑（H），信息科技专辑（I），经济与管理科学专辑（J）;国际会议论文全文数据库，中国重要报纸全文数据库，中国年鉴网络出版总库，中国标准全文数据库，学术知识图片库包含哲学与人文科学专辑（F）;中国专利全文数据库包含基础科学专辑（A）</w:t>
            </w:r>
          </w:p>
          <w:p w14:paraId="2DFA4C6A">
            <w:pPr>
              <w:numPr>
                <w:ilvl w:val="0"/>
                <w:numId w:val="1"/>
              </w:num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文献年限：2026年度</w:t>
            </w:r>
          </w:p>
          <w:p w14:paraId="5DBAC0A9">
            <w:pPr>
              <w:numPr>
                <w:ilvl w:val="0"/>
                <w:numId w:val="1"/>
              </w:num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服务模式：远程访问</w:t>
            </w:r>
          </w:p>
          <w:p w14:paraId="5002AD8B">
            <w:pPr>
              <w:numPr>
                <w:numId w:val="0"/>
              </w:num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检索功能要求：</w:t>
            </w:r>
          </w:p>
          <w:p w14:paraId="0099E9E6">
            <w:pPr>
              <w:numPr>
                <w:ilvl w:val="0"/>
                <w:numId w:val="2"/>
              </w:num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能提供跨库统一检索与统一导航。提供数据库全文文献的检索、浏览和下载服务。并将检索结果按照相关度、下载次数、引用次数自动排序，方便择优下载。</w:t>
            </w:r>
          </w:p>
          <w:p w14:paraId="20DB286F">
            <w:pPr>
              <w:numPr>
                <w:ilvl w:val="0"/>
                <w:numId w:val="2"/>
              </w:num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可实现参考文献、同类文献、引证文献的链接；</w:t>
            </w:r>
          </w:p>
        </w:tc>
        <w:tc>
          <w:tcPr>
            <w:tcW w:w="693" w:type="dxa"/>
            <w:noWrap w:val="0"/>
            <w:tcMar>
              <w:top w:w="0" w:type="dxa"/>
              <w:left w:w="108" w:type="dxa"/>
              <w:bottom w:w="0" w:type="dxa"/>
              <w:right w:w="108" w:type="dxa"/>
            </w:tcMar>
            <w:vAlign w:val="center"/>
          </w:tcPr>
          <w:p w14:paraId="027BB03A">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w:t>
            </w:r>
          </w:p>
        </w:tc>
        <w:tc>
          <w:tcPr>
            <w:tcW w:w="693" w:type="dxa"/>
            <w:noWrap w:val="0"/>
            <w:tcMar>
              <w:top w:w="0" w:type="dxa"/>
              <w:left w:w="108" w:type="dxa"/>
              <w:bottom w:w="0" w:type="dxa"/>
              <w:right w:w="108" w:type="dxa"/>
            </w:tcMar>
            <w:vAlign w:val="center"/>
          </w:tcPr>
          <w:p w14:paraId="358D8941">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套</w:t>
            </w:r>
          </w:p>
        </w:tc>
      </w:tr>
      <w:tr w14:paraId="27D0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6" w:hRule="atLeast"/>
          <w:jc w:val="center"/>
        </w:trPr>
        <w:tc>
          <w:tcPr>
            <w:tcW w:w="469" w:type="dxa"/>
            <w:noWrap w:val="0"/>
            <w:tcMar>
              <w:top w:w="0" w:type="dxa"/>
              <w:left w:w="108" w:type="dxa"/>
              <w:bottom w:w="0" w:type="dxa"/>
              <w:right w:w="108" w:type="dxa"/>
            </w:tcMar>
            <w:vAlign w:val="center"/>
          </w:tcPr>
          <w:p w14:paraId="12EE3214">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2</w:t>
            </w:r>
          </w:p>
        </w:tc>
        <w:tc>
          <w:tcPr>
            <w:tcW w:w="1448" w:type="dxa"/>
            <w:noWrap w:val="0"/>
            <w:tcMar>
              <w:top w:w="0" w:type="dxa"/>
              <w:left w:w="108" w:type="dxa"/>
              <w:bottom w:w="0" w:type="dxa"/>
              <w:right w:w="108" w:type="dxa"/>
            </w:tcMar>
            <w:vAlign w:val="center"/>
          </w:tcPr>
          <w:p w14:paraId="791D74B7">
            <w:pPr>
              <w:spacing w:line="320" w:lineRule="exact"/>
              <w:jc w:val="center"/>
              <w:rPr>
                <w:rFonts w:hint="default" w:ascii="仿宋_GB2312" w:hAnsi="仿宋_GB2312" w:eastAsia="仿宋_GB2312" w:cs="仿宋_GB2312"/>
                <w:bCs/>
                <w:kern w:val="2"/>
                <w:sz w:val="24"/>
                <w:szCs w:val="24"/>
                <w:lang w:val="en-US" w:eastAsia="zh-CN"/>
              </w:rPr>
            </w:pPr>
            <w:r>
              <w:rPr>
                <w:rFonts w:hint="default" w:ascii="仿宋_GB2312" w:hAnsi="仿宋_GB2312" w:eastAsia="仿宋_GB2312" w:cs="仿宋_GB2312"/>
                <w:bCs/>
                <w:kern w:val="2"/>
                <w:sz w:val="24"/>
                <w:szCs w:val="24"/>
                <w:lang w:val="en-US" w:eastAsia="zh-CN"/>
              </w:rPr>
              <w:t>万方数据知识平台</w:t>
            </w:r>
          </w:p>
        </w:tc>
        <w:tc>
          <w:tcPr>
            <w:tcW w:w="1971" w:type="dxa"/>
            <w:noWrap w:val="0"/>
            <w:tcMar>
              <w:top w:w="0" w:type="dxa"/>
              <w:left w:w="108" w:type="dxa"/>
              <w:bottom w:w="0" w:type="dxa"/>
              <w:right w:w="108" w:type="dxa"/>
            </w:tcMar>
            <w:vAlign w:val="center"/>
          </w:tcPr>
          <w:p w14:paraId="6E08923F">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北京万方数据股份有限公司</w:t>
            </w:r>
          </w:p>
        </w:tc>
        <w:tc>
          <w:tcPr>
            <w:tcW w:w="9163" w:type="dxa"/>
            <w:noWrap w:val="0"/>
            <w:tcMar>
              <w:top w:w="0" w:type="dxa"/>
              <w:left w:w="108" w:type="dxa"/>
              <w:bottom w:w="0" w:type="dxa"/>
              <w:right w:w="108" w:type="dxa"/>
            </w:tcMar>
            <w:vAlign w:val="center"/>
          </w:tcPr>
          <w:p w14:paraId="7FE1077A">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1、具有AI增强检索、初级检索（字段检索）、高级检索（逻辑组合检索）、专业检索（用CQL表达式检索）、作者发文检索、二次检索（在结果中进行检索）等功能。</w:t>
            </w:r>
          </w:p>
          <w:p w14:paraId="7B1691DB">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2、智能排序功能：提供按相关度、出版时间、被引频次进行排序。</w:t>
            </w:r>
          </w:p>
          <w:p w14:paraId="021A369B">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3、期刊论文数据库：总库不少于7000种，论文数量不少于4500万篇，覆盖理、工、农、医、经济、教育、文艺、社科、哲学政法等学科。开通医药卫生、工业技术、哲学政法专辑使用一年。</w:t>
            </w:r>
          </w:p>
          <w:p w14:paraId="7A236A25">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4、会议论文数据库：总库收录了自1982年至今会议论文总量不少于250余万篇。以国家级学会、协会、研究会组织、部委、高校召开的全国性学术会议论文为主，年收集约2000个重要的学术会议。开通医药卫生、工业技术、哲学政法专辑使用一年。</w:t>
            </w:r>
          </w:p>
          <w:p w14:paraId="00DFE231">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5、专利数据库：总库收录了国内外的发明专利、实用新型及外观设计专利不少于1.8亿余条，其中中国专利不少于6400余万条，国外专利不少于1.1亿余条。开通医药卫生、工业技术、哲学政法专辑使用一年。</w:t>
            </w:r>
          </w:p>
          <w:p w14:paraId="345DAE90">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6、法律法规数据库：总库收录始于1949年，涵盖国家法律法规、行政法规、地方法规、国际条约及惯例、司法解释、合同范本等，全库的数据总条数不少于160万余条，年新增量不低于8万条。开通医药卫生、工业技术、哲学政法专辑使用一年。</w:t>
            </w:r>
          </w:p>
          <w:p w14:paraId="12A042F7">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7、万方视频数据库：开通互联网技能实训系列、高校精品课程系列、中华医学会系列、中医药管理局系列视频使用一年。</w:t>
            </w:r>
          </w:p>
          <w:p w14:paraId="2DE08409">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8、服务方式：网络ip包库远程访问服务方式。</w:t>
            </w:r>
          </w:p>
        </w:tc>
        <w:tc>
          <w:tcPr>
            <w:tcW w:w="693" w:type="dxa"/>
            <w:noWrap w:val="0"/>
            <w:tcMar>
              <w:top w:w="0" w:type="dxa"/>
              <w:left w:w="108" w:type="dxa"/>
              <w:bottom w:w="0" w:type="dxa"/>
              <w:right w:w="108" w:type="dxa"/>
            </w:tcMar>
            <w:vAlign w:val="center"/>
          </w:tcPr>
          <w:p w14:paraId="7689EF53">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w:t>
            </w:r>
          </w:p>
        </w:tc>
        <w:tc>
          <w:tcPr>
            <w:tcW w:w="693" w:type="dxa"/>
            <w:noWrap w:val="0"/>
            <w:tcMar>
              <w:top w:w="0" w:type="dxa"/>
              <w:left w:w="108" w:type="dxa"/>
              <w:bottom w:w="0" w:type="dxa"/>
              <w:right w:w="108" w:type="dxa"/>
            </w:tcMar>
            <w:vAlign w:val="center"/>
          </w:tcPr>
          <w:p w14:paraId="28905C07">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套</w:t>
            </w:r>
          </w:p>
        </w:tc>
      </w:tr>
      <w:tr w14:paraId="1507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469" w:type="dxa"/>
            <w:noWrap w:val="0"/>
            <w:tcMar>
              <w:top w:w="0" w:type="dxa"/>
              <w:left w:w="108" w:type="dxa"/>
              <w:bottom w:w="0" w:type="dxa"/>
              <w:right w:w="108" w:type="dxa"/>
            </w:tcMar>
            <w:vAlign w:val="center"/>
          </w:tcPr>
          <w:p w14:paraId="73BC2019">
            <w:pPr>
              <w:spacing w:line="320" w:lineRule="exact"/>
              <w:jc w:val="center"/>
              <w:rPr>
                <w:rFonts w:hint="default"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3</w:t>
            </w:r>
          </w:p>
        </w:tc>
        <w:tc>
          <w:tcPr>
            <w:tcW w:w="1448" w:type="dxa"/>
            <w:noWrap w:val="0"/>
            <w:tcMar>
              <w:top w:w="0" w:type="dxa"/>
              <w:left w:w="108" w:type="dxa"/>
              <w:bottom w:w="0" w:type="dxa"/>
              <w:right w:w="108" w:type="dxa"/>
            </w:tcMar>
            <w:vAlign w:val="center"/>
          </w:tcPr>
          <w:p w14:paraId="2FAA82DA">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SCIPOINT科沿支点学术文献服务平台</w:t>
            </w:r>
          </w:p>
        </w:tc>
        <w:tc>
          <w:tcPr>
            <w:tcW w:w="1971" w:type="dxa"/>
            <w:noWrap w:val="0"/>
            <w:tcMar>
              <w:top w:w="0" w:type="dxa"/>
              <w:left w:w="108" w:type="dxa"/>
              <w:bottom w:w="0" w:type="dxa"/>
              <w:right w:w="108" w:type="dxa"/>
            </w:tcMar>
            <w:vAlign w:val="center"/>
          </w:tcPr>
          <w:p w14:paraId="519EC17C">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北京芯知识科技有限公司</w:t>
            </w:r>
          </w:p>
        </w:tc>
        <w:tc>
          <w:tcPr>
            <w:tcW w:w="9163" w:type="dxa"/>
            <w:noWrap w:val="0"/>
            <w:tcMar>
              <w:top w:w="0" w:type="dxa"/>
              <w:left w:w="108" w:type="dxa"/>
              <w:bottom w:w="0" w:type="dxa"/>
              <w:right w:w="108" w:type="dxa"/>
            </w:tcMar>
            <w:vAlign w:val="center"/>
          </w:tcPr>
          <w:p w14:paraId="7C3045E3">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（一）资源数量</w:t>
            </w:r>
          </w:p>
          <w:p w14:paraId="3F98D1FB">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提供不低于3亿条文献目录数据，具体包含以下类别文献：</w:t>
            </w:r>
          </w:p>
          <w:p w14:paraId="60987D48">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▲1、期刊论文：提供不低于58000种全球利用率最高的期刊，包括SCI (以及SSCI) 收录的8800余种期刊，完整率不低于98%。</w:t>
            </w:r>
          </w:p>
          <w:p w14:paraId="75F46F4C">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2、学位论文：收录不低于1000所欧美知名大学的博硕士论文，收录数量不低于350万篇，涵盖所有学科领域。</w:t>
            </w:r>
          </w:p>
          <w:p w14:paraId="1E57686F">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3、会议论文：自1985年以来，收录世界各主要学协会、出版机构出版的学术会议论文不低于600万篇，每年新增不低于20万篇。</w:t>
            </w:r>
          </w:p>
          <w:p w14:paraId="1B1E5A3D">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▲4、科技报告：收录全球顶尖科研机构和研究所的科技报告相关文献，总量不低于550万条，每年新增不低于2万条。</w:t>
            </w:r>
          </w:p>
          <w:p w14:paraId="51953468">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5、电子图书：提供不低于400万册外文学术电子图书数据，涵盖医学、工程技术、经济管理等学科。</w:t>
            </w:r>
          </w:p>
          <w:p w14:paraId="70166756">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6、影响因子：提供Web of Science的JCR(Journal Citation Reports)，涵盖JCR Science Edition和JCR Social Sciences Edition的影响因子数据查询。</w:t>
            </w:r>
          </w:p>
          <w:p w14:paraId="531F21A6">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7、预警期刊：提供预警期刊查询，显示预警原因、发布时间等数据。</w:t>
            </w:r>
          </w:p>
          <w:p w14:paraId="56E7C27E">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（二）资源收录范围</w:t>
            </w:r>
          </w:p>
          <w:p w14:paraId="209AE0CF">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涉及哲学、经济学、法学、教育学、文学、历史学、理学、工学、农学、医学、军事学、管理学等全部学科领域。</w:t>
            </w:r>
          </w:p>
          <w:p w14:paraId="5220710D">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（三）更新周期：数据按月更新。</w:t>
            </w:r>
          </w:p>
          <w:p w14:paraId="13B4FC53">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（四）检索功能：具有快速检索、高级检索功能。平台支持按期刊种类进行深入浏览和精确检索，用户可以查看期刊的详细资料，并通过年卷期等维度对期刊文献进行高效查找。</w:t>
            </w:r>
          </w:p>
          <w:p w14:paraId="7AB175A1">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（五）文献保障：</w:t>
            </w:r>
          </w:p>
          <w:p w14:paraId="03A5B3F3">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▲1、平台支持PC端和移动端小程序同步使用，移动端和PC端都具备文献检索和文献传递服务功能。</w:t>
            </w:r>
          </w:p>
          <w:p w14:paraId="5D67EA61">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▲2、提供浏览器插件功能，支持一键快传。安装插件后，在浏览任何网页时，选中想要获取文献的题名、DOI、ISBN、或者网页地址，右键点击即一键快传即可实现文献传递服务。</w:t>
            </w:r>
          </w:p>
          <w:p w14:paraId="5630928E">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3、提供自助检索文献服务和人工代查服务，人工代查7*24小时在线服务。</w:t>
            </w:r>
          </w:p>
          <w:p w14:paraId="2612DE87">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▲4、文献传递成功率95%以上，平均文献传递时间小于3分钟。</w:t>
            </w:r>
          </w:p>
          <w:p w14:paraId="03A7E5A3">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▲5、平台提供多种身份认证功能，包括IP地址认证、统一身份认证等，通过机构认证的用户不受IP限制，可以通过账号登录。</w:t>
            </w:r>
          </w:p>
          <w:p w14:paraId="7B00C7FE">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（六）访问方式：远程访问。</w:t>
            </w:r>
          </w:p>
        </w:tc>
        <w:tc>
          <w:tcPr>
            <w:tcW w:w="693" w:type="dxa"/>
            <w:noWrap w:val="0"/>
            <w:tcMar>
              <w:top w:w="0" w:type="dxa"/>
              <w:left w:w="108" w:type="dxa"/>
              <w:bottom w:w="0" w:type="dxa"/>
              <w:right w:w="108" w:type="dxa"/>
            </w:tcMar>
            <w:vAlign w:val="center"/>
          </w:tcPr>
          <w:p w14:paraId="262C5E7C">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w:t>
            </w:r>
          </w:p>
        </w:tc>
        <w:tc>
          <w:tcPr>
            <w:tcW w:w="693" w:type="dxa"/>
            <w:noWrap w:val="0"/>
            <w:tcMar>
              <w:top w:w="0" w:type="dxa"/>
              <w:left w:w="108" w:type="dxa"/>
              <w:bottom w:w="0" w:type="dxa"/>
              <w:right w:w="108" w:type="dxa"/>
            </w:tcMar>
            <w:vAlign w:val="center"/>
          </w:tcPr>
          <w:p w14:paraId="50A72363">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套</w:t>
            </w:r>
          </w:p>
        </w:tc>
      </w:tr>
      <w:tr w14:paraId="1EE8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469" w:type="dxa"/>
            <w:noWrap w:val="0"/>
            <w:tcMar>
              <w:top w:w="0" w:type="dxa"/>
              <w:left w:w="108" w:type="dxa"/>
              <w:bottom w:w="0" w:type="dxa"/>
              <w:right w:w="108" w:type="dxa"/>
            </w:tcMar>
            <w:vAlign w:val="center"/>
          </w:tcPr>
          <w:p w14:paraId="1E9E5EB1">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4</w:t>
            </w:r>
          </w:p>
        </w:tc>
        <w:tc>
          <w:tcPr>
            <w:tcW w:w="1448" w:type="dxa"/>
            <w:noWrap w:val="0"/>
            <w:tcMar>
              <w:top w:w="0" w:type="dxa"/>
              <w:left w:w="108" w:type="dxa"/>
              <w:bottom w:w="0" w:type="dxa"/>
              <w:right w:w="108" w:type="dxa"/>
            </w:tcMar>
            <w:vAlign w:val="center"/>
          </w:tcPr>
          <w:p w14:paraId="366F04E4">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杰程专升本云课堂</w:t>
            </w:r>
          </w:p>
        </w:tc>
        <w:tc>
          <w:tcPr>
            <w:tcW w:w="1971" w:type="dxa"/>
            <w:noWrap w:val="0"/>
            <w:tcMar>
              <w:top w:w="0" w:type="dxa"/>
              <w:left w:w="108" w:type="dxa"/>
              <w:bottom w:w="0" w:type="dxa"/>
              <w:right w:w="108" w:type="dxa"/>
            </w:tcMar>
            <w:vAlign w:val="center"/>
          </w:tcPr>
          <w:p w14:paraId="0872267D">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河南浩越数字科技有限公司</w:t>
            </w:r>
          </w:p>
        </w:tc>
        <w:tc>
          <w:tcPr>
            <w:tcW w:w="9163" w:type="dxa"/>
            <w:noWrap w:val="0"/>
            <w:tcMar>
              <w:top w:w="0" w:type="dxa"/>
              <w:left w:w="108" w:type="dxa"/>
              <w:bottom w:w="0" w:type="dxa"/>
              <w:right w:w="108" w:type="dxa"/>
            </w:tcMar>
            <w:vAlign w:val="center"/>
          </w:tcPr>
          <w:p w14:paraId="61C8B172">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考试科目包含大学语文、大学英语、高等数学、计算机基础、思想政治、经济学、法学基础、管理学、生理学、解剖学、教育学、心里学、艺术概论等，学习内容符合河南省普通高校专升本考试要求。其中，大学英语、大学语文、高等数学、计算机基础和政治理论课程具备完整的知识体系，视频课程内容与知识体系匹配，视频课程配套随堂练习，练习题目提供正确答案、题目解析、知识点展示。</w:t>
            </w:r>
          </w:p>
          <w:p w14:paraId="32223A49">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 xml:space="preserve">2. 包括大学语文、大学英语、高等数学、计算机基础、政治理论等考试科目2020年以后的真题试卷，保持原试卷的基本信息，包括题干、选项、分值、答卷时间、答案、解析等。                                       </w:t>
            </w:r>
          </w:p>
          <w:p w14:paraId="5C18C568">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3. 视频课程不低于1600课时，时长不低于700小时，真题试卷不低于550套，知识点试题不低于32000道。</w:t>
            </w:r>
          </w:p>
          <w:p w14:paraId="48E16604">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4. 所有资源具有合法版权。构建完整的教学体系，以知识点为中心，串联起课程、知识点试题、真题试卷，形成教学闭环。</w:t>
            </w:r>
          </w:p>
          <w:p w14:paraId="7B4D0C4D">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5. 具有随堂练习、知识点练习、自由训练、错题分类练习（考点错题、自由错题、真题做题）、真题练习等学习功能。</w:t>
            </w:r>
          </w:p>
          <w:p w14:paraId="7C92F836">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6. 支持关键词检索、分类排序，支持客观题自动阅卷，支持试卷主观题目自评，支持试卷重做、连续考试、查看题目解析。</w:t>
            </w:r>
          </w:p>
          <w:p w14:paraId="69657BFC">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7. 具有个人学习能力评估，包括按天、周、月统计个人练习成绩的正确率，能按照知识点统计正确率，按题型统计正确率。</w:t>
            </w:r>
          </w:p>
          <w:p w14:paraId="259ECC12">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8. 学习中心能显示个人学习总体情况，如课程学习进度，当天学习时长、学习天数、完成课时数、做题总量、做试卷总数、正确率等关键数据。</w:t>
            </w:r>
          </w:p>
          <w:p w14:paraId="0CA1340A">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9.平台提供每道试题的智能解析，解析内容包括但不限于:核心考点提示、确定解题方法、详细推理过程、答案验证、常见错误预警、快速解题技巧、关联知识点扩展、变式例题展示、学习资源推荐。</w:t>
            </w:r>
          </w:p>
        </w:tc>
        <w:tc>
          <w:tcPr>
            <w:tcW w:w="693" w:type="dxa"/>
            <w:noWrap w:val="0"/>
            <w:tcMar>
              <w:top w:w="0" w:type="dxa"/>
              <w:left w:w="108" w:type="dxa"/>
              <w:bottom w:w="0" w:type="dxa"/>
              <w:right w:w="108" w:type="dxa"/>
            </w:tcMar>
            <w:vAlign w:val="center"/>
          </w:tcPr>
          <w:p w14:paraId="4177C6B4">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w:t>
            </w:r>
          </w:p>
        </w:tc>
        <w:tc>
          <w:tcPr>
            <w:tcW w:w="693" w:type="dxa"/>
            <w:noWrap w:val="0"/>
            <w:tcMar>
              <w:top w:w="0" w:type="dxa"/>
              <w:left w:w="108" w:type="dxa"/>
              <w:bottom w:w="0" w:type="dxa"/>
              <w:right w:w="108" w:type="dxa"/>
            </w:tcMar>
            <w:vAlign w:val="center"/>
          </w:tcPr>
          <w:p w14:paraId="55C35D95">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套</w:t>
            </w:r>
          </w:p>
        </w:tc>
      </w:tr>
      <w:tr w14:paraId="0DB0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469" w:type="dxa"/>
            <w:noWrap w:val="0"/>
            <w:tcMar>
              <w:top w:w="0" w:type="dxa"/>
              <w:left w:w="108" w:type="dxa"/>
              <w:bottom w:w="0" w:type="dxa"/>
              <w:right w:w="108" w:type="dxa"/>
            </w:tcMar>
            <w:vAlign w:val="center"/>
          </w:tcPr>
          <w:p w14:paraId="667D5247">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5</w:t>
            </w:r>
          </w:p>
        </w:tc>
        <w:tc>
          <w:tcPr>
            <w:tcW w:w="1448" w:type="dxa"/>
            <w:noWrap w:val="0"/>
            <w:tcMar>
              <w:top w:w="0" w:type="dxa"/>
              <w:left w:w="108" w:type="dxa"/>
              <w:bottom w:w="0" w:type="dxa"/>
              <w:right w:w="108" w:type="dxa"/>
            </w:tcMar>
            <w:vAlign w:val="center"/>
          </w:tcPr>
          <w:p w14:paraId="4C6C5AE2">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超星名师讲坛（超星学术视频）</w:t>
            </w:r>
          </w:p>
        </w:tc>
        <w:tc>
          <w:tcPr>
            <w:tcW w:w="1971" w:type="dxa"/>
            <w:noWrap w:val="0"/>
            <w:tcMar>
              <w:top w:w="0" w:type="dxa"/>
              <w:left w:w="108" w:type="dxa"/>
              <w:bottom w:w="0" w:type="dxa"/>
              <w:right w:w="108" w:type="dxa"/>
            </w:tcMar>
            <w:vAlign w:val="center"/>
          </w:tcPr>
          <w:p w14:paraId="4ACD221D">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河南超星数图信息技术有限公司</w:t>
            </w:r>
          </w:p>
        </w:tc>
        <w:tc>
          <w:tcPr>
            <w:tcW w:w="9163" w:type="dxa"/>
            <w:noWrap w:val="0"/>
            <w:tcMar>
              <w:top w:w="0" w:type="dxa"/>
              <w:left w:w="108" w:type="dxa"/>
              <w:bottom w:w="0" w:type="dxa"/>
              <w:right w:w="108" w:type="dxa"/>
            </w:tcMar>
            <w:vAlign w:val="center"/>
          </w:tcPr>
          <w:p w14:paraId="7FCF171D">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版权清晰，著作人直接授权</w:t>
            </w:r>
          </w:p>
          <w:p w14:paraId="46E29F74">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1、视频由主讲人直接授权拍摄；</w:t>
            </w:r>
          </w:p>
          <w:p w14:paraId="4B913A7F">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2、根据讲座举办具体情况，采用主办单位、主讲人分别授权或单独授权；</w:t>
            </w:r>
          </w:p>
          <w:p w14:paraId="4F7BB14A">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3、授权文件可以进行示范或抽查。</w:t>
            </w:r>
          </w:p>
          <w:p w14:paraId="2490111C">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独家资源，与其他平台及网络公开资源无大量重复</w:t>
            </w:r>
          </w:p>
          <w:p w14:paraId="7517A4F9">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1、未有购买第三方视频内容；</w:t>
            </w:r>
          </w:p>
          <w:p w14:paraId="1A497B12">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2、所有节目均为自主录制并在自身平台发布；</w:t>
            </w:r>
          </w:p>
          <w:p w14:paraId="50BDCF78">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3、未有盗用、转链网络公开资源；</w:t>
            </w:r>
          </w:p>
          <w:p w14:paraId="69408C7C">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4、与网络第三方资源无有大量重复（重复率小于百分之一）。</w:t>
            </w:r>
          </w:p>
          <w:p w14:paraId="715A56A1">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分类科学，参考大学课程体系</w:t>
            </w:r>
          </w:p>
          <w:p w14:paraId="02ACD3D6">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1、学科分类参照国家标准全日制大学体系；</w:t>
            </w:r>
          </w:p>
          <w:p w14:paraId="2868B95D">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2、学科：哲学、经济学、法学、教育学、文学、历史学、理学、工学、农学、医学、管理学和艺术学等，向二级学科以及各专业延伸。</w:t>
            </w:r>
          </w:p>
          <w:p w14:paraId="0A3DFD65">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来源优质，主讲人含院士或长江学者或国家级教学名师</w:t>
            </w:r>
          </w:p>
          <w:p w14:paraId="1CC59BFD">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1、主要收录985、211高校、科研机构、行业组织的学术权威和国内外名师名人的课程和讲座；</w:t>
            </w:r>
          </w:p>
          <w:p w14:paraId="68DAA7C3">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 xml:space="preserve">2、遴选主讲人、课题、现场效果、拍摄片源、制作情况俱佳的视频进行发布。 </w:t>
            </w:r>
          </w:p>
          <w:p w14:paraId="3B5AB716">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每日更新30分钟一讲座，保证用户头部需求。</w:t>
            </w:r>
          </w:p>
          <w:p w14:paraId="09E42E8B">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搜索精准，能够帮助用户快速、准确地检索目标视频。</w:t>
            </w:r>
          </w:p>
          <w:p w14:paraId="443F00D7">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1、对定义、观点、精彩片段制作微视频，实现对视频内容的精准定位检索；</w:t>
            </w:r>
          </w:p>
          <w:p w14:paraId="61DFA3FB">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功能强大的手机页</w:t>
            </w:r>
          </w:p>
          <w:p w14:paraId="3130C089">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1、单独开发适用于手机端的网页，采用H5播放器，具有很好的兼容性和容错性， 无需单独下载app，打开直接观看，简单方便；</w:t>
            </w:r>
          </w:p>
          <w:p w14:paraId="756386AC">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2、可将手机页内嵌入图书馆现有移动图书馆，统一读者终端，丰富移动图书馆内容。</w:t>
            </w:r>
          </w:p>
        </w:tc>
        <w:tc>
          <w:tcPr>
            <w:tcW w:w="693" w:type="dxa"/>
            <w:noWrap w:val="0"/>
            <w:tcMar>
              <w:top w:w="0" w:type="dxa"/>
              <w:left w:w="108" w:type="dxa"/>
              <w:bottom w:w="0" w:type="dxa"/>
              <w:right w:w="108" w:type="dxa"/>
            </w:tcMar>
            <w:vAlign w:val="center"/>
          </w:tcPr>
          <w:p w14:paraId="688D15B3">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w:t>
            </w:r>
          </w:p>
        </w:tc>
        <w:tc>
          <w:tcPr>
            <w:tcW w:w="693" w:type="dxa"/>
            <w:noWrap w:val="0"/>
            <w:tcMar>
              <w:top w:w="0" w:type="dxa"/>
              <w:left w:w="108" w:type="dxa"/>
              <w:bottom w:w="0" w:type="dxa"/>
              <w:right w:w="108" w:type="dxa"/>
            </w:tcMar>
            <w:vAlign w:val="center"/>
          </w:tcPr>
          <w:p w14:paraId="1E192D23">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套</w:t>
            </w:r>
          </w:p>
        </w:tc>
      </w:tr>
      <w:tr w14:paraId="2EA7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469" w:type="dxa"/>
            <w:noWrap w:val="0"/>
            <w:tcMar>
              <w:top w:w="0" w:type="dxa"/>
              <w:left w:w="108" w:type="dxa"/>
              <w:bottom w:w="0" w:type="dxa"/>
              <w:right w:w="108" w:type="dxa"/>
            </w:tcMar>
            <w:vAlign w:val="center"/>
          </w:tcPr>
          <w:p w14:paraId="013AD516">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6</w:t>
            </w:r>
          </w:p>
        </w:tc>
        <w:tc>
          <w:tcPr>
            <w:tcW w:w="1448" w:type="dxa"/>
            <w:noWrap w:val="0"/>
            <w:tcMar>
              <w:top w:w="0" w:type="dxa"/>
              <w:left w:w="108" w:type="dxa"/>
              <w:bottom w:w="0" w:type="dxa"/>
              <w:right w:w="108" w:type="dxa"/>
            </w:tcMar>
            <w:vAlign w:val="center"/>
          </w:tcPr>
          <w:p w14:paraId="0762F14D">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畅想之星馆配电子书平台</w:t>
            </w:r>
          </w:p>
        </w:tc>
        <w:tc>
          <w:tcPr>
            <w:tcW w:w="1971" w:type="dxa"/>
            <w:noWrap w:val="0"/>
            <w:tcMar>
              <w:top w:w="0" w:type="dxa"/>
              <w:left w:w="108" w:type="dxa"/>
              <w:bottom w:w="0" w:type="dxa"/>
              <w:right w:w="108" w:type="dxa"/>
            </w:tcMar>
            <w:vAlign w:val="center"/>
          </w:tcPr>
          <w:p w14:paraId="38934A4E">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北京畅想之星信息技术有限公司</w:t>
            </w:r>
          </w:p>
        </w:tc>
        <w:tc>
          <w:tcPr>
            <w:tcW w:w="9163" w:type="dxa"/>
            <w:noWrap w:val="0"/>
            <w:tcMar>
              <w:top w:w="0" w:type="dxa"/>
              <w:left w:w="108" w:type="dxa"/>
              <w:bottom w:w="0" w:type="dxa"/>
              <w:right w:w="108" w:type="dxa"/>
            </w:tcMar>
            <w:vAlign w:val="center"/>
          </w:tcPr>
          <w:p w14:paraId="29ADA668">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1、所有电子书均为出版方发行的正版电子出版物，均有合法授权；</w:t>
            </w:r>
          </w:p>
          <w:p w14:paraId="5D7679B9">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2、可提供不少于60万种的电子图书供图书馆采选；</w:t>
            </w:r>
          </w:p>
          <w:p w14:paraId="36BF7752">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3、编目数据：可提供符合国图标准和CALIS标准的电子图书的CNMARC数据，支持编目入藏，可导入图书馆自动化管理系统，纳入馆藏统计册数，并做图书馆资产管理；</w:t>
            </w:r>
          </w:p>
          <w:p w14:paraId="15E40B54">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4、电子书的文件格式为：EBK\CXBP、CXBF，电子书原文件均为出版社提供的标准排版格式文件转换的矢量格式文件，非扫描PDF文件；</w:t>
            </w:r>
          </w:p>
          <w:p w14:paraId="5585D5C6">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5、图书馆采购的电子书可以镜像到本地，在内部局域网内使用，并供认证持卡读者远程访问使用，电子书平台永久免费升级维护，保证所购电子图书正常使用。</w:t>
            </w:r>
          </w:p>
          <w:p w14:paraId="74F5F764">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6、支持PC Web、PC客户端、Android、IOS及H5、触摸屏电子书借阅设备等多终端设备的使用，电子书无需安装APP即可微信阅读，并可嵌入图书馆微信公众号，并绑定读者卡号实现免登录使用；</w:t>
            </w:r>
          </w:p>
          <w:p w14:paraId="6B004042">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7、支持根据图书馆读者需求进行采购的PDA模式，读者每阅读一本书即视为已采购。图书馆可对PDA设置相应参数：PDA采购总量、图书出版时间、读者对象、出版社、中图法与学科分类法类别（三级分类）、单个读者采购总金额/种数/单本金额上限以及角色等参数。</w:t>
            </w:r>
          </w:p>
        </w:tc>
        <w:tc>
          <w:tcPr>
            <w:tcW w:w="693" w:type="dxa"/>
            <w:noWrap w:val="0"/>
            <w:tcMar>
              <w:top w:w="0" w:type="dxa"/>
              <w:left w:w="108" w:type="dxa"/>
              <w:bottom w:w="0" w:type="dxa"/>
              <w:right w:w="108" w:type="dxa"/>
            </w:tcMar>
            <w:vAlign w:val="center"/>
          </w:tcPr>
          <w:p w14:paraId="03B6370D">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w:t>
            </w:r>
          </w:p>
        </w:tc>
        <w:tc>
          <w:tcPr>
            <w:tcW w:w="693" w:type="dxa"/>
            <w:noWrap w:val="0"/>
            <w:tcMar>
              <w:top w:w="0" w:type="dxa"/>
              <w:left w:w="108" w:type="dxa"/>
              <w:bottom w:w="0" w:type="dxa"/>
              <w:right w:w="108" w:type="dxa"/>
            </w:tcMar>
            <w:vAlign w:val="center"/>
          </w:tcPr>
          <w:p w14:paraId="74709F65">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套</w:t>
            </w:r>
          </w:p>
        </w:tc>
      </w:tr>
      <w:tr w14:paraId="21CC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469" w:type="dxa"/>
            <w:noWrap w:val="0"/>
            <w:tcMar>
              <w:top w:w="0" w:type="dxa"/>
              <w:left w:w="108" w:type="dxa"/>
              <w:bottom w:w="0" w:type="dxa"/>
              <w:right w:w="108" w:type="dxa"/>
            </w:tcMar>
            <w:vAlign w:val="center"/>
          </w:tcPr>
          <w:p w14:paraId="49A1E9B9">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7</w:t>
            </w:r>
          </w:p>
        </w:tc>
        <w:tc>
          <w:tcPr>
            <w:tcW w:w="1448" w:type="dxa"/>
            <w:noWrap w:val="0"/>
            <w:tcMar>
              <w:top w:w="0" w:type="dxa"/>
              <w:left w:w="108" w:type="dxa"/>
              <w:bottom w:w="0" w:type="dxa"/>
              <w:right w:w="108" w:type="dxa"/>
            </w:tcMar>
            <w:vAlign w:val="center"/>
          </w:tcPr>
          <w:p w14:paraId="4F3085ED">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高等教育学科建设知识库-文泉学堂</w:t>
            </w:r>
          </w:p>
        </w:tc>
        <w:tc>
          <w:tcPr>
            <w:tcW w:w="1971" w:type="dxa"/>
            <w:noWrap w:val="0"/>
            <w:tcMar>
              <w:top w:w="0" w:type="dxa"/>
              <w:left w:w="108" w:type="dxa"/>
              <w:bottom w:w="0" w:type="dxa"/>
              <w:right w:w="108" w:type="dxa"/>
            </w:tcMar>
            <w:vAlign w:val="center"/>
          </w:tcPr>
          <w:p w14:paraId="1B2DB260">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郑州码源信息技术有限公司</w:t>
            </w:r>
          </w:p>
        </w:tc>
        <w:tc>
          <w:tcPr>
            <w:tcW w:w="9163" w:type="dxa"/>
            <w:noWrap w:val="0"/>
            <w:tcMar>
              <w:top w:w="0" w:type="dxa"/>
              <w:left w:w="108" w:type="dxa"/>
              <w:bottom w:w="0" w:type="dxa"/>
              <w:right w:w="108" w:type="dxa"/>
            </w:tcMar>
            <w:vAlign w:val="center"/>
          </w:tcPr>
          <w:p w14:paraId="6FD5E61B">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资源内容：文泉学堂知识库是以清华大学出版社独家资源为核心，联合多家大学出版社的高等教育专业内容资源，形成以电子书和配套的多媒体附件为基础，涵盖特色课程资源，内嵌教师服务功能的专业知识服务平台。教材版本新颖、配套内容贴合专业；平台丰富的多媒体课件、配套资源，有力服务学校数字化教学建设、高水平专业群打造与职业本科培育相关工作。此次采购计算机和电子信息、工学、经济和医学4个学科包资源，图书种类不低于4万种，赠送250门在线课程，128种外文学术期刊。</w:t>
            </w:r>
          </w:p>
          <w:p w14:paraId="218B47D3">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2.教师服务功能：教师在线认证身份后，可免费申请纸质教材样书、下载教材课件；支持组建管理班级，关联教材查看班级阅读数据及课程学习情况；支持自建课程，提供资源上传、在线组卷、交互讨论等功能。</w:t>
            </w:r>
          </w:p>
          <w:p w14:paraId="0104592D">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3.检索与阅读功能：支持目录搜索，可对全库电子书的目录进行颗粒化搜索，并支持快速跳转正文内容；支持自主切换版式排版或流式排版阅读文件；阅读页面支持书签、复制、批注与划线、搜索网页功能；自适应布局，电子书相关富媒体资源可与阅读页面同屏显示；图书全文的文字信息均可被检索和划线标注，其关键搜索词会以黄色高亮的样式在阅读页面中标识。搜索词与不同色彩划线，可支持一键跳转正文位置；完整、详细的图书目录提供双入口（图书主页和阅读页）并支持快速一键跳转正文位置</w:t>
            </w:r>
          </w:p>
          <w:p w14:paraId="1DBE97A4">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4.访问方式：IP地址范围内，远程在线访问。</w:t>
            </w:r>
          </w:p>
        </w:tc>
        <w:tc>
          <w:tcPr>
            <w:tcW w:w="693" w:type="dxa"/>
            <w:noWrap w:val="0"/>
            <w:tcMar>
              <w:top w:w="0" w:type="dxa"/>
              <w:left w:w="108" w:type="dxa"/>
              <w:bottom w:w="0" w:type="dxa"/>
              <w:right w:w="108" w:type="dxa"/>
            </w:tcMar>
            <w:vAlign w:val="center"/>
          </w:tcPr>
          <w:p w14:paraId="0D8372AD">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w:t>
            </w:r>
          </w:p>
        </w:tc>
        <w:tc>
          <w:tcPr>
            <w:tcW w:w="693" w:type="dxa"/>
            <w:noWrap w:val="0"/>
            <w:tcMar>
              <w:top w:w="0" w:type="dxa"/>
              <w:left w:w="108" w:type="dxa"/>
              <w:bottom w:w="0" w:type="dxa"/>
              <w:right w:w="108" w:type="dxa"/>
            </w:tcMar>
            <w:vAlign w:val="center"/>
          </w:tcPr>
          <w:p w14:paraId="1C243713">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套</w:t>
            </w:r>
          </w:p>
        </w:tc>
      </w:tr>
      <w:tr w14:paraId="5EEC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469" w:type="dxa"/>
            <w:noWrap w:val="0"/>
            <w:tcMar>
              <w:top w:w="0" w:type="dxa"/>
              <w:left w:w="108" w:type="dxa"/>
              <w:bottom w:w="0" w:type="dxa"/>
              <w:right w:w="108" w:type="dxa"/>
            </w:tcMar>
            <w:vAlign w:val="center"/>
          </w:tcPr>
          <w:p w14:paraId="62A379F7">
            <w:pPr>
              <w:spacing w:line="320" w:lineRule="exact"/>
              <w:jc w:val="center"/>
              <w:rPr>
                <w:rFonts w:hint="default"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8</w:t>
            </w:r>
          </w:p>
        </w:tc>
        <w:tc>
          <w:tcPr>
            <w:tcW w:w="1448" w:type="dxa"/>
            <w:noWrap w:val="0"/>
            <w:tcMar>
              <w:top w:w="0" w:type="dxa"/>
              <w:left w:w="108" w:type="dxa"/>
              <w:bottom w:w="0" w:type="dxa"/>
              <w:right w:w="108" w:type="dxa"/>
            </w:tcMar>
            <w:vAlign w:val="center"/>
          </w:tcPr>
          <w:p w14:paraId="378B5B01">
            <w:pPr>
              <w:spacing w:line="320" w:lineRule="exact"/>
              <w:jc w:val="center"/>
              <w:rPr>
                <w:rFonts w:hint="default" w:ascii="仿宋_GB2312" w:hAnsi="仿宋_GB2312" w:eastAsia="仿宋_GB2312" w:cs="仿宋_GB2312"/>
                <w:bCs/>
                <w:kern w:val="2"/>
                <w:sz w:val="24"/>
                <w:szCs w:val="24"/>
                <w:lang w:val="en-US" w:eastAsia="zh-CN"/>
              </w:rPr>
            </w:pPr>
            <w:r>
              <w:rPr>
                <w:rFonts w:hint="default" w:ascii="仿宋_GB2312" w:hAnsi="仿宋_GB2312" w:eastAsia="仿宋_GB2312" w:cs="仿宋_GB2312"/>
                <w:bCs/>
                <w:kern w:val="2"/>
                <w:sz w:val="24"/>
                <w:szCs w:val="24"/>
                <w:lang w:val="en-US" w:eastAsia="zh-CN"/>
              </w:rPr>
              <w:t>博看微图万相</w:t>
            </w:r>
          </w:p>
        </w:tc>
        <w:tc>
          <w:tcPr>
            <w:tcW w:w="1971" w:type="dxa"/>
            <w:noWrap w:val="0"/>
            <w:tcMar>
              <w:top w:w="0" w:type="dxa"/>
              <w:left w:w="108" w:type="dxa"/>
              <w:bottom w:w="0" w:type="dxa"/>
              <w:right w:w="108" w:type="dxa"/>
            </w:tcMar>
            <w:vAlign w:val="center"/>
          </w:tcPr>
          <w:p w14:paraId="0A1FA8BA">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武汉鼎森电子科技有限公司</w:t>
            </w:r>
          </w:p>
        </w:tc>
        <w:tc>
          <w:tcPr>
            <w:tcW w:w="9163" w:type="dxa"/>
            <w:noWrap w:val="0"/>
            <w:tcMar>
              <w:top w:w="0" w:type="dxa"/>
              <w:left w:w="108" w:type="dxa"/>
              <w:bottom w:w="0" w:type="dxa"/>
              <w:right w:w="108" w:type="dxa"/>
            </w:tcMar>
            <w:vAlign w:val="center"/>
          </w:tcPr>
          <w:p w14:paraId="6C4E3C2E">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1、平台支持部署在PC端和移动端。</w:t>
            </w:r>
          </w:p>
          <w:p w14:paraId="19FBFF46">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2、主页导航：支持期刊、图书、有声，可扩展专题、党政类。</w:t>
            </w:r>
          </w:p>
          <w:p w14:paraId="2E65FEA1">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3、资源推荐：支持图书、期刊、有声排行榜推荐，支持新书推荐，支持新刊推荐，支持智能推荐。</w:t>
            </w:r>
          </w:p>
          <w:p w14:paraId="41556C3E">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4、支持在线文本阅读、原文阅读，AI阅读、听书阅读。</w:t>
            </w:r>
          </w:p>
          <w:p w14:paraId="4F12A52E">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5、支持AI全文阅读，自动总结全文内容。</w:t>
            </w:r>
          </w:p>
          <w:p w14:paraId="686A7435">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6、知识助手：提供常见问题、事物名词解读、自动生成解决方案服务。</w:t>
            </w:r>
          </w:p>
          <w:p w14:paraId="42877611">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7、专题研究：通过输入研究专题、获得专题大纲、填充大纲内容、获得研究报告、文档下载留存5个步骤获得专题研究报告。</w:t>
            </w:r>
          </w:p>
          <w:p w14:paraId="39FB24A7">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8、阅读功能：支持期刊图书关联短视频显示，支持期刊往期回顾，支持点赞、订阅功能。</w:t>
            </w:r>
          </w:p>
          <w:p w14:paraId="1E050FC2">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9、荐书视频：视频中可直接进行原文阅读和AI提问。</w:t>
            </w:r>
          </w:p>
          <w:p w14:paraId="23EBD504">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10、提供3D人物形象的AI阅读助手，支持语音、文字多种信息输入方式交互。</w:t>
            </w:r>
          </w:p>
          <w:p w14:paraId="428AEFDC">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11、AI荐书：可向AI阅读助手描述需要阅读书刊的需求，AI阅读助手会根据需求为你提供相关荐书视频与书刊，并支持体现大模型思考过程</w:t>
            </w:r>
          </w:p>
          <w:p w14:paraId="7758C732">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12、AI读书：辅助读者完成期刊或图书内容的总结及知识点的提取，可针对该文章或图书进行问答交互。</w:t>
            </w:r>
          </w:p>
          <w:p w14:paraId="293E2F0F">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13、移动端提供AI馆员、AI阅读助手、AI口语练习、AI舒压助手、AI模拟面试、AI职业规划6大智能体助手。</w:t>
            </w:r>
          </w:p>
          <w:p w14:paraId="44E6850A">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14、提供正版直接授权期刊不少于3000种、正版直接授权图书不少于50000册、正版有声期刊人声版资源不少于300种、AI荐读视频不少于20000种。</w:t>
            </w:r>
          </w:p>
          <w:p w14:paraId="6FA36E07">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使用方式:IP控制下的远程访问。</w:t>
            </w:r>
          </w:p>
        </w:tc>
        <w:tc>
          <w:tcPr>
            <w:tcW w:w="693" w:type="dxa"/>
            <w:noWrap w:val="0"/>
            <w:tcMar>
              <w:top w:w="0" w:type="dxa"/>
              <w:left w:w="108" w:type="dxa"/>
              <w:bottom w:w="0" w:type="dxa"/>
              <w:right w:w="108" w:type="dxa"/>
            </w:tcMar>
            <w:vAlign w:val="center"/>
          </w:tcPr>
          <w:p w14:paraId="1D56A772">
            <w:pPr>
              <w:spacing w:line="320" w:lineRule="exact"/>
              <w:jc w:val="center"/>
              <w:rPr>
                <w:rFonts w:hint="default"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w:t>
            </w:r>
          </w:p>
        </w:tc>
        <w:tc>
          <w:tcPr>
            <w:tcW w:w="693" w:type="dxa"/>
            <w:noWrap w:val="0"/>
            <w:tcMar>
              <w:top w:w="0" w:type="dxa"/>
              <w:left w:w="108" w:type="dxa"/>
              <w:bottom w:w="0" w:type="dxa"/>
              <w:right w:w="108" w:type="dxa"/>
            </w:tcMar>
            <w:vAlign w:val="center"/>
          </w:tcPr>
          <w:p w14:paraId="0B78E2E7">
            <w:pPr>
              <w:spacing w:line="320" w:lineRule="exact"/>
              <w:jc w:val="center"/>
              <w:rPr>
                <w:rFonts w:hint="default"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套</w:t>
            </w:r>
          </w:p>
        </w:tc>
      </w:tr>
      <w:tr w14:paraId="2739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469" w:type="dxa"/>
            <w:noWrap w:val="0"/>
            <w:tcMar>
              <w:top w:w="0" w:type="dxa"/>
              <w:left w:w="108" w:type="dxa"/>
              <w:bottom w:w="0" w:type="dxa"/>
              <w:right w:w="108" w:type="dxa"/>
            </w:tcMar>
            <w:vAlign w:val="center"/>
          </w:tcPr>
          <w:p w14:paraId="1D40D329">
            <w:pPr>
              <w:spacing w:line="320" w:lineRule="exact"/>
              <w:jc w:val="center"/>
              <w:rPr>
                <w:rFonts w:hint="default"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9</w:t>
            </w:r>
          </w:p>
        </w:tc>
        <w:tc>
          <w:tcPr>
            <w:tcW w:w="1448" w:type="dxa"/>
            <w:noWrap w:val="0"/>
            <w:tcMar>
              <w:top w:w="0" w:type="dxa"/>
              <w:left w:w="108" w:type="dxa"/>
              <w:bottom w:w="0" w:type="dxa"/>
              <w:right w:w="108" w:type="dxa"/>
            </w:tcMar>
            <w:vAlign w:val="center"/>
          </w:tcPr>
          <w:p w14:paraId="34B29429">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MET世界语言学习馆</w:t>
            </w:r>
          </w:p>
        </w:tc>
        <w:tc>
          <w:tcPr>
            <w:tcW w:w="1971" w:type="dxa"/>
            <w:noWrap w:val="0"/>
            <w:tcMar>
              <w:top w:w="0" w:type="dxa"/>
              <w:left w:w="108" w:type="dxa"/>
              <w:bottom w:w="0" w:type="dxa"/>
              <w:right w:w="108" w:type="dxa"/>
            </w:tcMar>
            <w:vAlign w:val="center"/>
          </w:tcPr>
          <w:p w14:paraId="288190ED">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阅途之星（广东）科技有限公司</w:t>
            </w:r>
          </w:p>
        </w:tc>
        <w:tc>
          <w:tcPr>
            <w:tcW w:w="9163" w:type="dxa"/>
            <w:noWrap w:val="0"/>
            <w:tcMar>
              <w:top w:w="0" w:type="dxa"/>
              <w:left w:w="108" w:type="dxa"/>
              <w:bottom w:w="0" w:type="dxa"/>
              <w:right w:w="108" w:type="dxa"/>
            </w:tcMar>
            <w:vAlign w:val="center"/>
          </w:tcPr>
          <w:p w14:paraId="3DCBC665">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1.1 MET世界语言学习馆英语馆课程50套：</w:t>
            </w:r>
          </w:p>
          <w:p w14:paraId="24FB06B9">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听力中心课程需有易读指标分类，需包含基础入门、初级提升、中级强化、高级应用、专业熟练、专家精通、考试听力等课程分类。</w:t>
            </w:r>
          </w:p>
          <w:p w14:paraId="491D35A6">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口语中心课程需有易读指标分类，阅读中心需包含教材教辅、小说、诗歌、戏剧、专业著作、童书、非虚构等电子图书，主题需涵盖口语、专门用途、日常会话、商务职场、考试、听力、写作、阅读、翻译、基础入门、词汇、发音、本科、语法、综合教程、海外文化等内容主题。</w:t>
            </w:r>
          </w:p>
          <w:p w14:paraId="1EED5092">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写作中心课程需有CSE分级，需包含书面描述、书面叙述、书面说明、书面指示、书面论述、书面互动等课程分类。</w:t>
            </w:r>
          </w:p>
          <w:p w14:paraId="389631FE">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翻译中心课程需有CSE分级，课程分类需包含书面描述、书面叙述、书面说明、书面指示、书面论述、书面互动、口头描述、口头说明、口头指示、口头论述、口头互动等课程分类。</w:t>
            </w:r>
          </w:p>
          <w:p w14:paraId="533DAD62">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考试中心课程需包含英语A级PRETCO-A、英语B级PRETCO-B、大学英语四级CET-4、大学英语六级CET-6、英语专业四级TEM-4、英语专业八级TEM-8、雅思考试IELTS、普通专升本招生考试（英语）、硕士研究生入学考试（英语）等课程。</w:t>
            </w:r>
          </w:p>
          <w:p w14:paraId="4C0EF080">
            <w:pPr>
              <w:spacing w:line="320" w:lineRule="exact"/>
              <w:jc w:val="left"/>
              <w:rPr>
                <w:rFonts w:hint="eastAsia" w:ascii="仿宋_GB2312" w:hAnsi="仿宋_GB2312" w:eastAsia="仿宋_GB2312" w:cs="仿宋_GB2312"/>
                <w:bCs/>
                <w:kern w:val="2"/>
                <w:sz w:val="24"/>
                <w:szCs w:val="24"/>
                <w:lang w:val="en-US" w:eastAsia="zh-CN"/>
              </w:rPr>
            </w:pPr>
          </w:p>
          <w:p w14:paraId="06DD2FF1">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1.2 听力中心需提供课文播放、抠词听写、单句校对、完篇校对、全篇听写5种训练模式并搭配智能听写校对功能。</w:t>
            </w:r>
          </w:p>
          <w:p w14:paraId="355AFD81">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口语中心需包含口语练习和视频学习两种模式。口语练习需搭配智能语音分析系统、人机对话训练系统、3D口型矫正系统（英式发音和美式发音），提供课文播放、单句练习、模仿跟读、角色扮演、听力训练、考试检测6种训练模式，并支持雅思口语考试模拟测试。</w:t>
            </w:r>
          </w:p>
          <w:p w14:paraId="125DFC8F">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阅读中心需包括精品图书、每日阅读、词汇测试、阅读报告等功能，提供PDF全文阅读，支持全屏、放大、缩小。</w:t>
            </w:r>
          </w:p>
          <w:p w14:paraId="3D1E809D">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写作中心需提供写作训练模式，包含写作要求、写作思路、文章参考，同时需包含智能批改功能（句子润色、AI评分及点评）。</w:t>
            </w:r>
          </w:p>
          <w:p w14:paraId="4C1455B7">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翻译中心需提供翻译原文、逐句翻译、全篇翻译、参考译文功能，需包含口译（中英互译）和笔译（中英互译），支持AI点评。</w:t>
            </w:r>
          </w:p>
          <w:p w14:paraId="77832313">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考试中心需提供模考训练系统，提供模考训练和专项练习两大功能，并能提供错题记录和当年考试日历，考试日历支持按月份筛选。</w:t>
            </w:r>
          </w:p>
          <w:p w14:paraId="30DFA126">
            <w:pPr>
              <w:spacing w:line="320" w:lineRule="exact"/>
              <w:jc w:val="left"/>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1.3使用方式：IP控制下远程访问，无并发数限制。</w:t>
            </w:r>
            <w:bookmarkStart w:id="0" w:name="_GoBack"/>
            <w:bookmarkEnd w:id="0"/>
          </w:p>
        </w:tc>
        <w:tc>
          <w:tcPr>
            <w:tcW w:w="693" w:type="dxa"/>
            <w:noWrap w:val="0"/>
            <w:tcMar>
              <w:top w:w="0" w:type="dxa"/>
              <w:left w:w="108" w:type="dxa"/>
              <w:bottom w:w="0" w:type="dxa"/>
              <w:right w:w="108" w:type="dxa"/>
            </w:tcMar>
            <w:vAlign w:val="center"/>
          </w:tcPr>
          <w:p w14:paraId="2C5EC55E">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1</w:t>
            </w:r>
          </w:p>
        </w:tc>
        <w:tc>
          <w:tcPr>
            <w:tcW w:w="693" w:type="dxa"/>
            <w:noWrap w:val="0"/>
            <w:tcMar>
              <w:top w:w="0" w:type="dxa"/>
              <w:left w:w="108" w:type="dxa"/>
              <w:bottom w:w="0" w:type="dxa"/>
              <w:right w:w="108" w:type="dxa"/>
            </w:tcMar>
            <w:vAlign w:val="center"/>
          </w:tcPr>
          <w:p w14:paraId="4B58CE60">
            <w:pPr>
              <w:spacing w:line="320" w:lineRule="exact"/>
              <w:jc w:val="center"/>
              <w:rPr>
                <w:rFonts w:hint="eastAsia" w:ascii="仿宋_GB2312" w:hAnsi="仿宋_GB2312" w:eastAsia="仿宋_GB2312" w:cs="仿宋_GB2312"/>
                <w:bCs/>
                <w:kern w:val="2"/>
                <w:sz w:val="24"/>
                <w:szCs w:val="24"/>
                <w:lang w:val="en-US" w:eastAsia="zh-CN"/>
              </w:rPr>
            </w:pPr>
            <w:r>
              <w:rPr>
                <w:rFonts w:hint="eastAsia" w:ascii="仿宋_GB2312" w:hAnsi="仿宋_GB2312" w:eastAsia="仿宋_GB2312" w:cs="仿宋_GB2312"/>
                <w:bCs/>
                <w:kern w:val="2"/>
                <w:sz w:val="24"/>
                <w:szCs w:val="24"/>
                <w:lang w:val="en-US" w:eastAsia="zh-CN"/>
              </w:rPr>
              <w:t>套</w:t>
            </w:r>
          </w:p>
        </w:tc>
      </w:tr>
    </w:tbl>
    <w:p w14:paraId="5F86CB89"/>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9DA3A5"/>
    <w:multiLevelType w:val="singleLevel"/>
    <w:tmpl w:val="DA9DA3A5"/>
    <w:lvl w:ilvl="0" w:tentative="0">
      <w:start w:val="1"/>
      <w:numFmt w:val="decimal"/>
      <w:suff w:val="nothing"/>
      <w:lvlText w:val="%1、"/>
      <w:lvlJc w:val="left"/>
    </w:lvl>
  </w:abstractNum>
  <w:abstractNum w:abstractNumId="1">
    <w:nsid w:val="EA3EA662"/>
    <w:multiLevelType w:val="singleLevel"/>
    <w:tmpl w:val="EA3EA662"/>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yOTFlZTliMDliZWJhZDBhYzk0YWIxMGM1MWEwNTgifQ=="/>
  </w:docVars>
  <w:rsids>
    <w:rsidRoot w:val="00000000"/>
    <w:rsid w:val="065E2599"/>
    <w:rsid w:val="077946F5"/>
    <w:rsid w:val="0CA262E2"/>
    <w:rsid w:val="10C34956"/>
    <w:rsid w:val="10F53D5D"/>
    <w:rsid w:val="11FC5A31"/>
    <w:rsid w:val="1744663C"/>
    <w:rsid w:val="1773582D"/>
    <w:rsid w:val="19CE111B"/>
    <w:rsid w:val="1B32775E"/>
    <w:rsid w:val="2C7F44E0"/>
    <w:rsid w:val="319A122D"/>
    <w:rsid w:val="336D632F"/>
    <w:rsid w:val="3AB32AD7"/>
    <w:rsid w:val="3AD066F6"/>
    <w:rsid w:val="42100F0D"/>
    <w:rsid w:val="431547EB"/>
    <w:rsid w:val="463D59A3"/>
    <w:rsid w:val="48845173"/>
    <w:rsid w:val="59A7217C"/>
    <w:rsid w:val="5A2A0227"/>
    <w:rsid w:val="5D4E3CA0"/>
    <w:rsid w:val="5D945CBE"/>
    <w:rsid w:val="60433DF0"/>
    <w:rsid w:val="626061A3"/>
    <w:rsid w:val="663F4313"/>
    <w:rsid w:val="667D2BB4"/>
    <w:rsid w:val="68E1397A"/>
    <w:rsid w:val="6A4C232D"/>
    <w:rsid w:val="6BFB30A2"/>
    <w:rsid w:val="7341607C"/>
    <w:rsid w:val="735A2213"/>
    <w:rsid w:val="760B1EFE"/>
    <w:rsid w:val="77E13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lang w:val="en-US" w:eastAsia="zh-CN" w:bidi="ar-SA"/>
    </w:rPr>
  </w:style>
  <w:style w:type="paragraph" w:styleId="3">
    <w:name w:val="heading 2"/>
    <w:basedOn w:val="1"/>
    <w:next w:val="1"/>
    <w:qFormat/>
    <w:uiPriority w:val="0"/>
    <w:pPr>
      <w:keepNext/>
      <w:keepLines/>
      <w:spacing w:line="415" w:lineRule="auto"/>
      <w:outlineLvl w:val="1"/>
    </w:pPr>
    <w:rPr>
      <w:rFonts w:ascii="Arial" w:hAnsi="Arial" w:eastAsia="黑体"/>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uiPriority w:val="0"/>
    <w:pPr>
      <w:ind w:firstLine="420" w:firstLineChars="200"/>
    </w:pPr>
  </w:style>
  <w:style w:type="paragraph" w:styleId="5">
    <w:name w:val="Body Text"/>
    <w:basedOn w:val="1"/>
    <w:next w:val="1"/>
    <w:qFormat/>
    <w:uiPriority w:val="99"/>
    <w:pPr>
      <w:spacing w:before="130"/>
      <w:ind w:left="126"/>
      <w:jc w:val="left"/>
    </w:pPr>
    <w:rPr>
      <w:rFonts w:ascii="宋体" w:hAnsi="宋体" w:cs="宋体"/>
      <w:kern w:val="0"/>
      <w:lang w:eastAsia="en-US"/>
    </w:rPr>
  </w:style>
  <w:style w:type="paragraph" w:styleId="6">
    <w:name w:val="Body Text Indent"/>
    <w:basedOn w:val="1"/>
    <w:next w:val="7"/>
    <w:qFormat/>
    <w:uiPriority w:val="0"/>
    <w:pPr>
      <w:spacing w:after="120"/>
      <w:ind w:left="420" w:leftChars="200"/>
    </w:pPr>
  </w:style>
  <w:style w:type="paragraph" w:styleId="7">
    <w:name w:val="Body Text Indent 2"/>
    <w:basedOn w:val="1"/>
    <w:qFormat/>
    <w:uiPriority w:val="0"/>
    <w:pPr>
      <w:spacing w:after="120" w:line="480" w:lineRule="auto"/>
      <w:ind w:left="420" w:leftChars="200"/>
    </w:pPr>
  </w:style>
  <w:style w:type="paragraph" w:styleId="8">
    <w:name w:val="Normal (Web)"/>
    <w:basedOn w:val="1"/>
    <w:qFormat/>
    <w:uiPriority w:val="0"/>
    <w:rPr>
      <w:sz w:val="24"/>
    </w:rPr>
  </w:style>
  <w:style w:type="paragraph" w:styleId="9">
    <w:name w:val="Body Text First Indent"/>
    <w:basedOn w:val="5"/>
    <w:qFormat/>
    <w:uiPriority w:val="0"/>
    <w:pPr>
      <w:ind w:firstLine="420" w:firstLineChars="100"/>
    </w:pPr>
  </w:style>
  <w:style w:type="paragraph" w:styleId="10">
    <w:name w:val="Body Text First Indent 2"/>
    <w:basedOn w:val="6"/>
    <w:qFormat/>
    <w:uiPriority w:val="99"/>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Default"/>
    <w:next w:val="15"/>
    <w:qFormat/>
    <w:uiPriority w:val="0"/>
    <w:pPr>
      <w:widowControl w:val="0"/>
      <w:autoSpaceDE w:val="0"/>
      <w:autoSpaceDN w:val="0"/>
      <w:adjustRightInd w:val="0"/>
    </w:pPr>
    <w:rPr>
      <w:rFonts w:ascii="宋体" w:hAnsi="Calibri" w:eastAsia="等线" w:cs="Times New Roman"/>
      <w:color w:val="000000"/>
      <w:sz w:val="24"/>
      <w:szCs w:val="22"/>
      <w:lang w:val="en-US" w:eastAsia="zh-CN" w:bidi="ar-SA"/>
    </w:rPr>
  </w:style>
  <w:style w:type="paragraph" w:customStyle="1" w:styleId="15">
    <w:name w:val="表格文字"/>
    <w:basedOn w:val="1"/>
    <w:next w:val="5"/>
    <w:qFormat/>
    <w:uiPriority w:val="0"/>
    <w:pPr>
      <w:adjustRightInd w:val="0"/>
      <w:spacing w:line="420" w:lineRule="atLeast"/>
      <w:jc w:val="left"/>
      <w:textAlignment w:val="baseline"/>
    </w:pPr>
    <w:rPr>
      <w:kern w:val="0"/>
    </w:rPr>
  </w:style>
  <w:style w:type="paragraph" w:customStyle="1" w:styleId="16">
    <w:name w:val="List Paragraph"/>
    <w:basedOn w:val="1"/>
    <w:qFormat/>
    <w:uiPriority w:val="0"/>
    <w:pPr>
      <w:ind w:firstLine="420" w:firstLineChars="200"/>
    </w:pPr>
  </w:style>
  <w:style w:type="paragraph" w:customStyle="1" w:styleId="17">
    <w:name w:val="列出段落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4737</Words>
  <Characters>5109</Characters>
  <Lines>0</Lines>
  <Paragraphs>0</Paragraphs>
  <TotalTime>0</TotalTime>
  <ScaleCrop>false</ScaleCrop>
  <LinksUpToDate>false</LinksUpToDate>
  <CharactersWithSpaces>5118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2023-10-31T01:57:00Z</dcterms:created>
  <dc:creator>Administrator</dc:creator>
  <cp:lastModifiedBy>Administrator</cp:lastModifiedBy>
  <dcterms:modified xsi:type="dcterms:W3CDTF">2026-09-04T03:03:32Z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F69B0BABE0FB4A6BB5C7EA1367C3A183</vt:lpwstr>
  </property>
  <property fmtid="{D5CDD505-2E9C-101B-9397-08002B2CF9AE}" pid="4" name="KSOTemplateDocerSaveRecord">
    <vt:lpwstr>eyJoZGlkIjoiYTIwYTcxMGQ5ZjRiMTQ4NGVlNGU0ZGVjZGZjODI1YmUiLCJ1c2VySWQiOiIxMDg5Njc0NTI2In0=</vt:lpwstr>
  </property>
</Properties>
</file>