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F931E1">
      <w:pPr>
        <w:pStyle w:val="7"/>
        <w:spacing w:line="360" w:lineRule="auto"/>
        <w:rPr>
          <w:rFonts w:ascii="Times New Roman"/>
          <w:color w:val="auto"/>
          <w:sz w:val="20"/>
          <w:highlight w:val="none"/>
        </w:rPr>
      </w:pPr>
    </w:p>
    <w:p w14:paraId="3DFB5C1B">
      <w:pPr>
        <w:pStyle w:val="7"/>
        <w:spacing w:line="360" w:lineRule="auto"/>
        <w:rPr>
          <w:rFonts w:ascii="Times New Roman"/>
          <w:color w:val="auto"/>
          <w:sz w:val="19"/>
          <w:highlight w:val="none"/>
        </w:rPr>
      </w:pPr>
    </w:p>
    <w:p w14:paraId="6F0949B4">
      <w:pPr>
        <w:spacing w:line="360" w:lineRule="auto"/>
        <w:jc w:val="center"/>
        <w:rPr>
          <w:rFonts w:hint="eastAsia" w:eastAsia="仿宋"/>
          <w:b/>
          <w:color w:val="auto"/>
          <w:sz w:val="32"/>
          <w:szCs w:val="32"/>
          <w:highlight w:val="none"/>
          <w:lang w:eastAsia="zh-CN"/>
        </w:rPr>
      </w:pPr>
      <w:r>
        <w:rPr>
          <w:rFonts w:hint="eastAsia"/>
          <w:b/>
          <w:color w:val="auto"/>
          <w:sz w:val="36"/>
          <w:szCs w:val="36"/>
          <w:highlight w:val="none"/>
          <w:lang w:eastAsia="zh-CN"/>
        </w:rPr>
        <w:t>河南理工大学化学化工学院实验室气路改造项目</w:t>
      </w:r>
    </w:p>
    <w:p w14:paraId="525D6CAF">
      <w:pPr>
        <w:pStyle w:val="7"/>
        <w:spacing w:line="360" w:lineRule="auto"/>
        <w:rPr>
          <w:b/>
          <w:color w:val="auto"/>
          <w:sz w:val="89"/>
          <w:highlight w:val="none"/>
        </w:rPr>
      </w:pPr>
    </w:p>
    <w:p w14:paraId="651F5DCC">
      <w:pPr>
        <w:spacing w:line="360" w:lineRule="auto"/>
        <w:jc w:val="center"/>
        <w:rPr>
          <w:b/>
          <w:color w:val="auto"/>
          <w:sz w:val="72"/>
          <w:szCs w:val="72"/>
          <w:highlight w:val="none"/>
        </w:rPr>
      </w:pPr>
      <w:r>
        <w:rPr>
          <w:rFonts w:hint="eastAsia"/>
          <w:b/>
          <w:color w:val="auto"/>
          <w:sz w:val="72"/>
          <w:szCs w:val="72"/>
          <w:highlight w:val="none"/>
        </w:rPr>
        <w:t>招标文件</w:t>
      </w:r>
    </w:p>
    <w:p w14:paraId="7F5E4E58">
      <w:pPr>
        <w:spacing w:line="360" w:lineRule="auto"/>
        <w:jc w:val="center"/>
        <w:rPr>
          <w:b/>
          <w:color w:val="auto"/>
          <w:sz w:val="72"/>
          <w:szCs w:val="72"/>
          <w:highlight w:val="none"/>
        </w:rPr>
      </w:pPr>
    </w:p>
    <w:p w14:paraId="5FF0941B">
      <w:pPr>
        <w:spacing w:line="360" w:lineRule="auto"/>
        <w:jc w:val="center"/>
        <w:rPr>
          <w:b/>
          <w:color w:val="auto"/>
          <w:sz w:val="36"/>
          <w:highlight w:val="none"/>
        </w:rPr>
      </w:pPr>
      <w:r>
        <w:rPr>
          <w:rFonts w:hint="eastAsia"/>
          <w:b/>
          <w:color w:val="auto"/>
          <w:sz w:val="36"/>
          <w:highlight w:val="none"/>
        </w:rPr>
        <w:t>项目编号：</w:t>
      </w:r>
      <w:r>
        <w:rPr>
          <w:rFonts w:hint="eastAsia"/>
          <w:b/>
          <w:color w:val="auto"/>
          <w:sz w:val="36"/>
          <w:highlight w:val="none"/>
          <w:lang w:eastAsia="zh-CN"/>
        </w:rPr>
        <w:t>豫财招标采购-2026-998</w:t>
      </w:r>
      <w:r>
        <w:rPr>
          <w:rFonts w:hint="eastAsia"/>
          <w:b/>
          <w:color w:val="auto"/>
          <w:sz w:val="36"/>
          <w:highlight w:val="none"/>
        </w:rPr>
        <w:t xml:space="preserve"> </w:t>
      </w:r>
    </w:p>
    <w:p w14:paraId="2B6EBFAE">
      <w:pPr>
        <w:pStyle w:val="7"/>
        <w:spacing w:line="360" w:lineRule="auto"/>
        <w:rPr>
          <w:b/>
          <w:color w:val="auto"/>
          <w:sz w:val="20"/>
          <w:highlight w:val="none"/>
        </w:rPr>
      </w:pPr>
    </w:p>
    <w:p w14:paraId="52BC30F4">
      <w:pPr>
        <w:pStyle w:val="7"/>
        <w:spacing w:line="360" w:lineRule="auto"/>
        <w:rPr>
          <w:b/>
          <w:color w:val="auto"/>
          <w:sz w:val="18"/>
          <w:highlight w:val="none"/>
        </w:rPr>
      </w:pPr>
    </w:p>
    <w:p w14:paraId="18AEEA11">
      <w:pPr>
        <w:pStyle w:val="7"/>
        <w:spacing w:line="360" w:lineRule="auto"/>
        <w:rPr>
          <w:b/>
          <w:color w:val="auto"/>
          <w:sz w:val="18"/>
          <w:highlight w:val="none"/>
        </w:rPr>
      </w:pPr>
    </w:p>
    <w:p w14:paraId="09565776">
      <w:pPr>
        <w:pStyle w:val="7"/>
        <w:spacing w:line="360" w:lineRule="auto"/>
        <w:rPr>
          <w:b/>
          <w:color w:val="auto"/>
          <w:sz w:val="18"/>
          <w:highlight w:val="none"/>
        </w:rPr>
      </w:pPr>
    </w:p>
    <w:p w14:paraId="5065EFB5">
      <w:pPr>
        <w:pStyle w:val="7"/>
        <w:spacing w:line="360" w:lineRule="auto"/>
        <w:rPr>
          <w:b/>
          <w:color w:val="auto"/>
          <w:sz w:val="18"/>
          <w:highlight w:val="none"/>
        </w:rPr>
      </w:pPr>
    </w:p>
    <w:p w14:paraId="71A9C22D">
      <w:pPr>
        <w:pStyle w:val="7"/>
        <w:spacing w:line="360" w:lineRule="auto"/>
        <w:rPr>
          <w:b/>
          <w:color w:val="auto"/>
          <w:sz w:val="18"/>
          <w:highlight w:val="none"/>
        </w:rPr>
      </w:pPr>
    </w:p>
    <w:p w14:paraId="188B26DF">
      <w:pPr>
        <w:pStyle w:val="7"/>
        <w:spacing w:line="360" w:lineRule="auto"/>
        <w:rPr>
          <w:b/>
          <w:color w:val="auto"/>
          <w:sz w:val="18"/>
          <w:highlight w:val="none"/>
        </w:rPr>
      </w:pPr>
    </w:p>
    <w:p w14:paraId="2D5EE97E">
      <w:pPr>
        <w:pStyle w:val="7"/>
        <w:spacing w:line="360" w:lineRule="auto"/>
        <w:rPr>
          <w:b/>
          <w:color w:val="auto"/>
          <w:sz w:val="20"/>
          <w:highlight w:val="none"/>
        </w:rPr>
      </w:pPr>
    </w:p>
    <w:p w14:paraId="2D304E42">
      <w:pPr>
        <w:pStyle w:val="7"/>
        <w:spacing w:line="360" w:lineRule="auto"/>
        <w:rPr>
          <w:b/>
          <w:color w:val="auto"/>
          <w:sz w:val="20"/>
          <w:highlight w:val="none"/>
        </w:rPr>
      </w:pPr>
    </w:p>
    <w:p w14:paraId="3136F865">
      <w:pPr>
        <w:pStyle w:val="7"/>
        <w:spacing w:line="360" w:lineRule="auto"/>
        <w:rPr>
          <w:b/>
          <w:color w:val="auto"/>
          <w:sz w:val="20"/>
          <w:highlight w:val="none"/>
        </w:rPr>
      </w:pPr>
    </w:p>
    <w:p w14:paraId="24E3F9EF">
      <w:pPr>
        <w:pStyle w:val="7"/>
        <w:spacing w:line="360" w:lineRule="auto"/>
        <w:rPr>
          <w:b/>
          <w:color w:val="auto"/>
          <w:sz w:val="20"/>
          <w:highlight w:val="none"/>
        </w:rPr>
      </w:pPr>
    </w:p>
    <w:p w14:paraId="58F804FD">
      <w:pPr>
        <w:pStyle w:val="7"/>
        <w:spacing w:line="360" w:lineRule="auto"/>
        <w:rPr>
          <w:b/>
          <w:color w:val="auto"/>
          <w:sz w:val="20"/>
          <w:highlight w:val="none"/>
        </w:rPr>
      </w:pPr>
    </w:p>
    <w:p w14:paraId="3DE43C78">
      <w:pPr>
        <w:spacing w:line="360" w:lineRule="auto"/>
        <w:ind w:firstLine="1446" w:firstLineChars="400"/>
        <w:jc w:val="both"/>
        <w:rPr>
          <w:b/>
          <w:color w:val="auto"/>
          <w:sz w:val="36"/>
          <w:highlight w:val="none"/>
        </w:rPr>
      </w:pPr>
      <w:r>
        <w:rPr>
          <w:rFonts w:hint="eastAsia"/>
          <w:b/>
          <w:color w:val="auto"/>
          <w:sz w:val="36"/>
          <w:highlight w:val="none"/>
        </w:rPr>
        <w:t>采购人：河南理工大学</w:t>
      </w:r>
    </w:p>
    <w:p w14:paraId="77F0AA45">
      <w:pPr>
        <w:spacing w:line="360" w:lineRule="auto"/>
        <w:ind w:firstLine="1446" w:firstLineChars="400"/>
        <w:jc w:val="both"/>
        <w:rPr>
          <w:rFonts w:hint="eastAsia" w:eastAsia="仿宋"/>
          <w:b/>
          <w:color w:val="auto"/>
          <w:sz w:val="36"/>
          <w:highlight w:val="none"/>
          <w:lang w:eastAsia="zh-CN"/>
        </w:rPr>
      </w:pPr>
      <w:r>
        <w:rPr>
          <w:rFonts w:hint="eastAsia"/>
          <w:b/>
          <w:color w:val="auto"/>
          <w:sz w:val="36"/>
          <w:highlight w:val="none"/>
        </w:rPr>
        <w:t>采购代理机构：</w:t>
      </w:r>
      <w:r>
        <w:rPr>
          <w:rFonts w:hint="eastAsia"/>
          <w:b/>
          <w:bCs/>
          <w:color w:val="auto"/>
          <w:sz w:val="32"/>
          <w:szCs w:val="32"/>
          <w:highlight w:val="none"/>
          <w:lang w:eastAsia="zh-CN"/>
        </w:rPr>
        <w:t>中鼎誉润工程咨询有限公司</w:t>
      </w:r>
    </w:p>
    <w:p w14:paraId="66C121BC">
      <w:pPr>
        <w:spacing w:line="360" w:lineRule="auto"/>
        <w:ind w:firstLine="3614" w:firstLineChars="1000"/>
        <w:jc w:val="both"/>
        <w:rPr>
          <w:rFonts w:ascii="宋体" w:eastAsia="宋体"/>
          <w:b/>
          <w:color w:val="auto"/>
          <w:sz w:val="36"/>
          <w:highlight w:val="none"/>
        </w:rPr>
      </w:pPr>
      <w:r>
        <w:rPr>
          <w:rFonts w:hint="eastAsia"/>
          <w:b/>
          <w:color w:val="auto"/>
          <w:sz w:val="36"/>
          <w:highlight w:val="none"/>
        </w:rPr>
        <w:t>2026年</w:t>
      </w:r>
      <w:r>
        <w:rPr>
          <w:rFonts w:hint="eastAsia"/>
          <w:b/>
          <w:color w:val="auto"/>
          <w:sz w:val="36"/>
          <w:highlight w:val="none"/>
          <w:lang w:val="en-US" w:eastAsia="zh-CN"/>
        </w:rPr>
        <w:t>10</w:t>
      </w:r>
      <w:r>
        <w:rPr>
          <w:rFonts w:hint="eastAsia"/>
          <w:b/>
          <w:color w:val="auto"/>
          <w:sz w:val="36"/>
          <w:highlight w:val="none"/>
        </w:rPr>
        <w:t>月</w:t>
      </w:r>
    </w:p>
    <w:p w14:paraId="1A380F21">
      <w:pPr>
        <w:spacing w:line="360" w:lineRule="auto"/>
        <w:ind w:left="535" w:right="1516"/>
        <w:jc w:val="center"/>
        <w:rPr>
          <w:rFonts w:ascii="宋体" w:eastAsia="宋体"/>
          <w:b/>
          <w:color w:val="auto"/>
          <w:sz w:val="48"/>
          <w:highlight w:val="none"/>
        </w:rPr>
      </w:pPr>
    </w:p>
    <w:p w14:paraId="61179F13">
      <w:pPr>
        <w:spacing w:line="360" w:lineRule="auto"/>
        <w:jc w:val="center"/>
        <w:rPr>
          <w:rFonts w:hint="eastAsia" w:ascii="宋体" w:eastAsia="宋体"/>
          <w:b/>
          <w:color w:val="auto"/>
          <w:sz w:val="48"/>
          <w:highlight w:val="none"/>
        </w:rPr>
        <w:sectPr>
          <w:footerReference r:id="rId3" w:type="default"/>
          <w:pgSz w:w="11900" w:h="16840"/>
          <w:pgMar w:top="1417" w:right="1587" w:bottom="1417" w:left="1587" w:header="0" w:footer="998" w:gutter="0"/>
          <w:cols w:space="0" w:num="1"/>
        </w:sectPr>
      </w:pPr>
    </w:p>
    <w:p w14:paraId="73A912B1">
      <w:pPr>
        <w:spacing w:line="360" w:lineRule="auto"/>
        <w:jc w:val="center"/>
        <w:rPr>
          <w:rFonts w:ascii="宋体" w:eastAsia="宋体"/>
          <w:b/>
          <w:color w:val="auto"/>
          <w:sz w:val="48"/>
          <w:highlight w:val="none"/>
        </w:rPr>
      </w:pPr>
      <w:r>
        <w:rPr>
          <w:rFonts w:hint="eastAsia" w:ascii="宋体" w:eastAsia="宋体"/>
          <w:b/>
          <w:color w:val="auto"/>
          <w:sz w:val="48"/>
          <w:highlight w:val="none"/>
        </w:rPr>
        <w:t>目    录</w:t>
      </w:r>
    </w:p>
    <w:sdt>
      <w:sdtPr>
        <w:rPr>
          <w:rFonts w:ascii="宋体" w:hAnsi="宋体" w:eastAsia="宋体" w:cs="宋体"/>
          <w:b/>
          <w:bCs/>
          <w:color w:val="auto"/>
          <w:sz w:val="21"/>
          <w:szCs w:val="36"/>
          <w:highlight w:val="none"/>
        </w:rPr>
        <w:id w:val="147479101"/>
        <w15:color w:val="DBDBDB"/>
        <w:docPartObj>
          <w:docPartGallery w:val="Table of Contents"/>
          <w:docPartUnique/>
        </w:docPartObj>
      </w:sdtPr>
      <w:sdtEndPr>
        <w:rPr>
          <w:rFonts w:ascii="宋体" w:hAnsi="宋体" w:eastAsia="宋体" w:cs="宋体"/>
          <w:b/>
          <w:bCs/>
          <w:color w:val="auto"/>
          <w:sz w:val="36"/>
          <w:szCs w:val="36"/>
          <w:highlight w:val="none"/>
        </w:rPr>
      </w:sdtEndPr>
      <w:sdtContent>
        <w:p w14:paraId="383F08DC">
          <w:pPr>
            <w:jc w:val="center"/>
            <w:rPr>
              <w:color w:val="auto"/>
              <w:highlight w:val="none"/>
            </w:rPr>
          </w:pPr>
          <w:bookmarkStart w:id="0" w:name="第一章_投标邀请"/>
          <w:bookmarkEnd w:id="0"/>
        </w:p>
        <w:p w14:paraId="37EE2304">
          <w:pPr>
            <w:pStyle w:val="11"/>
            <w:keepNext w:val="0"/>
            <w:keepLines w:val="0"/>
            <w:pageBreakBefore w:val="0"/>
            <w:widowControl w:val="0"/>
            <w:tabs>
              <w:tab w:val="right" w:leader="dot" w:pos="9446"/>
            </w:tabs>
            <w:kinsoku/>
            <w:wordWrap/>
            <w:overflowPunct/>
            <w:topLinePunct w:val="0"/>
            <w:autoSpaceDE w:val="0"/>
            <w:autoSpaceDN w:val="0"/>
            <w:bidi w:val="0"/>
            <w:adjustRightInd w:val="0"/>
            <w:snapToGrid w:val="0"/>
            <w:ind w:left="0"/>
            <w:jc w:val="center"/>
            <w:textAlignment w:val="auto"/>
            <w:rPr>
              <w:color w:val="auto"/>
              <w:highlight w:val="none"/>
            </w:rPr>
          </w:pPr>
          <w:r>
            <w:rPr>
              <w:color w:val="auto"/>
              <w:highlight w:val="none"/>
            </w:rPr>
            <w:fldChar w:fldCharType="begin"/>
          </w:r>
          <w:r>
            <w:rPr>
              <w:color w:val="auto"/>
              <w:highlight w:val="none"/>
            </w:rPr>
            <w:instrText xml:space="preserve">TOC \o "1-3" \h \u </w:instrText>
          </w:r>
          <w:r>
            <w:rPr>
              <w:color w:val="auto"/>
              <w:highlight w:val="none"/>
            </w:rPr>
            <w:fldChar w:fldCharType="separate"/>
          </w:r>
          <w:r>
            <w:rPr>
              <w:color w:val="auto"/>
              <w:highlight w:val="none"/>
            </w:rPr>
            <w:fldChar w:fldCharType="begin"/>
          </w:r>
          <w:r>
            <w:rPr>
              <w:color w:val="auto"/>
              <w:highlight w:val="none"/>
            </w:rPr>
            <w:instrText xml:space="preserve"> HYPERLINK \l _Toc23706 </w:instrText>
          </w:r>
          <w:r>
            <w:rPr>
              <w:color w:val="auto"/>
              <w:highlight w:val="none"/>
            </w:rPr>
            <w:fldChar w:fldCharType="separate"/>
          </w:r>
          <w:r>
            <w:rPr>
              <w:color w:val="auto"/>
              <w:highlight w:val="none"/>
            </w:rPr>
            <w:t xml:space="preserve">第一章 </w:t>
          </w:r>
          <w:r>
            <w:rPr>
              <w:rFonts w:hint="eastAsia"/>
              <w:color w:val="auto"/>
              <w:highlight w:val="none"/>
            </w:rPr>
            <w:t>招标公告</w:t>
          </w:r>
          <w:r>
            <w:rPr>
              <w:color w:val="auto"/>
              <w:highlight w:val="none"/>
            </w:rPr>
            <w:tab/>
          </w:r>
          <w:r>
            <w:rPr>
              <w:color w:val="auto"/>
              <w:highlight w:val="none"/>
            </w:rPr>
            <w:fldChar w:fldCharType="begin"/>
          </w:r>
          <w:r>
            <w:rPr>
              <w:color w:val="auto"/>
              <w:highlight w:val="none"/>
            </w:rPr>
            <w:instrText xml:space="preserve"> PAGEREF _Toc23706 \h </w:instrText>
          </w:r>
          <w:r>
            <w:rPr>
              <w:color w:val="auto"/>
              <w:highlight w:val="none"/>
            </w:rPr>
            <w:fldChar w:fldCharType="separate"/>
          </w:r>
          <w:r>
            <w:rPr>
              <w:color w:val="auto"/>
              <w:highlight w:val="none"/>
            </w:rPr>
            <w:t>3</w:t>
          </w:r>
          <w:r>
            <w:rPr>
              <w:color w:val="auto"/>
              <w:highlight w:val="none"/>
            </w:rPr>
            <w:fldChar w:fldCharType="end"/>
          </w:r>
          <w:r>
            <w:rPr>
              <w:color w:val="auto"/>
              <w:highlight w:val="none"/>
            </w:rPr>
            <w:fldChar w:fldCharType="end"/>
          </w:r>
        </w:p>
        <w:p w14:paraId="41E14ECE">
          <w:pPr>
            <w:pStyle w:val="11"/>
            <w:keepNext w:val="0"/>
            <w:keepLines w:val="0"/>
            <w:pageBreakBefore w:val="0"/>
            <w:widowControl w:val="0"/>
            <w:tabs>
              <w:tab w:val="right" w:leader="dot" w:pos="9446"/>
            </w:tabs>
            <w:kinsoku/>
            <w:wordWrap/>
            <w:overflowPunct/>
            <w:topLinePunct w:val="0"/>
            <w:autoSpaceDE w:val="0"/>
            <w:autoSpaceDN w:val="0"/>
            <w:bidi w:val="0"/>
            <w:adjustRightInd w:val="0"/>
            <w:snapToGrid w:val="0"/>
            <w:ind w:left="0"/>
            <w:jc w:val="center"/>
            <w:textAlignment w:val="auto"/>
            <w:rPr>
              <w:color w:val="auto"/>
              <w:highlight w:val="none"/>
            </w:rPr>
          </w:pPr>
          <w:r>
            <w:rPr>
              <w:color w:val="auto"/>
              <w:highlight w:val="none"/>
            </w:rPr>
            <w:fldChar w:fldCharType="begin"/>
          </w:r>
          <w:r>
            <w:rPr>
              <w:color w:val="auto"/>
              <w:highlight w:val="none"/>
            </w:rPr>
            <w:instrText xml:space="preserve"> HYPERLINK \l _Toc22648 </w:instrText>
          </w:r>
          <w:r>
            <w:rPr>
              <w:color w:val="auto"/>
              <w:highlight w:val="none"/>
            </w:rPr>
            <w:fldChar w:fldCharType="separate"/>
          </w:r>
          <w:r>
            <w:rPr>
              <w:color w:val="auto"/>
              <w:highlight w:val="none"/>
            </w:rPr>
            <w:t>第二章 投标人须知前附表</w:t>
          </w:r>
          <w:r>
            <w:rPr>
              <w:color w:val="auto"/>
              <w:highlight w:val="none"/>
            </w:rPr>
            <w:tab/>
          </w:r>
          <w:r>
            <w:rPr>
              <w:color w:val="auto"/>
              <w:highlight w:val="none"/>
            </w:rPr>
            <w:fldChar w:fldCharType="begin"/>
          </w:r>
          <w:r>
            <w:rPr>
              <w:color w:val="auto"/>
              <w:highlight w:val="none"/>
            </w:rPr>
            <w:instrText xml:space="preserve"> PAGEREF _Toc22648 \h </w:instrText>
          </w:r>
          <w:r>
            <w:rPr>
              <w:color w:val="auto"/>
              <w:highlight w:val="none"/>
            </w:rPr>
            <w:fldChar w:fldCharType="separate"/>
          </w:r>
          <w:r>
            <w:rPr>
              <w:color w:val="auto"/>
              <w:highlight w:val="none"/>
            </w:rPr>
            <w:t>7</w:t>
          </w:r>
          <w:r>
            <w:rPr>
              <w:color w:val="auto"/>
              <w:highlight w:val="none"/>
            </w:rPr>
            <w:fldChar w:fldCharType="end"/>
          </w:r>
          <w:r>
            <w:rPr>
              <w:color w:val="auto"/>
              <w:highlight w:val="none"/>
            </w:rPr>
            <w:fldChar w:fldCharType="end"/>
          </w:r>
        </w:p>
        <w:p w14:paraId="47A4A976">
          <w:pPr>
            <w:pStyle w:val="11"/>
            <w:keepNext w:val="0"/>
            <w:keepLines w:val="0"/>
            <w:pageBreakBefore w:val="0"/>
            <w:widowControl w:val="0"/>
            <w:tabs>
              <w:tab w:val="right" w:leader="dot" w:pos="9446"/>
            </w:tabs>
            <w:kinsoku/>
            <w:wordWrap/>
            <w:overflowPunct/>
            <w:topLinePunct w:val="0"/>
            <w:autoSpaceDE w:val="0"/>
            <w:autoSpaceDN w:val="0"/>
            <w:bidi w:val="0"/>
            <w:adjustRightInd w:val="0"/>
            <w:snapToGrid w:val="0"/>
            <w:ind w:left="0"/>
            <w:jc w:val="center"/>
            <w:textAlignment w:val="auto"/>
            <w:rPr>
              <w:color w:val="auto"/>
              <w:highlight w:val="none"/>
            </w:rPr>
          </w:pPr>
          <w:r>
            <w:rPr>
              <w:color w:val="auto"/>
              <w:highlight w:val="none"/>
            </w:rPr>
            <w:fldChar w:fldCharType="begin"/>
          </w:r>
          <w:r>
            <w:rPr>
              <w:color w:val="auto"/>
              <w:highlight w:val="none"/>
            </w:rPr>
            <w:instrText xml:space="preserve"> HYPERLINK \l _Toc10452 </w:instrText>
          </w:r>
          <w:r>
            <w:rPr>
              <w:color w:val="auto"/>
              <w:highlight w:val="none"/>
            </w:rPr>
            <w:fldChar w:fldCharType="separate"/>
          </w:r>
          <w:r>
            <w:rPr>
              <w:color w:val="auto"/>
              <w:highlight w:val="none"/>
            </w:rPr>
            <w:t>第三章 投标人须知</w:t>
          </w:r>
          <w:r>
            <w:rPr>
              <w:color w:val="auto"/>
              <w:highlight w:val="none"/>
            </w:rPr>
            <w:tab/>
          </w:r>
          <w:r>
            <w:rPr>
              <w:color w:val="auto"/>
              <w:highlight w:val="none"/>
            </w:rPr>
            <w:fldChar w:fldCharType="begin"/>
          </w:r>
          <w:r>
            <w:rPr>
              <w:color w:val="auto"/>
              <w:highlight w:val="none"/>
            </w:rPr>
            <w:instrText xml:space="preserve"> PAGEREF _Toc10452 \h </w:instrText>
          </w:r>
          <w:r>
            <w:rPr>
              <w:color w:val="auto"/>
              <w:highlight w:val="none"/>
            </w:rPr>
            <w:fldChar w:fldCharType="separate"/>
          </w:r>
          <w:r>
            <w:rPr>
              <w:color w:val="auto"/>
              <w:highlight w:val="none"/>
            </w:rPr>
            <w:t>13</w:t>
          </w:r>
          <w:r>
            <w:rPr>
              <w:color w:val="auto"/>
              <w:highlight w:val="none"/>
            </w:rPr>
            <w:fldChar w:fldCharType="end"/>
          </w:r>
          <w:r>
            <w:rPr>
              <w:color w:val="auto"/>
              <w:highlight w:val="none"/>
            </w:rPr>
            <w:fldChar w:fldCharType="end"/>
          </w:r>
        </w:p>
        <w:p w14:paraId="1AF125CB">
          <w:pPr>
            <w:pStyle w:val="11"/>
            <w:keepNext w:val="0"/>
            <w:keepLines w:val="0"/>
            <w:pageBreakBefore w:val="0"/>
            <w:widowControl w:val="0"/>
            <w:tabs>
              <w:tab w:val="right" w:leader="dot" w:pos="9446"/>
            </w:tabs>
            <w:kinsoku/>
            <w:wordWrap/>
            <w:overflowPunct/>
            <w:topLinePunct w:val="0"/>
            <w:autoSpaceDE w:val="0"/>
            <w:autoSpaceDN w:val="0"/>
            <w:bidi w:val="0"/>
            <w:adjustRightInd w:val="0"/>
            <w:snapToGrid w:val="0"/>
            <w:ind w:left="0"/>
            <w:jc w:val="center"/>
            <w:textAlignment w:val="auto"/>
            <w:rPr>
              <w:color w:val="auto"/>
              <w:highlight w:val="none"/>
            </w:rPr>
          </w:pPr>
          <w:r>
            <w:rPr>
              <w:color w:val="auto"/>
              <w:highlight w:val="none"/>
            </w:rPr>
            <w:fldChar w:fldCharType="begin"/>
          </w:r>
          <w:r>
            <w:rPr>
              <w:color w:val="auto"/>
              <w:highlight w:val="none"/>
            </w:rPr>
            <w:instrText xml:space="preserve"> HYPERLINK \l _Toc24074 </w:instrText>
          </w:r>
          <w:r>
            <w:rPr>
              <w:color w:val="auto"/>
              <w:highlight w:val="none"/>
            </w:rPr>
            <w:fldChar w:fldCharType="separate"/>
          </w:r>
          <w:r>
            <w:rPr>
              <w:rFonts w:hint="eastAsia" w:ascii="仿宋" w:hAnsi="仿宋" w:eastAsia="仿宋" w:cs="仿宋"/>
              <w:color w:val="auto"/>
              <w:highlight w:val="none"/>
            </w:rPr>
            <w:t>第四章 资格证明文件格式</w:t>
          </w:r>
          <w:r>
            <w:rPr>
              <w:color w:val="auto"/>
              <w:highlight w:val="none"/>
            </w:rPr>
            <w:tab/>
          </w:r>
          <w:r>
            <w:rPr>
              <w:color w:val="auto"/>
              <w:highlight w:val="none"/>
            </w:rPr>
            <w:fldChar w:fldCharType="begin"/>
          </w:r>
          <w:r>
            <w:rPr>
              <w:color w:val="auto"/>
              <w:highlight w:val="none"/>
            </w:rPr>
            <w:instrText xml:space="preserve"> PAGEREF _Toc24074 \h </w:instrText>
          </w:r>
          <w:r>
            <w:rPr>
              <w:color w:val="auto"/>
              <w:highlight w:val="none"/>
            </w:rPr>
            <w:fldChar w:fldCharType="separate"/>
          </w:r>
          <w:r>
            <w:rPr>
              <w:color w:val="auto"/>
              <w:highlight w:val="none"/>
            </w:rPr>
            <w:t>32</w:t>
          </w:r>
          <w:r>
            <w:rPr>
              <w:color w:val="auto"/>
              <w:highlight w:val="none"/>
            </w:rPr>
            <w:fldChar w:fldCharType="end"/>
          </w:r>
          <w:r>
            <w:rPr>
              <w:color w:val="auto"/>
              <w:highlight w:val="none"/>
            </w:rPr>
            <w:fldChar w:fldCharType="end"/>
          </w:r>
        </w:p>
        <w:p w14:paraId="0A3BD570">
          <w:pPr>
            <w:pStyle w:val="11"/>
            <w:keepNext w:val="0"/>
            <w:keepLines w:val="0"/>
            <w:pageBreakBefore w:val="0"/>
            <w:widowControl w:val="0"/>
            <w:tabs>
              <w:tab w:val="right" w:leader="dot" w:pos="9446"/>
            </w:tabs>
            <w:kinsoku/>
            <w:wordWrap/>
            <w:overflowPunct/>
            <w:topLinePunct w:val="0"/>
            <w:autoSpaceDE w:val="0"/>
            <w:autoSpaceDN w:val="0"/>
            <w:bidi w:val="0"/>
            <w:adjustRightInd w:val="0"/>
            <w:snapToGrid w:val="0"/>
            <w:ind w:left="0"/>
            <w:jc w:val="center"/>
            <w:textAlignment w:val="auto"/>
            <w:rPr>
              <w:color w:val="auto"/>
              <w:highlight w:val="none"/>
            </w:rPr>
          </w:pPr>
          <w:r>
            <w:rPr>
              <w:color w:val="auto"/>
              <w:highlight w:val="none"/>
            </w:rPr>
            <w:fldChar w:fldCharType="begin"/>
          </w:r>
          <w:r>
            <w:rPr>
              <w:color w:val="auto"/>
              <w:highlight w:val="none"/>
            </w:rPr>
            <w:instrText xml:space="preserve"> HYPERLINK \l _Toc13557 </w:instrText>
          </w:r>
          <w:r>
            <w:rPr>
              <w:color w:val="auto"/>
              <w:highlight w:val="none"/>
            </w:rPr>
            <w:fldChar w:fldCharType="separate"/>
          </w:r>
          <w:r>
            <w:rPr>
              <w:rFonts w:hint="eastAsia" w:ascii="仿宋" w:hAnsi="仿宋" w:eastAsia="仿宋" w:cs="仿宋"/>
              <w:color w:val="auto"/>
              <w:highlight w:val="none"/>
            </w:rPr>
            <w:t>第五章 投标文件格式</w:t>
          </w:r>
          <w:r>
            <w:rPr>
              <w:color w:val="auto"/>
              <w:highlight w:val="none"/>
            </w:rPr>
            <w:tab/>
          </w:r>
          <w:r>
            <w:rPr>
              <w:color w:val="auto"/>
              <w:highlight w:val="none"/>
            </w:rPr>
            <w:fldChar w:fldCharType="begin"/>
          </w:r>
          <w:r>
            <w:rPr>
              <w:color w:val="auto"/>
              <w:highlight w:val="none"/>
            </w:rPr>
            <w:instrText xml:space="preserve"> PAGEREF _Toc13557 \h </w:instrText>
          </w:r>
          <w:r>
            <w:rPr>
              <w:color w:val="auto"/>
              <w:highlight w:val="none"/>
            </w:rPr>
            <w:fldChar w:fldCharType="separate"/>
          </w:r>
          <w:r>
            <w:rPr>
              <w:color w:val="auto"/>
              <w:highlight w:val="none"/>
            </w:rPr>
            <w:t>42</w:t>
          </w:r>
          <w:r>
            <w:rPr>
              <w:color w:val="auto"/>
              <w:highlight w:val="none"/>
            </w:rPr>
            <w:fldChar w:fldCharType="end"/>
          </w:r>
          <w:r>
            <w:rPr>
              <w:color w:val="auto"/>
              <w:highlight w:val="none"/>
            </w:rPr>
            <w:fldChar w:fldCharType="end"/>
          </w:r>
        </w:p>
        <w:p w14:paraId="2C1A4239">
          <w:pPr>
            <w:pStyle w:val="11"/>
            <w:keepNext w:val="0"/>
            <w:keepLines w:val="0"/>
            <w:pageBreakBefore w:val="0"/>
            <w:widowControl w:val="0"/>
            <w:tabs>
              <w:tab w:val="right" w:leader="dot" w:pos="9446"/>
            </w:tabs>
            <w:kinsoku/>
            <w:wordWrap/>
            <w:overflowPunct/>
            <w:topLinePunct w:val="0"/>
            <w:autoSpaceDE w:val="0"/>
            <w:autoSpaceDN w:val="0"/>
            <w:bidi w:val="0"/>
            <w:adjustRightInd w:val="0"/>
            <w:snapToGrid w:val="0"/>
            <w:ind w:left="0"/>
            <w:jc w:val="center"/>
            <w:textAlignment w:val="auto"/>
            <w:rPr>
              <w:color w:val="auto"/>
              <w:highlight w:val="none"/>
            </w:rPr>
          </w:pPr>
          <w:r>
            <w:rPr>
              <w:color w:val="auto"/>
              <w:highlight w:val="none"/>
            </w:rPr>
            <w:fldChar w:fldCharType="begin"/>
          </w:r>
          <w:r>
            <w:rPr>
              <w:color w:val="auto"/>
              <w:highlight w:val="none"/>
            </w:rPr>
            <w:instrText xml:space="preserve"> HYPERLINK \l _Toc20541 </w:instrText>
          </w:r>
          <w:r>
            <w:rPr>
              <w:color w:val="auto"/>
              <w:highlight w:val="none"/>
            </w:rPr>
            <w:fldChar w:fldCharType="separate"/>
          </w:r>
          <w:r>
            <w:rPr>
              <w:rFonts w:hint="eastAsia" w:ascii="仿宋" w:hAnsi="仿宋" w:eastAsia="仿宋" w:cs="仿宋"/>
              <w:color w:val="auto"/>
              <w:highlight w:val="none"/>
            </w:rPr>
            <w:t>第六章 采购需求</w:t>
          </w:r>
          <w:r>
            <w:rPr>
              <w:color w:val="auto"/>
              <w:highlight w:val="none"/>
            </w:rPr>
            <w:tab/>
          </w:r>
          <w:r>
            <w:rPr>
              <w:color w:val="auto"/>
              <w:highlight w:val="none"/>
            </w:rPr>
            <w:fldChar w:fldCharType="begin"/>
          </w:r>
          <w:r>
            <w:rPr>
              <w:color w:val="auto"/>
              <w:highlight w:val="none"/>
            </w:rPr>
            <w:instrText xml:space="preserve"> PAGEREF _Toc20541 \h </w:instrText>
          </w:r>
          <w:r>
            <w:rPr>
              <w:color w:val="auto"/>
              <w:highlight w:val="none"/>
            </w:rPr>
            <w:fldChar w:fldCharType="separate"/>
          </w:r>
          <w:r>
            <w:rPr>
              <w:color w:val="auto"/>
              <w:highlight w:val="none"/>
            </w:rPr>
            <w:t>62</w:t>
          </w:r>
          <w:r>
            <w:rPr>
              <w:color w:val="auto"/>
              <w:highlight w:val="none"/>
            </w:rPr>
            <w:fldChar w:fldCharType="end"/>
          </w:r>
          <w:r>
            <w:rPr>
              <w:color w:val="auto"/>
              <w:highlight w:val="none"/>
            </w:rPr>
            <w:fldChar w:fldCharType="end"/>
          </w:r>
        </w:p>
        <w:p w14:paraId="361892F6">
          <w:pPr>
            <w:pStyle w:val="11"/>
            <w:keepNext w:val="0"/>
            <w:keepLines w:val="0"/>
            <w:pageBreakBefore w:val="0"/>
            <w:widowControl w:val="0"/>
            <w:tabs>
              <w:tab w:val="right" w:leader="dot" w:pos="9446"/>
            </w:tabs>
            <w:kinsoku/>
            <w:wordWrap/>
            <w:overflowPunct/>
            <w:topLinePunct w:val="0"/>
            <w:autoSpaceDE w:val="0"/>
            <w:autoSpaceDN w:val="0"/>
            <w:bidi w:val="0"/>
            <w:adjustRightInd w:val="0"/>
            <w:snapToGrid w:val="0"/>
            <w:ind w:left="0"/>
            <w:jc w:val="center"/>
            <w:textAlignment w:val="auto"/>
            <w:rPr>
              <w:color w:val="auto"/>
              <w:highlight w:val="none"/>
            </w:rPr>
          </w:pPr>
          <w:r>
            <w:rPr>
              <w:color w:val="auto"/>
              <w:highlight w:val="none"/>
            </w:rPr>
            <w:fldChar w:fldCharType="begin"/>
          </w:r>
          <w:r>
            <w:rPr>
              <w:color w:val="auto"/>
              <w:highlight w:val="none"/>
            </w:rPr>
            <w:instrText xml:space="preserve"> HYPERLINK \l _Toc21309 </w:instrText>
          </w:r>
          <w:r>
            <w:rPr>
              <w:color w:val="auto"/>
              <w:highlight w:val="none"/>
            </w:rPr>
            <w:fldChar w:fldCharType="separate"/>
          </w:r>
          <w:r>
            <w:rPr>
              <w:rFonts w:hint="eastAsia" w:ascii="仿宋" w:hAnsi="仿宋" w:eastAsia="仿宋" w:cs="仿宋"/>
              <w:color w:val="auto"/>
              <w:highlight w:val="none"/>
            </w:rPr>
            <w:t>第七章 评标方法和标准</w:t>
          </w:r>
          <w:r>
            <w:rPr>
              <w:color w:val="auto"/>
              <w:highlight w:val="none"/>
            </w:rPr>
            <w:tab/>
          </w:r>
          <w:r>
            <w:rPr>
              <w:color w:val="auto"/>
              <w:highlight w:val="none"/>
            </w:rPr>
            <w:fldChar w:fldCharType="begin"/>
          </w:r>
          <w:r>
            <w:rPr>
              <w:color w:val="auto"/>
              <w:highlight w:val="none"/>
            </w:rPr>
            <w:instrText xml:space="preserve"> PAGEREF _Toc21309 \h </w:instrText>
          </w:r>
          <w:r>
            <w:rPr>
              <w:color w:val="auto"/>
              <w:highlight w:val="none"/>
            </w:rPr>
            <w:fldChar w:fldCharType="separate"/>
          </w:r>
          <w:r>
            <w:rPr>
              <w:color w:val="auto"/>
              <w:highlight w:val="none"/>
            </w:rPr>
            <w:t>71</w:t>
          </w:r>
          <w:r>
            <w:rPr>
              <w:color w:val="auto"/>
              <w:highlight w:val="none"/>
            </w:rPr>
            <w:fldChar w:fldCharType="end"/>
          </w:r>
          <w:r>
            <w:rPr>
              <w:color w:val="auto"/>
              <w:highlight w:val="none"/>
            </w:rPr>
            <w:fldChar w:fldCharType="end"/>
          </w:r>
        </w:p>
        <w:p w14:paraId="09A3C184">
          <w:pPr>
            <w:pStyle w:val="11"/>
            <w:keepNext w:val="0"/>
            <w:keepLines w:val="0"/>
            <w:pageBreakBefore w:val="0"/>
            <w:widowControl w:val="0"/>
            <w:tabs>
              <w:tab w:val="right" w:leader="dot" w:pos="9446"/>
            </w:tabs>
            <w:kinsoku/>
            <w:wordWrap/>
            <w:overflowPunct/>
            <w:topLinePunct w:val="0"/>
            <w:autoSpaceDE w:val="0"/>
            <w:autoSpaceDN w:val="0"/>
            <w:bidi w:val="0"/>
            <w:adjustRightInd w:val="0"/>
            <w:snapToGrid w:val="0"/>
            <w:ind w:left="0"/>
            <w:jc w:val="center"/>
            <w:textAlignment w:val="auto"/>
            <w:rPr>
              <w:color w:val="auto"/>
              <w:highlight w:val="none"/>
            </w:rPr>
          </w:pPr>
          <w:r>
            <w:rPr>
              <w:color w:val="auto"/>
              <w:highlight w:val="none"/>
            </w:rPr>
            <w:fldChar w:fldCharType="begin"/>
          </w:r>
          <w:r>
            <w:rPr>
              <w:color w:val="auto"/>
              <w:highlight w:val="none"/>
            </w:rPr>
            <w:instrText xml:space="preserve"> HYPERLINK \l _Toc27880 </w:instrText>
          </w:r>
          <w:r>
            <w:rPr>
              <w:color w:val="auto"/>
              <w:highlight w:val="none"/>
            </w:rPr>
            <w:fldChar w:fldCharType="separate"/>
          </w:r>
          <w:r>
            <w:rPr>
              <w:rFonts w:hint="eastAsia" w:ascii="仿宋" w:hAnsi="仿宋" w:eastAsia="仿宋" w:cs="仿宋"/>
              <w:color w:val="auto"/>
              <w:szCs w:val="22"/>
              <w:highlight w:val="none"/>
              <w:lang w:val="en-US" w:eastAsia="zh-CN" w:bidi="ar-SA"/>
            </w:rPr>
            <w:t>第八章</w:t>
          </w:r>
          <w:r>
            <w:rPr>
              <w:rFonts w:hint="eastAsia" w:ascii="仿宋" w:hAnsi="仿宋" w:eastAsia="仿宋" w:cs="仿宋"/>
              <w:color w:val="auto"/>
              <w:highlight w:val="none"/>
            </w:rPr>
            <w:t xml:space="preserve"> 合同条款及格式</w:t>
          </w:r>
          <w:r>
            <w:rPr>
              <w:color w:val="auto"/>
              <w:highlight w:val="none"/>
            </w:rPr>
            <w:tab/>
          </w:r>
          <w:r>
            <w:rPr>
              <w:color w:val="auto"/>
              <w:highlight w:val="none"/>
            </w:rPr>
            <w:fldChar w:fldCharType="begin"/>
          </w:r>
          <w:r>
            <w:rPr>
              <w:color w:val="auto"/>
              <w:highlight w:val="none"/>
            </w:rPr>
            <w:instrText xml:space="preserve"> PAGEREF _Toc27880 \h </w:instrText>
          </w:r>
          <w:r>
            <w:rPr>
              <w:color w:val="auto"/>
              <w:highlight w:val="none"/>
            </w:rPr>
            <w:fldChar w:fldCharType="separate"/>
          </w:r>
          <w:r>
            <w:rPr>
              <w:color w:val="auto"/>
              <w:highlight w:val="none"/>
            </w:rPr>
            <w:t>88</w:t>
          </w:r>
          <w:r>
            <w:rPr>
              <w:color w:val="auto"/>
              <w:highlight w:val="none"/>
            </w:rPr>
            <w:fldChar w:fldCharType="end"/>
          </w:r>
          <w:r>
            <w:rPr>
              <w:color w:val="auto"/>
              <w:highlight w:val="none"/>
            </w:rPr>
            <w:fldChar w:fldCharType="end"/>
          </w:r>
        </w:p>
        <w:p w14:paraId="03D4631F">
          <w:pPr>
            <w:pStyle w:val="2"/>
            <w:keepNext w:val="0"/>
            <w:keepLines w:val="0"/>
            <w:pageBreakBefore w:val="0"/>
            <w:widowControl w:val="0"/>
            <w:kinsoku/>
            <w:wordWrap/>
            <w:overflowPunct/>
            <w:topLinePunct w:val="0"/>
            <w:autoSpaceDE w:val="0"/>
            <w:autoSpaceDN w:val="0"/>
            <w:bidi w:val="0"/>
            <w:adjustRightInd w:val="0"/>
            <w:snapToGrid w:val="0"/>
            <w:spacing w:line="360" w:lineRule="auto"/>
            <w:ind w:left="0"/>
            <w:jc w:val="center"/>
            <w:textAlignment w:val="auto"/>
            <w:rPr>
              <w:color w:val="auto"/>
              <w:highlight w:val="none"/>
            </w:rPr>
          </w:pPr>
          <w:r>
            <w:rPr>
              <w:color w:val="auto"/>
              <w:highlight w:val="none"/>
            </w:rPr>
            <w:fldChar w:fldCharType="end"/>
          </w:r>
        </w:p>
      </w:sdtContent>
    </w:sdt>
    <w:p w14:paraId="72D8658F">
      <w:pPr>
        <w:rPr>
          <w:color w:val="auto"/>
          <w:highlight w:val="none"/>
        </w:rPr>
      </w:pPr>
      <w:r>
        <w:rPr>
          <w:color w:val="auto"/>
          <w:highlight w:val="none"/>
        </w:rPr>
        <w:br w:type="page"/>
      </w:r>
    </w:p>
    <w:p w14:paraId="412A1A28">
      <w:pPr>
        <w:pStyle w:val="2"/>
        <w:spacing w:line="360" w:lineRule="auto"/>
        <w:ind w:left="2993"/>
        <w:jc w:val="left"/>
        <w:rPr>
          <w:color w:val="auto"/>
          <w:highlight w:val="none"/>
        </w:rPr>
      </w:pPr>
      <w:bookmarkStart w:id="1" w:name="_Toc23706"/>
      <w:r>
        <w:rPr>
          <w:color w:val="auto"/>
          <w:highlight w:val="none"/>
        </w:rPr>
        <w:t xml:space="preserve">第一章 </w:t>
      </w:r>
      <w:r>
        <w:rPr>
          <w:rFonts w:hint="eastAsia"/>
          <w:color w:val="auto"/>
          <w:highlight w:val="none"/>
        </w:rPr>
        <w:t>招标公告</w:t>
      </w:r>
      <w:bookmarkEnd w:id="1"/>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30"/>
      </w:tblGrid>
      <w:tr w14:paraId="592A4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jc w:val="center"/>
        </w:trPr>
        <w:tc>
          <w:tcPr>
            <w:tcW w:w="9230" w:type="dxa"/>
          </w:tcPr>
          <w:p w14:paraId="3C4942A8">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项目概况</w:t>
            </w:r>
          </w:p>
          <w:p w14:paraId="067CDA9A">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lang w:eastAsia="zh-CN"/>
              </w:rPr>
              <w:t>河南理工大学化学化工学院实验室气路改造项目</w:t>
            </w:r>
            <w:r>
              <w:rPr>
                <w:rFonts w:hint="eastAsia" w:ascii="宋体" w:hAnsi="宋体"/>
                <w:color w:val="auto"/>
                <w:sz w:val="24"/>
                <w:szCs w:val="24"/>
                <w:highlight w:val="none"/>
              </w:rPr>
              <w:t>招标项目的潜在</w:t>
            </w:r>
            <w:r>
              <w:rPr>
                <w:rFonts w:hint="eastAsia" w:ascii="宋体" w:hAnsi="宋体" w:cs="宋体"/>
                <w:color w:val="auto"/>
                <w:sz w:val="24"/>
                <w:szCs w:val="24"/>
                <w:highlight w:val="none"/>
              </w:rPr>
              <w:t>投标人</w:t>
            </w:r>
            <w:r>
              <w:rPr>
                <w:rFonts w:hint="eastAsia" w:ascii="宋体" w:hAnsi="宋体"/>
                <w:color w:val="auto"/>
                <w:sz w:val="24"/>
                <w:szCs w:val="24"/>
                <w:highlight w:val="none"/>
              </w:rPr>
              <w:t>应登录“河南省公共资源交易中心网站（</w:t>
            </w:r>
            <w:bookmarkStart w:id="2" w:name="OLE_LINK8"/>
            <w:bookmarkStart w:id="3" w:name="OLE_LINK9"/>
            <w:r>
              <w:rPr>
                <w:rFonts w:hint="eastAsia" w:ascii="宋体" w:hAnsi="宋体"/>
                <w:color w:val="auto"/>
                <w:sz w:val="24"/>
                <w:szCs w:val="24"/>
                <w:highlight w:val="none"/>
              </w:rPr>
              <w:t>http://hnsggzyjy.henan.gov.cn</w:t>
            </w:r>
            <w:bookmarkEnd w:id="2"/>
            <w:bookmarkEnd w:id="3"/>
            <w:r>
              <w:rPr>
                <w:rFonts w:hint="eastAsia" w:ascii="宋体" w:hAnsi="宋体"/>
                <w:color w:val="auto"/>
                <w:sz w:val="24"/>
                <w:szCs w:val="24"/>
                <w:highlight w:val="none"/>
              </w:rPr>
              <w:t>）”凭单位身份认证锁（CA数字证书）下载获取招标文件</w:t>
            </w:r>
            <w:r>
              <w:rPr>
                <w:rFonts w:hint="eastAsia" w:ascii="宋体" w:hAnsi="宋体" w:cs="宋体"/>
                <w:color w:val="auto"/>
                <w:sz w:val="24"/>
                <w:szCs w:val="24"/>
                <w:highlight w:val="none"/>
              </w:rPr>
              <w:t>，</w:t>
            </w:r>
            <w:r>
              <w:rPr>
                <w:rFonts w:hint="eastAsia" w:ascii="宋体" w:hAnsi="宋体"/>
                <w:color w:val="auto"/>
                <w:sz w:val="24"/>
                <w:szCs w:val="24"/>
                <w:highlight w:val="none"/>
              </w:rPr>
              <w:t>并于</w:t>
            </w:r>
            <w:r>
              <w:rPr>
                <w:rFonts w:ascii="宋体" w:hAnsi="宋体"/>
                <w:color w:val="auto"/>
                <w:sz w:val="24"/>
                <w:szCs w:val="24"/>
                <w:highlight w:val="none"/>
                <w:u w:val="single"/>
              </w:rPr>
              <w:t xml:space="preserve"> </w:t>
            </w:r>
            <w:r>
              <w:rPr>
                <w:rFonts w:hint="eastAsia" w:ascii="宋体" w:hAnsi="宋体"/>
                <w:color w:val="auto"/>
                <w:sz w:val="24"/>
                <w:szCs w:val="24"/>
                <w:highlight w:val="none"/>
                <w:u w:val="single"/>
                <w:lang w:eastAsia="zh-CN"/>
              </w:rPr>
              <w:t>2026年10月</w:t>
            </w:r>
            <w:r>
              <w:rPr>
                <w:rFonts w:hint="eastAsia" w:ascii="宋体" w:hAnsi="宋体"/>
                <w:color w:val="auto"/>
                <w:sz w:val="24"/>
                <w:szCs w:val="24"/>
                <w:highlight w:val="none"/>
                <w:u w:val="single"/>
                <w:lang w:val="en-US" w:eastAsia="zh-CN"/>
              </w:rPr>
              <w:t>29</w:t>
            </w:r>
            <w:r>
              <w:rPr>
                <w:rFonts w:hint="eastAsia" w:ascii="宋体" w:hAnsi="宋体"/>
                <w:color w:val="auto"/>
                <w:sz w:val="24"/>
                <w:szCs w:val="24"/>
                <w:highlight w:val="none"/>
                <w:u w:val="single"/>
                <w:lang w:eastAsia="zh-CN"/>
              </w:rPr>
              <w:t>日9时00分</w:t>
            </w:r>
            <w:r>
              <w:rPr>
                <w:rFonts w:hint="eastAsia" w:ascii="宋体" w:hAnsi="宋体"/>
                <w:bCs/>
                <w:color w:val="auto"/>
                <w:sz w:val="24"/>
                <w:szCs w:val="24"/>
                <w:highlight w:val="none"/>
              </w:rPr>
              <w:t>（北京时间）前提交投标</w:t>
            </w:r>
            <w:r>
              <w:rPr>
                <w:rFonts w:ascii="宋体" w:hAnsi="宋体"/>
                <w:bCs/>
                <w:color w:val="auto"/>
                <w:sz w:val="24"/>
                <w:szCs w:val="24"/>
                <w:highlight w:val="none"/>
              </w:rPr>
              <w:t>文件</w:t>
            </w:r>
            <w:r>
              <w:rPr>
                <w:rFonts w:hint="eastAsia" w:ascii="宋体" w:hAnsi="宋体"/>
                <w:color w:val="auto"/>
                <w:sz w:val="24"/>
                <w:szCs w:val="24"/>
                <w:highlight w:val="none"/>
              </w:rPr>
              <w:t>。</w:t>
            </w:r>
          </w:p>
        </w:tc>
      </w:tr>
    </w:tbl>
    <w:p w14:paraId="15D10917">
      <w:pPr>
        <w:pStyle w:val="7"/>
        <w:spacing w:line="360" w:lineRule="auto"/>
        <w:ind w:firstLine="480" w:firstLineChars="200"/>
        <w:rPr>
          <w:rFonts w:ascii="宋体" w:eastAsia="宋体"/>
          <w:color w:val="auto"/>
          <w:sz w:val="24"/>
          <w:szCs w:val="24"/>
          <w:highlight w:val="none"/>
        </w:rPr>
      </w:pPr>
      <w:r>
        <w:rPr>
          <w:rFonts w:hint="eastAsia"/>
          <w:color w:val="auto"/>
          <w:sz w:val="24"/>
          <w:szCs w:val="24"/>
          <w:highlight w:val="none"/>
        </w:rPr>
        <w:t>一、</w:t>
      </w:r>
      <w:r>
        <w:rPr>
          <w:color w:val="auto"/>
          <w:sz w:val="24"/>
          <w:szCs w:val="24"/>
          <w:highlight w:val="none"/>
        </w:rPr>
        <w:t>项目基本情况</w:t>
      </w:r>
    </w:p>
    <w:p w14:paraId="2FE76830">
      <w:pPr>
        <w:pStyle w:val="19"/>
        <w:numPr>
          <w:ilvl w:val="0"/>
          <w:numId w:val="0"/>
        </w:numPr>
        <w:spacing w:line="360" w:lineRule="auto"/>
        <w:ind w:left="0" w:leftChars="0" w:firstLine="480" w:firstLineChars="200"/>
        <w:rPr>
          <w:rFonts w:hint="eastAsia" w:eastAsia="仿宋"/>
          <w:color w:val="auto"/>
          <w:sz w:val="24"/>
          <w:szCs w:val="24"/>
          <w:highlight w:val="none"/>
          <w:lang w:eastAsia="zh-CN"/>
        </w:rPr>
      </w:pPr>
      <w:r>
        <w:rPr>
          <w:rFonts w:hint="default"/>
          <w:color w:val="auto"/>
          <w:sz w:val="24"/>
          <w:szCs w:val="24"/>
          <w:highlight w:val="none"/>
          <w:lang w:val="en-US" w:eastAsia="zh-CN"/>
        </w:rPr>
        <w:t>1.</w:t>
      </w:r>
      <w:r>
        <w:rPr>
          <w:color w:val="auto"/>
          <w:sz w:val="24"/>
          <w:szCs w:val="24"/>
          <w:highlight w:val="none"/>
        </w:rPr>
        <w:t>项目编号：</w:t>
      </w:r>
      <w:r>
        <w:rPr>
          <w:rFonts w:hint="eastAsia"/>
          <w:color w:val="auto"/>
          <w:sz w:val="24"/>
          <w:szCs w:val="24"/>
          <w:highlight w:val="none"/>
          <w:lang w:eastAsia="zh-CN"/>
        </w:rPr>
        <w:t>豫财招标采购-2026-998</w:t>
      </w:r>
    </w:p>
    <w:p w14:paraId="2CAB4094">
      <w:pPr>
        <w:pStyle w:val="19"/>
        <w:numPr>
          <w:ilvl w:val="0"/>
          <w:numId w:val="0"/>
        </w:numPr>
        <w:spacing w:line="360" w:lineRule="auto"/>
        <w:ind w:left="0" w:leftChars="0" w:firstLine="480" w:firstLineChars="200"/>
        <w:rPr>
          <w:color w:val="auto"/>
          <w:sz w:val="24"/>
          <w:szCs w:val="24"/>
          <w:highlight w:val="none"/>
        </w:rPr>
      </w:pPr>
      <w:r>
        <w:rPr>
          <w:rFonts w:hint="default"/>
          <w:color w:val="auto"/>
          <w:sz w:val="24"/>
          <w:szCs w:val="24"/>
          <w:highlight w:val="none"/>
          <w:lang w:val="en-US" w:eastAsia="zh-CN"/>
        </w:rPr>
        <w:t>2.</w:t>
      </w:r>
      <w:r>
        <w:rPr>
          <w:color w:val="auto"/>
          <w:sz w:val="24"/>
          <w:szCs w:val="24"/>
          <w:highlight w:val="none"/>
        </w:rPr>
        <w:t>项目名称：</w:t>
      </w:r>
      <w:r>
        <w:rPr>
          <w:rFonts w:hint="eastAsia"/>
          <w:color w:val="auto"/>
          <w:sz w:val="24"/>
          <w:szCs w:val="24"/>
          <w:highlight w:val="none"/>
          <w:lang w:eastAsia="zh-CN"/>
        </w:rPr>
        <w:t>河南理工大学化学化工学院实验室气路改造项目</w:t>
      </w:r>
    </w:p>
    <w:p w14:paraId="21612908">
      <w:pPr>
        <w:pStyle w:val="19"/>
        <w:numPr>
          <w:ilvl w:val="0"/>
          <w:numId w:val="0"/>
        </w:numPr>
        <w:spacing w:line="360" w:lineRule="auto"/>
        <w:ind w:left="0" w:leftChars="0" w:firstLine="480" w:firstLineChars="200"/>
        <w:rPr>
          <w:color w:val="auto"/>
          <w:sz w:val="24"/>
          <w:szCs w:val="24"/>
          <w:highlight w:val="none"/>
        </w:rPr>
      </w:pPr>
      <w:r>
        <w:rPr>
          <w:rFonts w:hint="default"/>
          <w:color w:val="auto"/>
          <w:sz w:val="24"/>
          <w:szCs w:val="24"/>
          <w:highlight w:val="none"/>
          <w:lang w:val="en-US" w:eastAsia="zh-CN"/>
        </w:rPr>
        <w:t>3.</w:t>
      </w:r>
      <w:r>
        <w:rPr>
          <w:color w:val="auto"/>
          <w:sz w:val="24"/>
          <w:szCs w:val="24"/>
          <w:highlight w:val="none"/>
        </w:rPr>
        <w:t>采购方式：公开招标</w:t>
      </w:r>
      <w:bookmarkStart w:id="4" w:name="_Toc654106674_WPSOffice_Level3"/>
      <w:bookmarkStart w:id="5" w:name="_Toc91128674_WPSOffice_Level3"/>
    </w:p>
    <w:p w14:paraId="78AEB6B5">
      <w:pPr>
        <w:pStyle w:val="19"/>
        <w:numPr>
          <w:ilvl w:val="0"/>
          <w:numId w:val="0"/>
        </w:numPr>
        <w:spacing w:line="360" w:lineRule="auto"/>
        <w:ind w:left="0" w:leftChars="0" w:firstLine="480" w:firstLineChars="200"/>
        <w:rPr>
          <w:color w:val="auto"/>
          <w:sz w:val="24"/>
          <w:szCs w:val="24"/>
          <w:highlight w:val="none"/>
        </w:rPr>
      </w:pPr>
      <w:r>
        <w:rPr>
          <w:rFonts w:hint="eastAsia"/>
          <w:color w:val="auto"/>
          <w:sz w:val="24"/>
          <w:szCs w:val="24"/>
          <w:highlight w:val="none"/>
          <w:lang w:val="en-US" w:eastAsia="zh-CN"/>
        </w:rPr>
        <w:t>4.</w:t>
      </w:r>
      <w:r>
        <w:rPr>
          <w:rFonts w:hint="eastAsia"/>
          <w:color w:val="auto"/>
          <w:sz w:val="24"/>
          <w:szCs w:val="24"/>
          <w:highlight w:val="none"/>
        </w:rPr>
        <w:t>预算金额：</w:t>
      </w:r>
      <w:bookmarkEnd w:id="4"/>
      <w:bookmarkEnd w:id="5"/>
      <w:r>
        <w:rPr>
          <w:rFonts w:hint="eastAsia"/>
          <w:color w:val="auto"/>
          <w:sz w:val="24"/>
          <w:szCs w:val="24"/>
          <w:highlight w:val="none"/>
          <w:lang w:eastAsia="zh-CN"/>
        </w:rPr>
        <w:t>2000000.00</w:t>
      </w:r>
      <w:r>
        <w:rPr>
          <w:rFonts w:hint="eastAsia"/>
          <w:color w:val="auto"/>
          <w:sz w:val="24"/>
          <w:szCs w:val="24"/>
          <w:highlight w:val="none"/>
        </w:rPr>
        <w:t>元，最高限价：</w:t>
      </w:r>
      <w:r>
        <w:rPr>
          <w:rFonts w:hint="eastAsia"/>
          <w:color w:val="auto"/>
          <w:sz w:val="24"/>
          <w:szCs w:val="24"/>
          <w:highlight w:val="none"/>
          <w:lang w:eastAsia="zh-CN"/>
        </w:rPr>
        <w:t>2000000.00</w:t>
      </w:r>
      <w:r>
        <w:rPr>
          <w:rFonts w:hint="eastAsia"/>
          <w:color w:val="auto"/>
          <w:sz w:val="24"/>
          <w:szCs w:val="24"/>
          <w:highlight w:val="none"/>
        </w:rPr>
        <w:t>元。</w:t>
      </w:r>
    </w:p>
    <w:tbl>
      <w:tblPr>
        <w:tblStyle w:val="15"/>
        <w:tblW w:w="4587" w:type="pct"/>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autofit"/>
        <w:tblCellMar>
          <w:top w:w="0" w:type="dxa"/>
          <w:left w:w="0" w:type="dxa"/>
          <w:bottom w:w="0" w:type="dxa"/>
          <w:right w:w="0" w:type="dxa"/>
        </w:tblCellMar>
      </w:tblPr>
      <w:tblGrid>
        <w:gridCol w:w="518"/>
        <w:gridCol w:w="1720"/>
        <w:gridCol w:w="2879"/>
        <w:gridCol w:w="1517"/>
        <w:gridCol w:w="2179"/>
      </w:tblGrid>
      <w:tr w14:paraId="62A60AC6">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760" w:hRule="atLeast"/>
          <w:jc w:val="center"/>
        </w:trPr>
        <w:tc>
          <w:tcPr>
            <w:tcW w:w="334"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F5A19D6">
            <w:pPr>
              <w:jc w:val="center"/>
              <w:rPr>
                <w:rFonts w:ascii="仿宋_GB2312" w:hAnsi="仿宋_GB2312" w:eastAsia="仿宋_GB2312" w:cs="仿宋_GB2312"/>
                <w:color w:val="auto"/>
                <w:sz w:val="24"/>
                <w:szCs w:val="24"/>
                <w:highlight w:val="none"/>
              </w:rPr>
            </w:pPr>
            <w:r>
              <w:rPr>
                <w:rFonts w:ascii="仿宋_GB2312" w:hAnsi="仿宋_GB2312" w:eastAsia="仿宋_GB2312" w:cs="仿宋_GB2312"/>
                <w:color w:val="auto"/>
                <w:sz w:val="24"/>
                <w:szCs w:val="24"/>
                <w:highlight w:val="none"/>
              </w:rPr>
              <w:t>序号</w:t>
            </w:r>
          </w:p>
        </w:tc>
        <w:tc>
          <w:tcPr>
            <w:tcW w:w="816"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1BF41A3">
            <w:pPr>
              <w:jc w:val="center"/>
              <w:rPr>
                <w:rFonts w:ascii="仿宋_GB2312" w:hAnsi="仿宋_GB2312" w:eastAsia="仿宋_GB2312" w:cs="仿宋_GB2312"/>
                <w:color w:val="auto"/>
                <w:sz w:val="24"/>
                <w:szCs w:val="24"/>
                <w:highlight w:val="none"/>
              </w:rPr>
            </w:pPr>
            <w:r>
              <w:rPr>
                <w:rFonts w:ascii="仿宋_GB2312" w:hAnsi="仿宋_GB2312" w:eastAsia="仿宋_GB2312" w:cs="仿宋_GB2312"/>
                <w:color w:val="auto"/>
                <w:sz w:val="24"/>
                <w:szCs w:val="24"/>
                <w:highlight w:val="none"/>
              </w:rPr>
              <w:t>包号</w:t>
            </w:r>
          </w:p>
        </w:tc>
        <w:tc>
          <w:tcPr>
            <w:tcW w:w="1672"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E473FDE">
            <w:pPr>
              <w:jc w:val="center"/>
              <w:rPr>
                <w:rFonts w:ascii="仿宋_GB2312" w:hAnsi="仿宋_GB2312" w:eastAsia="仿宋_GB2312" w:cs="仿宋_GB2312"/>
                <w:color w:val="auto"/>
                <w:sz w:val="24"/>
                <w:szCs w:val="24"/>
                <w:highlight w:val="none"/>
              </w:rPr>
            </w:pPr>
            <w:r>
              <w:rPr>
                <w:rFonts w:ascii="仿宋_GB2312" w:hAnsi="仿宋_GB2312" w:eastAsia="仿宋_GB2312" w:cs="仿宋_GB2312"/>
                <w:color w:val="auto"/>
                <w:sz w:val="24"/>
                <w:szCs w:val="24"/>
                <w:highlight w:val="none"/>
              </w:rPr>
              <w:t>包名称</w:t>
            </w:r>
          </w:p>
        </w:tc>
        <w:tc>
          <w:tcPr>
            <w:tcW w:w="900"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3469BBF">
            <w:pPr>
              <w:jc w:val="center"/>
              <w:rPr>
                <w:rFonts w:ascii="仿宋_GB2312" w:hAnsi="仿宋_GB2312" w:eastAsia="仿宋_GB2312" w:cs="仿宋_GB2312"/>
                <w:color w:val="auto"/>
                <w:sz w:val="24"/>
                <w:szCs w:val="24"/>
                <w:highlight w:val="none"/>
              </w:rPr>
            </w:pPr>
            <w:r>
              <w:rPr>
                <w:rFonts w:ascii="仿宋_GB2312" w:hAnsi="仿宋_GB2312" w:eastAsia="仿宋_GB2312" w:cs="仿宋_GB2312"/>
                <w:color w:val="auto"/>
                <w:sz w:val="24"/>
                <w:szCs w:val="24"/>
                <w:highlight w:val="none"/>
              </w:rPr>
              <w:t>包预算</w:t>
            </w:r>
            <w:r>
              <w:rPr>
                <w:rFonts w:hint="eastAsia" w:ascii="仿宋_GB2312" w:hAnsi="仿宋_GB2312" w:eastAsia="仿宋_GB2312" w:cs="仿宋_GB2312"/>
                <w:color w:val="auto"/>
                <w:sz w:val="24"/>
                <w:szCs w:val="24"/>
                <w:highlight w:val="none"/>
              </w:rPr>
              <w:t>（</w:t>
            </w:r>
            <w:r>
              <w:rPr>
                <w:rFonts w:ascii="仿宋_GB2312" w:hAnsi="仿宋_GB2312" w:eastAsia="仿宋_GB2312" w:cs="仿宋_GB2312"/>
                <w:color w:val="auto"/>
                <w:sz w:val="24"/>
                <w:szCs w:val="24"/>
                <w:highlight w:val="none"/>
              </w:rPr>
              <w:t>元）</w:t>
            </w:r>
          </w:p>
        </w:tc>
        <w:tc>
          <w:tcPr>
            <w:tcW w:w="1275"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76CE038">
            <w:pPr>
              <w:jc w:val="center"/>
              <w:rPr>
                <w:rFonts w:ascii="仿宋_GB2312" w:hAnsi="仿宋_GB2312" w:eastAsia="仿宋_GB2312" w:cs="仿宋_GB2312"/>
                <w:color w:val="auto"/>
                <w:sz w:val="24"/>
                <w:szCs w:val="24"/>
                <w:highlight w:val="none"/>
              </w:rPr>
            </w:pPr>
            <w:r>
              <w:rPr>
                <w:rFonts w:ascii="仿宋_GB2312" w:hAnsi="仿宋_GB2312" w:eastAsia="仿宋_GB2312" w:cs="仿宋_GB2312"/>
                <w:color w:val="auto"/>
                <w:sz w:val="24"/>
                <w:szCs w:val="24"/>
                <w:highlight w:val="none"/>
              </w:rPr>
              <w:t>包最高限价</w:t>
            </w:r>
            <w:r>
              <w:rPr>
                <w:rFonts w:hint="eastAsia" w:ascii="仿宋_GB2312" w:hAnsi="仿宋_GB2312" w:eastAsia="仿宋_GB2312" w:cs="仿宋_GB2312"/>
                <w:color w:val="auto"/>
                <w:sz w:val="24"/>
                <w:szCs w:val="24"/>
                <w:highlight w:val="none"/>
              </w:rPr>
              <w:t>（</w:t>
            </w:r>
            <w:r>
              <w:rPr>
                <w:rFonts w:ascii="仿宋_GB2312" w:hAnsi="仿宋_GB2312" w:eastAsia="仿宋_GB2312" w:cs="仿宋_GB2312"/>
                <w:color w:val="auto"/>
                <w:sz w:val="24"/>
                <w:szCs w:val="24"/>
                <w:highlight w:val="none"/>
              </w:rPr>
              <w:t>元）</w:t>
            </w:r>
          </w:p>
        </w:tc>
      </w:tr>
      <w:tr w14:paraId="494665C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748" w:hRule="atLeast"/>
          <w:jc w:val="center"/>
        </w:trPr>
        <w:tc>
          <w:tcPr>
            <w:tcW w:w="334"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9DD734C">
            <w:pPr>
              <w:jc w:val="center"/>
              <w:rPr>
                <w:rFonts w:ascii="仿宋_GB2312" w:hAnsi="仿宋_GB2312" w:eastAsia="仿宋_GB2312" w:cs="仿宋_GB2312"/>
                <w:color w:val="auto"/>
                <w:sz w:val="24"/>
                <w:szCs w:val="24"/>
                <w:highlight w:val="none"/>
              </w:rPr>
            </w:pPr>
            <w:r>
              <w:rPr>
                <w:rFonts w:ascii="仿宋_GB2312" w:hAnsi="仿宋_GB2312" w:eastAsia="仿宋_GB2312" w:cs="仿宋_GB2312"/>
                <w:color w:val="auto"/>
                <w:sz w:val="24"/>
                <w:szCs w:val="24"/>
                <w:highlight w:val="none"/>
              </w:rPr>
              <w:t>1</w:t>
            </w:r>
          </w:p>
        </w:tc>
        <w:tc>
          <w:tcPr>
            <w:tcW w:w="816"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EBB03FD">
            <w:pPr>
              <w:jc w:val="center"/>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豫政采(2)20261409-1</w:t>
            </w:r>
          </w:p>
        </w:tc>
        <w:tc>
          <w:tcPr>
            <w:tcW w:w="1672"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5CDB7C5">
            <w:pPr>
              <w:jc w:val="center"/>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河南理工大学化学化工学院实验室气路改造项目</w:t>
            </w:r>
          </w:p>
        </w:tc>
        <w:tc>
          <w:tcPr>
            <w:tcW w:w="900"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464BEFC">
            <w:pPr>
              <w:jc w:val="center"/>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2000000.00</w:t>
            </w:r>
          </w:p>
        </w:tc>
        <w:tc>
          <w:tcPr>
            <w:tcW w:w="1275"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BCACA3D">
            <w:pPr>
              <w:jc w:val="center"/>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2000000.00</w:t>
            </w:r>
          </w:p>
        </w:tc>
      </w:tr>
    </w:tbl>
    <w:p w14:paraId="1E2374B0">
      <w:pPr>
        <w:pStyle w:val="19"/>
        <w:tabs>
          <w:tab w:val="left" w:pos="1040"/>
        </w:tabs>
        <w:spacing w:line="360" w:lineRule="auto"/>
        <w:ind w:left="0" w:firstLine="480" w:firstLineChars="200"/>
        <w:jc w:val="both"/>
        <w:rPr>
          <w:color w:val="auto"/>
          <w:sz w:val="24"/>
          <w:szCs w:val="24"/>
          <w:highlight w:val="none"/>
        </w:rPr>
      </w:pPr>
      <w:r>
        <w:rPr>
          <w:rFonts w:hint="eastAsia"/>
          <w:color w:val="auto"/>
          <w:sz w:val="24"/>
          <w:szCs w:val="24"/>
          <w:highlight w:val="none"/>
        </w:rPr>
        <w:t>5.</w:t>
      </w:r>
      <w:r>
        <w:rPr>
          <w:color w:val="auto"/>
          <w:sz w:val="24"/>
          <w:szCs w:val="24"/>
          <w:highlight w:val="none"/>
        </w:rPr>
        <w:t>采购需求（包括但不限于标的的名称、数量、简要技术需求或服务要求等）</w:t>
      </w:r>
    </w:p>
    <w:p w14:paraId="0D29CE79">
      <w:pPr>
        <w:pStyle w:val="19"/>
        <w:tabs>
          <w:tab w:val="left" w:pos="1040"/>
        </w:tabs>
        <w:spacing w:line="360" w:lineRule="auto"/>
        <w:ind w:left="0" w:firstLine="480" w:firstLineChars="200"/>
        <w:jc w:val="both"/>
        <w:rPr>
          <w:color w:val="auto"/>
          <w:sz w:val="24"/>
          <w:szCs w:val="24"/>
          <w:highlight w:val="none"/>
        </w:rPr>
      </w:pPr>
      <w:r>
        <w:rPr>
          <w:rFonts w:hint="eastAsia"/>
          <w:color w:val="auto"/>
          <w:sz w:val="24"/>
          <w:szCs w:val="24"/>
          <w:highlight w:val="none"/>
        </w:rPr>
        <w:t>（1）采购内容：一体化智能安全防爆供气柜1台、气体泄漏联动排风系统3套、防爆开关3套、防爆灯4个等，详见第六章</w:t>
      </w:r>
      <w:r>
        <w:rPr>
          <w:rFonts w:hint="eastAsia"/>
          <w:color w:val="auto"/>
          <w:sz w:val="24"/>
          <w:szCs w:val="24"/>
          <w:highlight w:val="none"/>
          <w:lang w:val="en-US" w:eastAsia="zh-CN"/>
        </w:rPr>
        <w:t xml:space="preserve"> </w:t>
      </w:r>
      <w:r>
        <w:rPr>
          <w:rFonts w:hint="eastAsia"/>
          <w:color w:val="auto"/>
          <w:sz w:val="24"/>
          <w:szCs w:val="24"/>
          <w:highlight w:val="none"/>
        </w:rPr>
        <w:t>采购需求。</w:t>
      </w:r>
    </w:p>
    <w:p w14:paraId="64116DF3">
      <w:pPr>
        <w:pStyle w:val="19"/>
        <w:tabs>
          <w:tab w:val="left" w:pos="1040"/>
        </w:tabs>
        <w:spacing w:line="360" w:lineRule="auto"/>
        <w:ind w:left="0" w:firstLine="480" w:firstLineChars="200"/>
        <w:jc w:val="both"/>
        <w:rPr>
          <w:color w:val="auto"/>
          <w:sz w:val="24"/>
          <w:szCs w:val="24"/>
          <w:highlight w:val="none"/>
        </w:rPr>
      </w:pPr>
      <w:r>
        <w:rPr>
          <w:rFonts w:hint="eastAsia"/>
          <w:color w:val="auto"/>
          <w:sz w:val="24"/>
          <w:szCs w:val="24"/>
          <w:highlight w:val="none"/>
        </w:rPr>
        <w:t>（2）</w:t>
      </w:r>
      <w:r>
        <w:rPr>
          <w:color w:val="auto"/>
          <w:sz w:val="24"/>
          <w:szCs w:val="24"/>
          <w:highlight w:val="none"/>
        </w:rPr>
        <w:t>交货期：合同生效后</w:t>
      </w:r>
      <w:r>
        <w:rPr>
          <w:rFonts w:hint="eastAsia"/>
          <w:color w:val="auto"/>
          <w:sz w:val="24"/>
          <w:szCs w:val="24"/>
          <w:highlight w:val="none"/>
        </w:rPr>
        <w:t>且接到采购人书面供货通知后</w:t>
      </w:r>
      <w:r>
        <w:rPr>
          <w:rFonts w:hint="eastAsia"/>
          <w:color w:val="auto"/>
          <w:sz w:val="24"/>
          <w:szCs w:val="24"/>
          <w:highlight w:val="none"/>
          <w:lang w:val="en-US" w:eastAsia="zh-CN"/>
        </w:rPr>
        <w:t>45</w:t>
      </w:r>
      <w:r>
        <w:rPr>
          <w:color w:val="auto"/>
          <w:sz w:val="24"/>
          <w:szCs w:val="24"/>
          <w:highlight w:val="none"/>
        </w:rPr>
        <w:t>日历</w:t>
      </w:r>
      <w:r>
        <w:rPr>
          <w:rFonts w:hint="eastAsia"/>
          <w:color w:val="auto"/>
          <w:sz w:val="24"/>
          <w:szCs w:val="24"/>
          <w:highlight w:val="none"/>
        </w:rPr>
        <w:t>天</w:t>
      </w:r>
      <w:r>
        <w:rPr>
          <w:color w:val="auto"/>
          <w:sz w:val="24"/>
          <w:szCs w:val="24"/>
          <w:highlight w:val="none"/>
        </w:rPr>
        <w:t>内完成供货、安装及调试。</w:t>
      </w:r>
    </w:p>
    <w:p w14:paraId="172C9BC4">
      <w:pPr>
        <w:pStyle w:val="19"/>
        <w:tabs>
          <w:tab w:val="left" w:pos="1459"/>
        </w:tabs>
        <w:spacing w:line="360" w:lineRule="auto"/>
        <w:ind w:left="0" w:firstLine="480" w:firstLineChars="200"/>
        <w:jc w:val="both"/>
        <w:rPr>
          <w:color w:val="auto"/>
          <w:sz w:val="24"/>
          <w:szCs w:val="24"/>
          <w:highlight w:val="none"/>
        </w:rPr>
      </w:pPr>
      <w:r>
        <w:rPr>
          <w:rFonts w:hint="eastAsia"/>
          <w:color w:val="auto"/>
          <w:sz w:val="24"/>
          <w:szCs w:val="24"/>
          <w:highlight w:val="none"/>
        </w:rPr>
        <w:t>（3）</w:t>
      </w:r>
      <w:r>
        <w:rPr>
          <w:rFonts w:hint="eastAsia" w:ascii="宋体" w:hAnsi="宋体"/>
          <w:color w:val="auto"/>
          <w:sz w:val="24"/>
          <w:szCs w:val="24"/>
          <w:highlight w:val="none"/>
        </w:rPr>
        <w:t>质量标准：合格，符合国家标准、行业相关标准。</w:t>
      </w:r>
    </w:p>
    <w:p w14:paraId="20A70414">
      <w:pPr>
        <w:pStyle w:val="19"/>
        <w:tabs>
          <w:tab w:val="left" w:pos="1459"/>
        </w:tabs>
        <w:spacing w:line="360" w:lineRule="auto"/>
        <w:ind w:left="0" w:firstLine="480" w:firstLineChars="200"/>
        <w:jc w:val="both"/>
        <w:rPr>
          <w:color w:val="auto"/>
          <w:sz w:val="24"/>
          <w:szCs w:val="24"/>
          <w:highlight w:val="none"/>
        </w:rPr>
      </w:pPr>
      <w:r>
        <w:rPr>
          <w:rFonts w:hint="eastAsia"/>
          <w:color w:val="auto"/>
          <w:sz w:val="24"/>
          <w:szCs w:val="24"/>
          <w:highlight w:val="none"/>
        </w:rPr>
        <w:t>（4）质量保证</w:t>
      </w:r>
      <w:r>
        <w:rPr>
          <w:rFonts w:hint="eastAsia" w:ascii="宋体" w:hAnsi="宋体"/>
          <w:color w:val="auto"/>
          <w:sz w:val="24"/>
          <w:szCs w:val="24"/>
          <w:highlight w:val="none"/>
        </w:rPr>
        <w:t>期：</w:t>
      </w:r>
      <w:r>
        <w:rPr>
          <w:rFonts w:hint="eastAsia" w:ascii="宋体" w:hAnsi="宋体"/>
          <w:color w:val="auto"/>
          <w:sz w:val="24"/>
          <w:szCs w:val="24"/>
          <w:highlight w:val="none"/>
          <w:lang w:eastAsia="zh-CN"/>
        </w:rPr>
        <w:t>1年，自验收合格之日起计算</w:t>
      </w:r>
      <w:r>
        <w:rPr>
          <w:rFonts w:hint="eastAsia"/>
          <w:color w:val="auto"/>
          <w:sz w:val="24"/>
          <w:szCs w:val="24"/>
          <w:highlight w:val="none"/>
        </w:rPr>
        <w:t>。</w:t>
      </w:r>
    </w:p>
    <w:p w14:paraId="6F02EBBA">
      <w:pPr>
        <w:pStyle w:val="19"/>
        <w:tabs>
          <w:tab w:val="left" w:pos="1459"/>
        </w:tabs>
        <w:spacing w:line="360" w:lineRule="auto"/>
        <w:ind w:left="0" w:firstLine="480" w:firstLineChars="200"/>
        <w:jc w:val="both"/>
        <w:rPr>
          <w:color w:val="auto"/>
          <w:sz w:val="24"/>
          <w:szCs w:val="24"/>
          <w:highlight w:val="none"/>
        </w:rPr>
      </w:pPr>
      <w:r>
        <w:rPr>
          <w:rFonts w:hint="eastAsia"/>
          <w:color w:val="auto"/>
          <w:sz w:val="24"/>
          <w:szCs w:val="24"/>
          <w:highlight w:val="none"/>
        </w:rPr>
        <w:t>（5）</w:t>
      </w:r>
      <w:r>
        <w:rPr>
          <w:color w:val="auto"/>
          <w:sz w:val="24"/>
          <w:szCs w:val="24"/>
          <w:highlight w:val="none"/>
        </w:rPr>
        <w:t>交货地点：河南</w:t>
      </w:r>
      <w:r>
        <w:rPr>
          <w:rFonts w:hint="eastAsia"/>
          <w:color w:val="auto"/>
          <w:sz w:val="24"/>
          <w:szCs w:val="24"/>
          <w:highlight w:val="none"/>
        </w:rPr>
        <w:t>理工</w:t>
      </w:r>
      <w:r>
        <w:rPr>
          <w:color w:val="auto"/>
          <w:sz w:val="24"/>
          <w:szCs w:val="24"/>
          <w:highlight w:val="none"/>
        </w:rPr>
        <w:t>大学</w:t>
      </w:r>
      <w:r>
        <w:rPr>
          <w:rFonts w:hint="eastAsia"/>
          <w:color w:val="auto"/>
          <w:sz w:val="24"/>
          <w:szCs w:val="24"/>
          <w:highlight w:val="none"/>
        </w:rPr>
        <w:t>（采购人指定地点）</w:t>
      </w:r>
    </w:p>
    <w:p w14:paraId="03196656">
      <w:pPr>
        <w:pStyle w:val="19"/>
        <w:tabs>
          <w:tab w:val="left" w:pos="1459"/>
        </w:tabs>
        <w:spacing w:line="360" w:lineRule="auto"/>
        <w:ind w:left="0" w:firstLine="480" w:firstLineChars="200"/>
        <w:jc w:val="both"/>
        <w:rPr>
          <w:color w:val="auto"/>
          <w:sz w:val="24"/>
          <w:szCs w:val="24"/>
          <w:highlight w:val="none"/>
        </w:rPr>
      </w:pPr>
      <w:r>
        <w:rPr>
          <w:rFonts w:hint="eastAsia"/>
          <w:color w:val="auto"/>
          <w:sz w:val="24"/>
          <w:szCs w:val="24"/>
          <w:highlight w:val="none"/>
        </w:rPr>
        <w:t>6.</w:t>
      </w:r>
      <w:r>
        <w:rPr>
          <w:color w:val="auto"/>
          <w:sz w:val="24"/>
          <w:szCs w:val="24"/>
          <w:highlight w:val="none"/>
        </w:rPr>
        <w:t>合同履行期限：</w:t>
      </w:r>
      <w:r>
        <w:rPr>
          <w:rFonts w:hint="eastAsia"/>
          <w:color w:val="auto"/>
          <w:sz w:val="24"/>
          <w:szCs w:val="24"/>
          <w:highlight w:val="none"/>
        </w:rPr>
        <w:t>合同签订之日起至质保期满。</w:t>
      </w:r>
    </w:p>
    <w:p w14:paraId="72E0632B">
      <w:pPr>
        <w:pStyle w:val="19"/>
        <w:tabs>
          <w:tab w:val="left" w:pos="1038"/>
        </w:tabs>
        <w:spacing w:line="360" w:lineRule="auto"/>
        <w:ind w:left="0" w:firstLine="480" w:firstLineChars="200"/>
        <w:jc w:val="both"/>
        <w:rPr>
          <w:color w:val="auto"/>
          <w:sz w:val="24"/>
          <w:szCs w:val="24"/>
          <w:highlight w:val="none"/>
        </w:rPr>
      </w:pPr>
      <w:r>
        <w:rPr>
          <w:rFonts w:hint="eastAsia"/>
          <w:color w:val="auto"/>
          <w:sz w:val="24"/>
          <w:szCs w:val="24"/>
          <w:highlight w:val="none"/>
        </w:rPr>
        <w:t>7.</w:t>
      </w:r>
      <w:r>
        <w:rPr>
          <w:color w:val="auto"/>
          <w:sz w:val="24"/>
          <w:szCs w:val="24"/>
          <w:highlight w:val="none"/>
        </w:rPr>
        <w:t>本项目是否接受联合体投标：否。</w:t>
      </w:r>
    </w:p>
    <w:p w14:paraId="0FADB7CF">
      <w:pPr>
        <w:pStyle w:val="19"/>
        <w:tabs>
          <w:tab w:val="left" w:pos="1038"/>
        </w:tabs>
        <w:spacing w:line="360" w:lineRule="auto"/>
        <w:ind w:left="0" w:firstLine="480" w:firstLineChars="200"/>
        <w:jc w:val="both"/>
        <w:rPr>
          <w:color w:val="auto"/>
          <w:sz w:val="24"/>
          <w:szCs w:val="24"/>
          <w:highlight w:val="none"/>
        </w:rPr>
      </w:pPr>
      <w:r>
        <w:rPr>
          <w:rFonts w:hint="eastAsia"/>
          <w:color w:val="auto"/>
          <w:sz w:val="24"/>
          <w:szCs w:val="24"/>
          <w:highlight w:val="none"/>
        </w:rPr>
        <w:t>8.</w:t>
      </w:r>
      <w:r>
        <w:rPr>
          <w:color w:val="auto"/>
          <w:sz w:val="24"/>
          <w:szCs w:val="24"/>
          <w:highlight w:val="none"/>
        </w:rPr>
        <w:t>是否</w:t>
      </w:r>
      <w:r>
        <w:rPr>
          <w:rFonts w:hint="eastAsia"/>
          <w:color w:val="auto"/>
          <w:sz w:val="24"/>
          <w:szCs w:val="24"/>
          <w:highlight w:val="none"/>
        </w:rPr>
        <w:t>接受</w:t>
      </w:r>
      <w:r>
        <w:rPr>
          <w:color w:val="auto"/>
          <w:sz w:val="24"/>
          <w:szCs w:val="24"/>
          <w:highlight w:val="none"/>
        </w:rPr>
        <w:t>进口产品：否。</w:t>
      </w:r>
    </w:p>
    <w:p w14:paraId="410CB2D8">
      <w:pPr>
        <w:pStyle w:val="19"/>
        <w:tabs>
          <w:tab w:val="left" w:pos="1040"/>
        </w:tabs>
        <w:spacing w:line="360" w:lineRule="auto"/>
        <w:ind w:left="0" w:firstLine="480" w:firstLineChars="200"/>
        <w:jc w:val="both"/>
        <w:rPr>
          <w:color w:val="auto"/>
          <w:sz w:val="24"/>
          <w:szCs w:val="24"/>
          <w:highlight w:val="none"/>
        </w:rPr>
      </w:pPr>
      <w:r>
        <w:rPr>
          <w:rFonts w:hint="eastAsia"/>
          <w:color w:val="auto"/>
          <w:sz w:val="24"/>
          <w:szCs w:val="24"/>
          <w:highlight w:val="none"/>
        </w:rPr>
        <w:t>9.</w:t>
      </w:r>
      <w:r>
        <w:rPr>
          <w:color w:val="auto"/>
          <w:sz w:val="24"/>
          <w:szCs w:val="24"/>
          <w:highlight w:val="none"/>
        </w:rPr>
        <w:t>是否专门面中小企业：</w:t>
      </w:r>
      <w:r>
        <w:rPr>
          <w:rFonts w:hint="eastAsia"/>
          <w:color w:val="auto"/>
          <w:sz w:val="24"/>
          <w:szCs w:val="24"/>
          <w:highlight w:val="none"/>
          <w:lang w:val="en-US" w:eastAsia="zh-CN"/>
        </w:rPr>
        <w:t>否</w:t>
      </w:r>
      <w:r>
        <w:rPr>
          <w:color w:val="auto"/>
          <w:sz w:val="24"/>
          <w:szCs w:val="24"/>
          <w:highlight w:val="none"/>
        </w:rPr>
        <w:t>。</w:t>
      </w:r>
    </w:p>
    <w:p w14:paraId="1AE184F0">
      <w:pPr>
        <w:pStyle w:val="7"/>
        <w:spacing w:line="360" w:lineRule="auto"/>
        <w:ind w:firstLine="480" w:firstLineChars="200"/>
        <w:jc w:val="both"/>
        <w:rPr>
          <w:color w:val="auto"/>
          <w:sz w:val="24"/>
          <w:szCs w:val="24"/>
          <w:highlight w:val="none"/>
        </w:rPr>
      </w:pPr>
      <w:r>
        <w:rPr>
          <w:rFonts w:hint="eastAsia"/>
          <w:color w:val="auto"/>
          <w:sz w:val="24"/>
          <w:szCs w:val="24"/>
          <w:highlight w:val="none"/>
        </w:rPr>
        <w:t>二、申请人资格要求</w:t>
      </w:r>
    </w:p>
    <w:p w14:paraId="528BBB04">
      <w:pPr>
        <w:pStyle w:val="19"/>
        <w:tabs>
          <w:tab w:val="left" w:pos="1040"/>
        </w:tabs>
        <w:spacing w:line="360" w:lineRule="auto"/>
        <w:ind w:left="0" w:firstLine="480" w:firstLineChars="200"/>
        <w:jc w:val="both"/>
        <w:rPr>
          <w:color w:val="auto"/>
          <w:sz w:val="24"/>
          <w:szCs w:val="24"/>
          <w:highlight w:val="none"/>
        </w:rPr>
      </w:pPr>
      <w:r>
        <w:rPr>
          <w:rFonts w:hint="eastAsia"/>
          <w:color w:val="auto"/>
          <w:sz w:val="24"/>
          <w:szCs w:val="24"/>
          <w:highlight w:val="none"/>
        </w:rPr>
        <w:t>1.满足《中华人民共和国政府采购法》第二十二条规定；</w:t>
      </w:r>
    </w:p>
    <w:p w14:paraId="5FE5AE7C">
      <w:pPr>
        <w:spacing w:line="360" w:lineRule="auto"/>
        <w:ind w:firstLine="480" w:firstLineChars="200"/>
        <w:rPr>
          <w:rFonts w:hint="eastAsia" w:ascii="仿宋" w:hAnsi="仿宋" w:eastAsia="仿宋" w:cs="仿宋"/>
          <w:color w:val="auto"/>
          <w:sz w:val="24"/>
          <w:szCs w:val="24"/>
          <w:highlight w:val="none"/>
          <w:lang w:val="en-US" w:eastAsia="zh-CN" w:bidi="ar-SA"/>
        </w:rPr>
      </w:pPr>
      <w:r>
        <w:rPr>
          <w:rFonts w:hint="eastAsia"/>
          <w:color w:val="auto"/>
          <w:sz w:val="24"/>
          <w:szCs w:val="24"/>
          <w:highlight w:val="none"/>
        </w:rPr>
        <w:t>2.落实政府采购政策满足的资格要求：</w:t>
      </w:r>
      <w:r>
        <w:rPr>
          <w:rFonts w:hint="eastAsia"/>
          <w:color w:val="auto"/>
          <w:sz w:val="24"/>
          <w:szCs w:val="24"/>
          <w:highlight w:val="none"/>
          <w:lang w:val="en-US" w:eastAsia="zh-CN"/>
        </w:rPr>
        <w:t>无</w:t>
      </w:r>
      <w:r>
        <w:rPr>
          <w:rFonts w:hint="eastAsia" w:ascii="仿宋" w:hAnsi="仿宋" w:eastAsia="仿宋" w:cs="仿宋"/>
          <w:color w:val="auto"/>
          <w:sz w:val="24"/>
          <w:szCs w:val="24"/>
          <w:highlight w:val="none"/>
          <w:lang w:val="en-US" w:eastAsia="zh-CN" w:bidi="ar-SA"/>
        </w:rPr>
        <w:t>；</w:t>
      </w:r>
    </w:p>
    <w:p w14:paraId="022F3A92">
      <w:pPr>
        <w:spacing w:line="360" w:lineRule="auto"/>
        <w:ind w:firstLine="480" w:firstLineChars="200"/>
        <w:rPr>
          <w:rFonts w:hint="eastAsia"/>
          <w:color w:val="auto"/>
          <w:sz w:val="24"/>
          <w:szCs w:val="24"/>
          <w:highlight w:val="none"/>
        </w:rPr>
      </w:pPr>
      <w:r>
        <w:rPr>
          <w:rFonts w:hint="eastAsia"/>
          <w:color w:val="auto"/>
          <w:sz w:val="24"/>
          <w:szCs w:val="24"/>
          <w:highlight w:val="none"/>
        </w:rPr>
        <w:t>3.本项目的特定资格要求：</w:t>
      </w:r>
    </w:p>
    <w:p w14:paraId="15A1F23C">
      <w:pPr>
        <w:spacing w:line="360" w:lineRule="auto"/>
        <w:ind w:firstLine="480" w:firstLineChars="200"/>
        <w:rPr>
          <w:rFonts w:hint="eastAsia"/>
          <w:color w:val="auto"/>
          <w:sz w:val="24"/>
          <w:szCs w:val="24"/>
          <w:highlight w:val="none"/>
          <w:lang w:val="en-US" w:eastAsia="zh-CN"/>
        </w:rPr>
      </w:pPr>
      <w:r>
        <w:rPr>
          <w:rFonts w:hint="eastAsia"/>
          <w:color w:val="auto"/>
          <w:sz w:val="24"/>
          <w:szCs w:val="24"/>
          <w:highlight w:val="none"/>
          <w:lang w:val="en-US" w:eastAsia="zh-CN"/>
        </w:rPr>
        <w:t>3.1根据《关于在政府采购活动中查询及使用信用记录有关问题的通知》（财库〔2016〕125号）《河南省财政厅关于转发财政部关于在政府采购活动中查询及使用信用记录有关问题的通知的通知》（豫财购〔2016〕15号）的规定，对列入失信被执行人、重大税收违法失信主体名单、政府采购严重违法失信行为记录名单的供应商，拒绝参与本项目的采购活动；[查询渠道：“信用中国”网站（https://www.creditchina.gov.cn/）、中国政府采购网（https://www.ccgp.gov.cn/）、中国执行信息公开网（http://zxgk.court.gov.cn/shixin/）]；</w:t>
      </w:r>
    </w:p>
    <w:p w14:paraId="3302A348">
      <w:pPr>
        <w:spacing w:line="360" w:lineRule="auto"/>
        <w:ind w:firstLine="480" w:firstLineChars="200"/>
        <w:rPr>
          <w:rFonts w:hint="eastAsia"/>
          <w:color w:val="auto"/>
          <w:sz w:val="24"/>
          <w:szCs w:val="24"/>
          <w:highlight w:val="none"/>
          <w:lang w:val="en-US" w:eastAsia="zh-CN"/>
        </w:rPr>
      </w:pPr>
      <w:r>
        <w:rPr>
          <w:rFonts w:hint="eastAsia"/>
          <w:color w:val="auto"/>
          <w:sz w:val="24"/>
          <w:szCs w:val="24"/>
          <w:highlight w:val="none"/>
          <w:lang w:val="en-US" w:eastAsia="zh-CN"/>
        </w:rPr>
        <w:t>3.2单位负责人为同一人或者存在直接控股、管理关系的不同供应商，不得参加同一合同项下的政府采购活动。</w:t>
      </w:r>
    </w:p>
    <w:p w14:paraId="7B37B7BF">
      <w:pPr>
        <w:spacing w:line="360" w:lineRule="auto"/>
        <w:ind w:firstLine="480" w:firstLineChars="200"/>
        <w:rPr>
          <w:color w:val="auto"/>
          <w:sz w:val="24"/>
          <w:szCs w:val="24"/>
          <w:highlight w:val="none"/>
        </w:rPr>
      </w:pPr>
      <w:r>
        <w:rPr>
          <w:rFonts w:hint="eastAsia"/>
          <w:color w:val="auto"/>
          <w:sz w:val="24"/>
          <w:szCs w:val="24"/>
          <w:highlight w:val="none"/>
          <w:lang w:val="en-US" w:eastAsia="zh-CN"/>
        </w:rPr>
        <w:t>3.3为采购项目提供整体设计、规范编制或者项目管理、监理、检测等服务的供应商，不得再参加该采购项目的其他采购活动。</w:t>
      </w:r>
    </w:p>
    <w:p w14:paraId="029256C9">
      <w:pPr>
        <w:pStyle w:val="7"/>
        <w:spacing w:line="360" w:lineRule="auto"/>
        <w:ind w:firstLine="480" w:firstLineChars="200"/>
        <w:jc w:val="both"/>
        <w:rPr>
          <w:color w:val="auto"/>
          <w:sz w:val="24"/>
          <w:szCs w:val="24"/>
          <w:highlight w:val="none"/>
        </w:rPr>
      </w:pPr>
      <w:r>
        <w:rPr>
          <w:rFonts w:hint="eastAsia"/>
          <w:color w:val="auto"/>
          <w:sz w:val="24"/>
          <w:szCs w:val="24"/>
          <w:highlight w:val="none"/>
        </w:rPr>
        <w:t>三、获取招标文件</w:t>
      </w:r>
    </w:p>
    <w:p w14:paraId="17AB47CF">
      <w:pPr>
        <w:pStyle w:val="19"/>
        <w:keepNext w:val="0"/>
        <w:keepLines w:val="0"/>
        <w:pageBreakBefore w:val="0"/>
        <w:widowControl w:val="0"/>
        <w:tabs>
          <w:tab w:val="left" w:pos="1040"/>
        </w:tabs>
        <w:kinsoku/>
        <w:wordWrap/>
        <w:overflowPunct/>
        <w:topLinePunct w:val="0"/>
        <w:autoSpaceDE w:val="0"/>
        <w:autoSpaceDN w:val="0"/>
        <w:bidi w:val="0"/>
        <w:adjustRightInd/>
        <w:snapToGrid/>
        <w:spacing w:line="360" w:lineRule="auto"/>
        <w:ind w:left="0" w:leftChars="0" w:firstLine="480" w:firstLineChars="200"/>
        <w:jc w:val="both"/>
        <w:textAlignment w:val="auto"/>
        <w:rPr>
          <w:color w:val="auto"/>
          <w:sz w:val="24"/>
          <w:szCs w:val="24"/>
          <w:highlight w:val="none"/>
        </w:rPr>
      </w:pPr>
      <w:r>
        <w:rPr>
          <w:rFonts w:hint="eastAsia"/>
          <w:color w:val="auto"/>
          <w:sz w:val="24"/>
          <w:szCs w:val="24"/>
          <w:highlight w:val="none"/>
        </w:rPr>
        <w:t>1.时间：2026年</w:t>
      </w:r>
      <w:r>
        <w:rPr>
          <w:rFonts w:hint="eastAsia"/>
          <w:color w:val="auto"/>
          <w:sz w:val="24"/>
          <w:szCs w:val="24"/>
          <w:highlight w:val="none"/>
          <w:lang w:val="en-US" w:eastAsia="zh-CN"/>
        </w:rPr>
        <w:t>8</w:t>
      </w:r>
      <w:r>
        <w:rPr>
          <w:rFonts w:hint="eastAsia"/>
          <w:color w:val="auto"/>
          <w:sz w:val="24"/>
          <w:szCs w:val="24"/>
          <w:highlight w:val="none"/>
        </w:rPr>
        <w:t>月</w:t>
      </w:r>
      <w:r>
        <w:rPr>
          <w:rFonts w:hint="eastAsia"/>
          <w:color w:val="auto"/>
          <w:sz w:val="24"/>
          <w:szCs w:val="24"/>
          <w:highlight w:val="none"/>
          <w:lang w:val="en-US" w:eastAsia="zh-CN"/>
        </w:rPr>
        <w:t>19</w:t>
      </w:r>
      <w:r>
        <w:rPr>
          <w:rFonts w:hint="eastAsia"/>
          <w:color w:val="auto"/>
          <w:sz w:val="24"/>
          <w:szCs w:val="24"/>
          <w:highlight w:val="none"/>
        </w:rPr>
        <w:t>日起至</w:t>
      </w:r>
      <w:r>
        <w:rPr>
          <w:rFonts w:hint="eastAsia"/>
          <w:color w:val="auto"/>
          <w:sz w:val="24"/>
          <w:szCs w:val="24"/>
          <w:highlight w:val="none"/>
          <w:lang w:eastAsia="zh-CN"/>
        </w:rPr>
        <w:t>2026年</w:t>
      </w:r>
      <w:r>
        <w:rPr>
          <w:rFonts w:hint="eastAsia"/>
          <w:color w:val="auto"/>
          <w:sz w:val="24"/>
          <w:szCs w:val="24"/>
          <w:highlight w:val="none"/>
          <w:lang w:val="en-US" w:eastAsia="zh-CN"/>
        </w:rPr>
        <w:t>10</w:t>
      </w:r>
      <w:r>
        <w:rPr>
          <w:rFonts w:hint="eastAsia"/>
          <w:color w:val="auto"/>
          <w:sz w:val="24"/>
          <w:szCs w:val="24"/>
          <w:highlight w:val="none"/>
          <w:lang w:eastAsia="zh-CN"/>
        </w:rPr>
        <w:t>月</w:t>
      </w:r>
      <w:r>
        <w:rPr>
          <w:rFonts w:hint="eastAsia"/>
          <w:color w:val="auto"/>
          <w:sz w:val="24"/>
          <w:szCs w:val="24"/>
          <w:highlight w:val="none"/>
          <w:lang w:val="en-US" w:eastAsia="zh-CN"/>
        </w:rPr>
        <w:t>14</w:t>
      </w:r>
      <w:r>
        <w:rPr>
          <w:rFonts w:hint="eastAsia"/>
          <w:color w:val="auto"/>
          <w:sz w:val="24"/>
          <w:szCs w:val="24"/>
          <w:highlight w:val="none"/>
          <w:lang w:eastAsia="zh-CN"/>
        </w:rPr>
        <w:t>日</w:t>
      </w:r>
      <w:r>
        <w:rPr>
          <w:rFonts w:hint="eastAsia"/>
          <w:color w:val="auto"/>
          <w:sz w:val="24"/>
          <w:szCs w:val="24"/>
          <w:highlight w:val="none"/>
        </w:rPr>
        <w:t>，每天上午00:00至12:00，下午12:00至 23:59（北京时间，法定节假日除外。）</w:t>
      </w:r>
    </w:p>
    <w:p w14:paraId="4C7BA224">
      <w:pPr>
        <w:pStyle w:val="19"/>
        <w:keepNext w:val="0"/>
        <w:keepLines w:val="0"/>
        <w:pageBreakBefore w:val="0"/>
        <w:widowControl w:val="0"/>
        <w:tabs>
          <w:tab w:val="left" w:pos="1040"/>
        </w:tabs>
        <w:kinsoku/>
        <w:wordWrap/>
        <w:overflowPunct/>
        <w:topLinePunct w:val="0"/>
        <w:autoSpaceDE w:val="0"/>
        <w:autoSpaceDN w:val="0"/>
        <w:bidi w:val="0"/>
        <w:adjustRightInd/>
        <w:snapToGrid/>
        <w:spacing w:line="360" w:lineRule="auto"/>
        <w:ind w:left="0" w:leftChars="0" w:firstLine="480" w:firstLineChars="200"/>
        <w:jc w:val="both"/>
        <w:textAlignment w:val="auto"/>
        <w:rPr>
          <w:color w:val="auto"/>
          <w:sz w:val="24"/>
          <w:szCs w:val="24"/>
          <w:highlight w:val="none"/>
        </w:rPr>
      </w:pPr>
      <w:r>
        <w:rPr>
          <w:rFonts w:hint="eastAsia"/>
          <w:color w:val="auto"/>
          <w:sz w:val="24"/>
          <w:szCs w:val="24"/>
          <w:highlight w:val="none"/>
        </w:rPr>
        <w:t>2.地点：河南省公共资源交易中心网（hnsggzyjy.henan.gov.cn）。</w:t>
      </w:r>
    </w:p>
    <w:p w14:paraId="01FD4665">
      <w:pPr>
        <w:pStyle w:val="19"/>
        <w:keepNext w:val="0"/>
        <w:keepLines w:val="0"/>
        <w:pageBreakBefore w:val="0"/>
        <w:widowControl w:val="0"/>
        <w:tabs>
          <w:tab w:val="left" w:pos="1040"/>
        </w:tabs>
        <w:kinsoku/>
        <w:wordWrap/>
        <w:overflowPunct/>
        <w:topLinePunct w:val="0"/>
        <w:autoSpaceDE w:val="0"/>
        <w:autoSpaceDN w:val="0"/>
        <w:bidi w:val="0"/>
        <w:adjustRightInd/>
        <w:snapToGrid/>
        <w:spacing w:line="360" w:lineRule="auto"/>
        <w:ind w:left="0" w:leftChars="0" w:firstLine="480" w:firstLineChars="200"/>
        <w:textAlignment w:val="auto"/>
        <w:rPr>
          <w:color w:val="auto"/>
          <w:sz w:val="24"/>
          <w:szCs w:val="24"/>
          <w:highlight w:val="none"/>
        </w:rPr>
      </w:pPr>
      <w:r>
        <w:rPr>
          <w:rFonts w:hint="eastAsia"/>
          <w:color w:val="auto"/>
          <w:sz w:val="24"/>
          <w:szCs w:val="24"/>
          <w:highlight w:val="none"/>
        </w:rPr>
        <w:t>3.方式：投标人使用CA 数字证书登录河南省公共资源交易中心网（hnsggzyjy.henan.gov.cn），并按网上提示下载投标项目所含格式（.hnzf）的招标文件及资料。CA 数字证书办理、注册、登录、下载招标文件等具体事宜请查阅河南省公共资源交易中心网站“公共服务”→“办事指南”。</w:t>
      </w:r>
    </w:p>
    <w:p w14:paraId="2C36BB99">
      <w:pPr>
        <w:pStyle w:val="19"/>
        <w:keepNext w:val="0"/>
        <w:keepLines w:val="0"/>
        <w:pageBreakBefore w:val="0"/>
        <w:widowControl w:val="0"/>
        <w:tabs>
          <w:tab w:val="left" w:pos="1040"/>
        </w:tabs>
        <w:kinsoku/>
        <w:wordWrap/>
        <w:overflowPunct/>
        <w:topLinePunct w:val="0"/>
        <w:autoSpaceDE w:val="0"/>
        <w:autoSpaceDN w:val="0"/>
        <w:bidi w:val="0"/>
        <w:adjustRightInd/>
        <w:snapToGrid/>
        <w:spacing w:line="360" w:lineRule="auto"/>
        <w:ind w:left="0" w:leftChars="0" w:firstLine="480" w:firstLineChars="200"/>
        <w:jc w:val="both"/>
        <w:textAlignment w:val="auto"/>
        <w:rPr>
          <w:color w:val="auto"/>
          <w:sz w:val="24"/>
          <w:szCs w:val="24"/>
          <w:highlight w:val="none"/>
        </w:rPr>
      </w:pPr>
      <w:r>
        <w:rPr>
          <w:rFonts w:hint="eastAsia"/>
          <w:color w:val="auto"/>
          <w:sz w:val="24"/>
          <w:szCs w:val="24"/>
          <w:highlight w:val="none"/>
        </w:rPr>
        <w:t>4.售价：0 元</w:t>
      </w:r>
    </w:p>
    <w:p w14:paraId="76165F80">
      <w:pPr>
        <w:pStyle w:val="7"/>
        <w:spacing w:line="360" w:lineRule="auto"/>
        <w:ind w:firstLine="480" w:firstLineChars="200"/>
        <w:jc w:val="both"/>
        <w:rPr>
          <w:color w:val="auto"/>
          <w:sz w:val="24"/>
          <w:szCs w:val="24"/>
          <w:highlight w:val="none"/>
        </w:rPr>
      </w:pPr>
      <w:r>
        <w:rPr>
          <w:rFonts w:hint="eastAsia"/>
          <w:color w:val="auto"/>
          <w:sz w:val="24"/>
          <w:szCs w:val="24"/>
          <w:highlight w:val="none"/>
        </w:rPr>
        <w:t>四、投标截止时间及地点</w:t>
      </w:r>
    </w:p>
    <w:p w14:paraId="62EBDB37">
      <w:pPr>
        <w:pStyle w:val="19"/>
        <w:spacing w:line="360" w:lineRule="auto"/>
        <w:ind w:left="440" w:leftChars="200"/>
        <w:jc w:val="both"/>
        <w:rPr>
          <w:color w:val="auto"/>
          <w:sz w:val="24"/>
          <w:szCs w:val="24"/>
          <w:highlight w:val="none"/>
        </w:rPr>
      </w:pPr>
      <w:r>
        <w:rPr>
          <w:rFonts w:hint="eastAsia"/>
          <w:color w:val="auto"/>
          <w:sz w:val="24"/>
          <w:szCs w:val="24"/>
          <w:highlight w:val="none"/>
        </w:rPr>
        <w:t>1.时间：</w:t>
      </w:r>
      <w:r>
        <w:rPr>
          <w:rFonts w:hint="eastAsia"/>
          <w:color w:val="auto"/>
          <w:sz w:val="24"/>
          <w:szCs w:val="24"/>
          <w:highlight w:val="none"/>
          <w:lang w:eastAsia="zh-CN"/>
        </w:rPr>
        <w:t>2026年10月</w:t>
      </w:r>
      <w:r>
        <w:rPr>
          <w:rFonts w:hint="eastAsia"/>
          <w:color w:val="auto"/>
          <w:sz w:val="24"/>
          <w:szCs w:val="24"/>
          <w:highlight w:val="none"/>
          <w:lang w:val="en-US" w:eastAsia="zh-CN"/>
        </w:rPr>
        <w:t>29</w:t>
      </w:r>
      <w:r>
        <w:rPr>
          <w:rFonts w:hint="eastAsia"/>
          <w:color w:val="auto"/>
          <w:sz w:val="24"/>
          <w:szCs w:val="24"/>
          <w:highlight w:val="none"/>
          <w:lang w:eastAsia="zh-CN"/>
        </w:rPr>
        <w:t>日09时00分</w:t>
      </w:r>
      <w:r>
        <w:rPr>
          <w:rFonts w:hint="eastAsia"/>
          <w:color w:val="auto"/>
          <w:sz w:val="24"/>
          <w:szCs w:val="24"/>
          <w:highlight w:val="none"/>
        </w:rPr>
        <w:t>（北京时间）</w:t>
      </w:r>
    </w:p>
    <w:p w14:paraId="6B3D6517">
      <w:pPr>
        <w:pStyle w:val="19"/>
        <w:spacing w:line="360" w:lineRule="auto"/>
        <w:ind w:left="440" w:leftChars="200"/>
        <w:jc w:val="both"/>
        <w:rPr>
          <w:color w:val="auto"/>
          <w:sz w:val="24"/>
          <w:szCs w:val="24"/>
          <w:highlight w:val="none"/>
        </w:rPr>
      </w:pPr>
      <w:r>
        <w:rPr>
          <w:rFonts w:hint="eastAsia"/>
          <w:color w:val="auto"/>
          <w:sz w:val="24"/>
          <w:szCs w:val="24"/>
          <w:highlight w:val="none"/>
        </w:rPr>
        <w:t>2.地点：河南省公共资源交易中心网（hnsggzyjy.henan.gov.cn）。</w:t>
      </w:r>
    </w:p>
    <w:p w14:paraId="3189514B">
      <w:pPr>
        <w:pStyle w:val="7"/>
        <w:spacing w:line="360" w:lineRule="auto"/>
        <w:ind w:firstLine="480" w:firstLineChars="200"/>
        <w:jc w:val="both"/>
        <w:rPr>
          <w:color w:val="auto"/>
          <w:sz w:val="24"/>
          <w:szCs w:val="24"/>
          <w:highlight w:val="none"/>
        </w:rPr>
      </w:pPr>
      <w:r>
        <w:rPr>
          <w:rFonts w:hint="eastAsia"/>
          <w:color w:val="auto"/>
          <w:sz w:val="24"/>
          <w:szCs w:val="24"/>
          <w:highlight w:val="none"/>
        </w:rPr>
        <w:t>五、开标时间及地点</w:t>
      </w:r>
    </w:p>
    <w:p w14:paraId="11643C25">
      <w:pPr>
        <w:pStyle w:val="19"/>
        <w:tabs>
          <w:tab w:val="left" w:pos="961"/>
        </w:tabs>
        <w:spacing w:line="360" w:lineRule="auto"/>
        <w:ind w:left="440" w:leftChars="200"/>
        <w:jc w:val="both"/>
        <w:rPr>
          <w:color w:val="auto"/>
          <w:sz w:val="24"/>
          <w:szCs w:val="24"/>
          <w:highlight w:val="none"/>
        </w:rPr>
      </w:pPr>
      <w:r>
        <w:rPr>
          <w:rFonts w:hint="eastAsia"/>
          <w:color w:val="auto"/>
          <w:sz w:val="24"/>
          <w:szCs w:val="24"/>
          <w:highlight w:val="none"/>
        </w:rPr>
        <w:t>1.时间：</w:t>
      </w:r>
      <w:r>
        <w:rPr>
          <w:rFonts w:hint="eastAsia"/>
          <w:color w:val="auto"/>
          <w:sz w:val="24"/>
          <w:szCs w:val="24"/>
          <w:highlight w:val="none"/>
          <w:lang w:eastAsia="zh-CN"/>
        </w:rPr>
        <w:t>2026年10月</w:t>
      </w:r>
      <w:r>
        <w:rPr>
          <w:rFonts w:hint="eastAsia"/>
          <w:color w:val="auto"/>
          <w:sz w:val="24"/>
          <w:szCs w:val="24"/>
          <w:highlight w:val="none"/>
          <w:lang w:val="en-US" w:eastAsia="zh-CN"/>
        </w:rPr>
        <w:t>29</w:t>
      </w:r>
      <w:r>
        <w:rPr>
          <w:rFonts w:hint="eastAsia"/>
          <w:color w:val="auto"/>
          <w:sz w:val="24"/>
          <w:szCs w:val="24"/>
          <w:highlight w:val="none"/>
          <w:lang w:eastAsia="zh-CN"/>
        </w:rPr>
        <w:t>日09时00分</w:t>
      </w:r>
      <w:r>
        <w:rPr>
          <w:rFonts w:hint="eastAsia"/>
          <w:color w:val="auto"/>
          <w:sz w:val="24"/>
          <w:szCs w:val="24"/>
          <w:highlight w:val="none"/>
        </w:rPr>
        <w:t>（北京时间）</w:t>
      </w:r>
    </w:p>
    <w:p w14:paraId="62A90ED5">
      <w:pPr>
        <w:pStyle w:val="19"/>
        <w:tabs>
          <w:tab w:val="left" w:pos="961"/>
        </w:tabs>
        <w:spacing w:line="360" w:lineRule="auto"/>
        <w:ind w:left="440" w:leftChars="200"/>
        <w:jc w:val="both"/>
        <w:rPr>
          <w:color w:val="auto"/>
          <w:sz w:val="24"/>
          <w:szCs w:val="24"/>
          <w:highlight w:val="none"/>
        </w:rPr>
      </w:pPr>
      <w:r>
        <w:rPr>
          <w:rFonts w:hint="eastAsia"/>
          <w:color w:val="auto"/>
          <w:sz w:val="24"/>
          <w:szCs w:val="24"/>
          <w:highlight w:val="none"/>
        </w:rPr>
        <w:t>2.地点：河南省公共资源交易中心网（hnsggzyjy.henan.gov.cn）——不见面开标大厅。</w:t>
      </w:r>
    </w:p>
    <w:p w14:paraId="710AAF63">
      <w:pPr>
        <w:pStyle w:val="7"/>
        <w:numPr>
          <w:ilvl w:val="0"/>
          <w:numId w:val="1"/>
        </w:numPr>
        <w:spacing w:line="360" w:lineRule="auto"/>
        <w:ind w:firstLine="480" w:firstLineChars="200"/>
        <w:jc w:val="both"/>
        <w:rPr>
          <w:color w:val="auto"/>
          <w:sz w:val="24"/>
          <w:szCs w:val="24"/>
          <w:highlight w:val="none"/>
        </w:rPr>
      </w:pPr>
      <w:r>
        <w:rPr>
          <w:rFonts w:hint="eastAsia"/>
          <w:color w:val="auto"/>
          <w:sz w:val="24"/>
          <w:szCs w:val="24"/>
          <w:highlight w:val="none"/>
        </w:rPr>
        <w:t>发布公告的媒介及招标公告期限</w:t>
      </w:r>
    </w:p>
    <w:p w14:paraId="249B08A4">
      <w:pPr>
        <w:pStyle w:val="7"/>
        <w:spacing w:line="360" w:lineRule="auto"/>
        <w:ind w:firstLine="480" w:firstLineChars="200"/>
        <w:jc w:val="both"/>
        <w:rPr>
          <w:color w:val="auto"/>
          <w:sz w:val="24"/>
          <w:szCs w:val="24"/>
          <w:highlight w:val="none"/>
        </w:rPr>
      </w:pPr>
      <w:r>
        <w:rPr>
          <w:rFonts w:hint="eastAsia"/>
          <w:color w:val="auto"/>
          <w:sz w:val="24"/>
          <w:szCs w:val="24"/>
          <w:highlight w:val="none"/>
        </w:rPr>
        <w:t>本次招标公告在</w:t>
      </w:r>
      <w:r>
        <w:rPr>
          <w:rFonts w:hint="eastAsia"/>
          <w:color w:val="auto"/>
          <w:sz w:val="24"/>
          <w:szCs w:val="24"/>
          <w:highlight w:val="none"/>
          <w:lang w:eastAsia="zh-CN"/>
        </w:rPr>
        <w:t>《河南省政府采购网》《河南省公共资源交易中心网》《河南理工大学网》</w:t>
      </w:r>
      <w:r>
        <w:rPr>
          <w:rFonts w:hint="eastAsia"/>
          <w:color w:val="auto"/>
          <w:sz w:val="24"/>
          <w:szCs w:val="24"/>
          <w:highlight w:val="none"/>
        </w:rPr>
        <w:t>上发布，招标公告期限为五个工作日。</w:t>
      </w:r>
    </w:p>
    <w:p w14:paraId="68FE653C">
      <w:pPr>
        <w:pStyle w:val="7"/>
        <w:spacing w:line="360" w:lineRule="auto"/>
        <w:ind w:firstLine="480" w:firstLineChars="200"/>
        <w:jc w:val="both"/>
        <w:rPr>
          <w:color w:val="auto"/>
          <w:sz w:val="24"/>
          <w:szCs w:val="24"/>
          <w:highlight w:val="none"/>
        </w:rPr>
      </w:pPr>
      <w:r>
        <w:rPr>
          <w:rFonts w:hint="eastAsia"/>
          <w:color w:val="auto"/>
          <w:sz w:val="24"/>
          <w:szCs w:val="24"/>
          <w:highlight w:val="none"/>
        </w:rPr>
        <w:t>七、其他补充事宜</w:t>
      </w:r>
    </w:p>
    <w:p w14:paraId="56DBA823">
      <w:pPr>
        <w:pStyle w:val="20"/>
        <w:spacing w:line="360" w:lineRule="auto"/>
        <w:ind w:firstLine="480" w:firstLineChars="200"/>
        <w:jc w:val="both"/>
        <w:rPr>
          <w:color w:val="auto"/>
          <w:sz w:val="24"/>
          <w:szCs w:val="24"/>
          <w:highlight w:val="none"/>
        </w:rPr>
      </w:pPr>
      <w:r>
        <w:rPr>
          <w:rFonts w:hint="eastAsia"/>
          <w:color w:val="auto"/>
          <w:sz w:val="24"/>
          <w:szCs w:val="24"/>
          <w:highlight w:val="none"/>
        </w:rPr>
        <w:t>1.</w:t>
      </w:r>
      <w:bookmarkStart w:id="6" w:name="_Hlk86916087"/>
      <w:r>
        <w:rPr>
          <w:rFonts w:hint="eastAsia"/>
          <w:color w:val="auto"/>
          <w:sz w:val="24"/>
          <w:szCs w:val="24"/>
          <w:highlight w:val="none"/>
        </w:rPr>
        <w:t>本项目采用全流程电子化招标方式，投标人无需到河南省公共资源交易中心现场参加开标会议，开标采用“远程不见面”开标方式。投标人须在招标文件确定的投标截止时间前，登录不见面开标大厅，在线准时参加开标活动，并在规定的时间内进行投标文件解密、答疑澄清等。</w:t>
      </w:r>
    </w:p>
    <w:bookmarkEnd w:id="6"/>
    <w:p w14:paraId="10BCAE65">
      <w:pPr>
        <w:pStyle w:val="7"/>
        <w:spacing w:line="360" w:lineRule="auto"/>
        <w:ind w:firstLine="480" w:firstLineChars="200"/>
        <w:jc w:val="both"/>
        <w:rPr>
          <w:rFonts w:hint="eastAsia"/>
          <w:color w:val="auto"/>
          <w:sz w:val="24"/>
          <w:szCs w:val="24"/>
          <w:highlight w:val="none"/>
        </w:rPr>
      </w:pPr>
      <w:r>
        <w:rPr>
          <w:rFonts w:hint="eastAsia"/>
          <w:color w:val="auto"/>
          <w:sz w:val="24"/>
          <w:szCs w:val="24"/>
          <w:highlight w:val="none"/>
        </w:rPr>
        <w:t>2.采购项目落实的政府采购政策：</w:t>
      </w:r>
    </w:p>
    <w:p w14:paraId="74DB6177">
      <w:pPr>
        <w:pStyle w:val="7"/>
        <w:spacing w:line="360" w:lineRule="auto"/>
        <w:ind w:firstLine="480" w:firstLineChars="200"/>
        <w:jc w:val="both"/>
        <w:rPr>
          <w:rFonts w:hint="eastAsia"/>
          <w:color w:val="auto"/>
          <w:sz w:val="24"/>
          <w:szCs w:val="24"/>
          <w:highlight w:val="none"/>
        </w:rPr>
      </w:pPr>
      <w:r>
        <w:rPr>
          <w:rFonts w:hint="eastAsia"/>
          <w:color w:val="auto"/>
          <w:sz w:val="24"/>
          <w:szCs w:val="24"/>
          <w:highlight w:val="none"/>
        </w:rPr>
        <w:t>（1）《政府采购促进中小企业发展管理办法》（财库〔2020〕46号）</w:t>
      </w:r>
    </w:p>
    <w:p w14:paraId="22D5A7EB">
      <w:pPr>
        <w:pStyle w:val="7"/>
        <w:spacing w:line="360" w:lineRule="auto"/>
        <w:ind w:firstLine="480" w:firstLineChars="200"/>
        <w:jc w:val="both"/>
        <w:rPr>
          <w:rFonts w:hint="eastAsia"/>
          <w:color w:val="auto"/>
          <w:sz w:val="24"/>
          <w:szCs w:val="24"/>
          <w:highlight w:val="none"/>
        </w:rPr>
      </w:pPr>
      <w:r>
        <w:rPr>
          <w:rFonts w:hint="eastAsia"/>
          <w:color w:val="auto"/>
          <w:sz w:val="24"/>
          <w:szCs w:val="24"/>
          <w:highlight w:val="none"/>
        </w:rPr>
        <w:t>（2）《关于进一步加大政府采购支持中小企业力度的通知》（财库〔2022〕19号）</w:t>
      </w:r>
    </w:p>
    <w:p w14:paraId="396E859B">
      <w:pPr>
        <w:pStyle w:val="7"/>
        <w:spacing w:line="360" w:lineRule="auto"/>
        <w:ind w:firstLine="480" w:firstLineChars="200"/>
        <w:jc w:val="both"/>
        <w:rPr>
          <w:rFonts w:hint="eastAsia"/>
          <w:color w:val="auto"/>
          <w:sz w:val="24"/>
          <w:szCs w:val="24"/>
          <w:highlight w:val="none"/>
        </w:rPr>
      </w:pPr>
      <w:r>
        <w:rPr>
          <w:rFonts w:hint="eastAsia"/>
          <w:color w:val="auto"/>
          <w:sz w:val="24"/>
          <w:szCs w:val="24"/>
          <w:highlight w:val="none"/>
        </w:rPr>
        <w:t>（3）《财政部 司法部关于政府采购支持监狱企业发展有关问题的通知》（财库〔2014〕68号）</w:t>
      </w:r>
    </w:p>
    <w:p w14:paraId="7DCF78F7">
      <w:pPr>
        <w:pStyle w:val="7"/>
        <w:spacing w:line="360" w:lineRule="auto"/>
        <w:ind w:firstLine="480" w:firstLineChars="200"/>
        <w:jc w:val="both"/>
        <w:rPr>
          <w:rFonts w:hint="eastAsia"/>
          <w:color w:val="auto"/>
          <w:sz w:val="24"/>
          <w:szCs w:val="24"/>
          <w:highlight w:val="none"/>
        </w:rPr>
      </w:pPr>
      <w:r>
        <w:rPr>
          <w:rFonts w:hint="eastAsia"/>
          <w:color w:val="auto"/>
          <w:sz w:val="24"/>
          <w:szCs w:val="24"/>
          <w:highlight w:val="none"/>
        </w:rPr>
        <w:t>（4）《财政部 民政部 中国残疾人联合会关于促进残疾人就业政府采购政策的通知》（财库〔2017〕141号）</w:t>
      </w:r>
    </w:p>
    <w:p w14:paraId="05828CA9">
      <w:pPr>
        <w:pStyle w:val="7"/>
        <w:spacing w:line="360" w:lineRule="auto"/>
        <w:ind w:firstLine="480" w:firstLineChars="200"/>
        <w:jc w:val="both"/>
        <w:rPr>
          <w:rFonts w:hint="eastAsia"/>
          <w:color w:val="auto"/>
          <w:sz w:val="24"/>
          <w:szCs w:val="24"/>
          <w:highlight w:val="none"/>
        </w:rPr>
      </w:pPr>
      <w:r>
        <w:rPr>
          <w:rFonts w:hint="eastAsia"/>
          <w:color w:val="auto"/>
          <w:sz w:val="24"/>
          <w:szCs w:val="24"/>
          <w:highlight w:val="none"/>
        </w:rPr>
        <w:t>（5）《财政部 发展改革委 生态环境部市场监管总局关于调整优化节能产品、环境标志产品政府采购执行机制的通知》（财库〔2019〕9号）</w:t>
      </w:r>
    </w:p>
    <w:p w14:paraId="73AC7C8B">
      <w:pPr>
        <w:pStyle w:val="7"/>
        <w:spacing w:line="360" w:lineRule="auto"/>
        <w:ind w:firstLine="480" w:firstLineChars="200"/>
        <w:jc w:val="both"/>
        <w:rPr>
          <w:rFonts w:hint="eastAsia"/>
          <w:color w:val="auto"/>
          <w:sz w:val="24"/>
          <w:szCs w:val="24"/>
          <w:highlight w:val="none"/>
        </w:rPr>
      </w:pPr>
      <w:r>
        <w:rPr>
          <w:rFonts w:hint="eastAsia"/>
          <w:color w:val="auto"/>
          <w:sz w:val="24"/>
          <w:szCs w:val="24"/>
          <w:highlight w:val="none"/>
        </w:rPr>
        <w:t>（6）《关于印发环境标志产品政府采购品目清单的通知》（财库〔2019〕18号）</w:t>
      </w:r>
    </w:p>
    <w:p w14:paraId="16D1B195">
      <w:pPr>
        <w:pStyle w:val="7"/>
        <w:spacing w:line="360" w:lineRule="auto"/>
        <w:ind w:firstLine="480" w:firstLineChars="200"/>
        <w:jc w:val="both"/>
        <w:rPr>
          <w:rFonts w:hint="eastAsia"/>
          <w:color w:val="auto"/>
          <w:sz w:val="24"/>
          <w:szCs w:val="24"/>
          <w:highlight w:val="none"/>
        </w:rPr>
      </w:pPr>
      <w:r>
        <w:rPr>
          <w:rFonts w:hint="eastAsia"/>
          <w:color w:val="auto"/>
          <w:sz w:val="24"/>
          <w:szCs w:val="24"/>
          <w:highlight w:val="none"/>
        </w:rPr>
        <w:t>（7）《关于印发节能产品政府采购品目清单的通知》（财库〔2019〕19号）</w:t>
      </w:r>
    </w:p>
    <w:p w14:paraId="41F32453">
      <w:pPr>
        <w:pStyle w:val="7"/>
        <w:spacing w:line="360" w:lineRule="auto"/>
        <w:ind w:firstLine="480" w:firstLineChars="200"/>
        <w:jc w:val="both"/>
        <w:rPr>
          <w:rFonts w:hint="eastAsia"/>
          <w:color w:val="auto"/>
          <w:sz w:val="24"/>
          <w:szCs w:val="24"/>
          <w:highlight w:val="none"/>
        </w:rPr>
      </w:pPr>
      <w:r>
        <w:rPr>
          <w:rFonts w:hint="eastAsia"/>
          <w:color w:val="auto"/>
          <w:sz w:val="24"/>
          <w:szCs w:val="24"/>
          <w:highlight w:val="none"/>
        </w:rPr>
        <w:t>（8）《国务院办公厅关于在政府采购中实施本国产品标准及相关政策的通知》（国办发〔2025〕34号）及《财政部关于贯彻落实&lt;国务院办公厅关于在政府采购中实施本国产品标准及相关政策的通知&gt;的意见》（财库〔2025〕30号）</w:t>
      </w:r>
    </w:p>
    <w:p w14:paraId="1E8C5FDD">
      <w:pPr>
        <w:pStyle w:val="7"/>
        <w:spacing w:line="360" w:lineRule="auto"/>
        <w:ind w:firstLine="480" w:firstLineChars="200"/>
        <w:jc w:val="both"/>
        <w:rPr>
          <w:rFonts w:hint="eastAsia"/>
          <w:color w:val="auto"/>
          <w:sz w:val="24"/>
          <w:szCs w:val="24"/>
          <w:highlight w:val="none"/>
        </w:rPr>
      </w:pPr>
      <w:r>
        <w:rPr>
          <w:rFonts w:hint="eastAsia"/>
          <w:color w:val="auto"/>
          <w:sz w:val="24"/>
          <w:szCs w:val="24"/>
          <w:highlight w:val="none"/>
        </w:rPr>
        <w:t>（9）《关于推动解决政府采购异常低价问题的通知》（财库〔2026〕2号）等。</w:t>
      </w:r>
    </w:p>
    <w:p w14:paraId="2DE216F1">
      <w:pPr>
        <w:pStyle w:val="7"/>
        <w:spacing w:line="360" w:lineRule="auto"/>
        <w:ind w:firstLine="480" w:firstLineChars="200"/>
        <w:jc w:val="both"/>
        <w:rPr>
          <w:rFonts w:hint="eastAsia"/>
          <w:color w:val="auto"/>
          <w:sz w:val="24"/>
          <w:szCs w:val="24"/>
          <w:highlight w:val="none"/>
        </w:rPr>
      </w:pPr>
      <w:r>
        <w:rPr>
          <w:rFonts w:hint="eastAsia"/>
          <w:color w:val="auto"/>
          <w:sz w:val="24"/>
          <w:szCs w:val="24"/>
          <w:highlight w:val="none"/>
        </w:rPr>
        <w:t>3.代理服务费收取标准：参照《河南省招标代理服务收费指导意见》豫招协〔2023〕2号的文件规定向中标（成交）人收取招标代理服务费。招标代理服务收费按差额定率累进法计算。</w:t>
      </w:r>
    </w:p>
    <w:p w14:paraId="591C9F65">
      <w:pPr>
        <w:pStyle w:val="7"/>
        <w:spacing w:line="360" w:lineRule="auto"/>
        <w:ind w:firstLine="480" w:firstLineChars="200"/>
        <w:jc w:val="both"/>
        <w:rPr>
          <w:color w:val="auto"/>
          <w:sz w:val="24"/>
          <w:szCs w:val="24"/>
          <w:highlight w:val="none"/>
        </w:rPr>
      </w:pPr>
      <w:r>
        <w:rPr>
          <w:rFonts w:hint="eastAsia"/>
          <w:color w:val="auto"/>
          <w:sz w:val="24"/>
          <w:szCs w:val="24"/>
          <w:highlight w:val="none"/>
        </w:rPr>
        <w:t>4.本项目支持河南省政府采购合同融资政策。</w:t>
      </w:r>
    </w:p>
    <w:p w14:paraId="30825CF8">
      <w:pPr>
        <w:pStyle w:val="7"/>
        <w:spacing w:line="360" w:lineRule="auto"/>
        <w:ind w:firstLine="480" w:firstLineChars="200"/>
        <w:jc w:val="both"/>
        <w:rPr>
          <w:color w:val="auto"/>
          <w:sz w:val="24"/>
          <w:szCs w:val="24"/>
          <w:highlight w:val="none"/>
        </w:rPr>
      </w:pPr>
      <w:r>
        <w:rPr>
          <w:rFonts w:hint="eastAsia"/>
          <w:color w:val="auto"/>
          <w:sz w:val="24"/>
          <w:szCs w:val="24"/>
          <w:highlight w:val="none"/>
        </w:rPr>
        <w:t>八、凡对本次招标提出询问，请按照以下方式联系</w:t>
      </w:r>
    </w:p>
    <w:p w14:paraId="6952375E">
      <w:pPr>
        <w:spacing w:line="360" w:lineRule="auto"/>
        <w:ind w:firstLine="480" w:firstLineChars="200"/>
        <w:jc w:val="both"/>
        <w:rPr>
          <w:color w:val="auto"/>
          <w:sz w:val="24"/>
          <w:szCs w:val="24"/>
          <w:highlight w:val="none"/>
        </w:rPr>
      </w:pPr>
      <w:bookmarkStart w:id="7" w:name="_Toc1644240802_WPSOffice_Level3"/>
      <w:bookmarkStart w:id="8" w:name="_Toc116085146_WPSOffice_Level3"/>
      <w:r>
        <w:rPr>
          <w:rFonts w:hint="eastAsia"/>
          <w:color w:val="auto"/>
          <w:sz w:val="24"/>
          <w:szCs w:val="24"/>
          <w:highlight w:val="none"/>
        </w:rPr>
        <w:t>1.招标人信息</w:t>
      </w:r>
      <w:bookmarkEnd w:id="7"/>
      <w:bookmarkEnd w:id="8"/>
    </w:p>
    <w:p w14:paraId="5D416F13">
      <w:pPr>
        <w:spacing w:line="360" w:lineRule="auto"/>
        <w:ind w:firstLine="480" w:firstLineChars="200"/>
        <w:jc w:val="both"/>
        <w:rPr>
          <w:color w:val="auto"/>
          <w:sz w:val="24"/>
          <w:szCs w:val="24"/>
          <w:highlight w:val="none"/>
        </w:rPr>
      </w:pPr>
      <w:r>
        <w:rPr>
          <w:rFonts w:hint="eastAsia"/>
          <w:color w:val="auto"/>
          <w:sz w:val="24"/>
          <w:szCs w:val="24"/>
          <w:highlight w:val="none"/>
        </w:rPr>
        <w:t>名称：</w:t>
      </w:r>
      <w:r>
        <w:rPr>
          <w:rFonts w:hint="eastAsia"/>
          <w:color w:val="auto"/>
          <w:sz w:val="24"/>
          <w:szCs w:val="24"/>
          <w:highlight w:val="none"/>
          <w:lang w:bidi="ar"/>
        </w:rPr>
        <w:t>河南理工大学</w:t>
      </w:r>
    </w:p>
    <w:p w14:paraId="637758C8">
      <w:pPr>
        <w:spacing w:line="360" w:lineRule="auto"/>
        <w:ind w:firstLine="480" w:firstLineChars="200"/>
        <w:jc w:val="both"/>
        <w:rPr>
          <w:color w:val="auto"/>
          <w:sz w:val="24"/>
          <w:szCs w:val="24"/>
          <w:highlight w:val="none"/>
        </w:rPr>
      </w:pPr>
      <w:r>
        <w:rPr>
          <w:rFonts w:hint="eastAsia"/>
          <w:color w:val="auto"/>
          <w:sz w:val="24"/>
          <w:szCs w:val="24"/>
          <w:highlight w:val="none"/>
        </w:rPr>
        <w:t>地址：</w:t>
      </w:r>
      <w:r>
        <w:rPr>
          <w:rFonts w:hint="eastAsia"/>
          <w:color w:val="auto"/>
          <w:sz w:val="24"/>
          <w:szCs w:val="24"/>
          <w:highlight w:val="none"/>
          <w:lang w:bidi="ar"/>
        </w:rPr>
        <w:t>河南省焦作市世纪路2001号</w:t>
      </w:r>
    </w:p>
    <w:p w14:paraId="694542F6">
      <w:pPr>
        <w:spacing w:line="360" w:lineRule="auto"/>
        <w:ind w:firstLine="480" w:firstLineChars="200"/>
        <w:jc w:val="both"/>
        <w:rPr>
          <w:color w:val="auto"/>
          <w:sz w:val="24"/>
          <w:szCs w:val="24"/>
          <w:highlight w:val="none"/>
        </w:rPr>
      </w:pPr>
      <w:r>
        <w:rPr>
          <w:rFonts w:hint="eastAsia"/>
          <w:color w:val="auto"/>
          <w:sz w:val="24"/>
          <w:szCs w:val="24"/>
          <w:highlight w:val="none"/>
        </w:rPr>
        <w:t>联系人：</w:t>
      </w:r>
      <w:r>
        <w:rPr>
          <w:rFonts w:hint="eastAsia"/>
          <w:color w:val="auto"/>
          <w:sz w:val="24"/>
          <w:szCs w:val="24"/>
          <w:highlight w:val="none"/>
          <w:lang w:bidi="ar"/>
        </w:rPr>
        <w:t>高老师、郭老师</w:t>
      </w:r>
    </w:p>
    <w:p w14:paraId="212A6C91">
      <w:pPr>
        <w:spacing w:line="360" w:lineRule="auto"/>
        <w:ind w:firstLine="480" w:firstLineChars="200"/>
        <w:jc w:val="both"/>
        <w:rPr>
          <w:color w:val="auto"/>
          <w:sz w:val="24"/>
          <w:szCs w:val="24"/>
          <w:highlight w:val="none"/>
        </w:rPr>
      </w:pPr>
      <w:r>
        <w:rPr>
          <w:rFonts w:hint="eastAsia"/>
          <w:color w:val="auto"/>
          <w:sz w:val="24"/>
          <w:szCs w:val="24"/>
          <w:highlight w:val="none"/>
        </w:rPr>
        <w:t>联系方式：</w:t>
      </w:r>
      <w:r>
        <w:rPr>
          <w:rFonts w:hint="eastAsia"/>
          <w:color w:val="auto"/>
          <w:sz w:val="24"/>
          <w:szCs w:val="24"/>
          <w:highlight w:val="none"/>
          <w:lang w:bidi="ar"/>
        </w:rPr>
        <w:t>0391-3987088</w:t>
      </w:r>
    </w:p>
    <w:p w14:paraId="772D152A">
      <w:pPr>
        <w:spacing w:line="360" w:lineRule="auto"/>
        <w:ind w:firstLine="480" w:firstLineChars="200"/>
        <w:jc w:val="both"/>
        <w:rPr>
          <w:color w:val="auto"/>
          <w:sz w:val="24"/>
          <w:szCs w:val="24"/>
          <w:highlight w:val="none"/>
        </w:rPr>
      </w:pPr>
      <w:bookmarkStart w:id="9" w:name="_Toc1196430650_WPSOffice_Level3"/>
      <w:bookmarkStart w:id="10" w:name="_Toc465930042_WPSOffice_Level3"/>
      <w:r>
        <w:rPr>
          <w:rFonts w:hint="eastAsia"/>
          <w:color w:val="auto"/>
          <w:sz w:val="24"/>
          <w:szCs w:val="24"/>
          <w:highlight w:val="none"/>
        </w:rPr>
        <w:t>2.招标代理机构信息（如有）</w:t>
      </w:r>
      <w:bookmarkEnd w:id="9"/>
      <w:bookmarkEnd w:id="10"/>
    </w:p>
    <w:p w14:paraId="3F27B4C2">
      <w:pPr>
        <w:spacing w:line="360" w:lineRule="auto"/>
        <w:ind w:firstLine="480"/>
        <w:rPr>
          <w:color w:val="auto"/>
          <w:sz w:val="24"/>
          <w:szCs w:val="24"/>
          <w:highlight w:val="none"/>
        </w:rPr>
      </w:pPr>
      <w:r>
        <w:rPr>
          <w:rFonts w:hint="eastAsia"/>
          <w:color w:val="auto"/>
          <w:sz w:val="24"/>
          <w:szCs w:val="24"/>
          <w:highlight w:val="none"/>
        </w:rPr>
        <w:t>采购代理机构：</w:t>
      </w:r>
      <w:r>
        <w:rPr>
          <w:rFonts w:hint="eastAsia"/>
          <w:color w:val="auto"/>
          <w:sz w:val="24"/>
          <w:szCs w:val="24"/>
          <w:highlight w:val="none"/>
          <w:lang w:eastAsia="zh-CN"/>
        </w:rPr>
        <w:t>中鼎誉润工程咨询有限公司</w:t>
      </w:r>
      <w:r>
        <w:rPr>
          <w:rFonts w:hint="eastAsia"/>
          <w:color w:val="auto"/>
          <w:sz w:val="24"/>
          <w:szCs w:val="24"/>
          <w:highlight w:val="none"/>
        </w:rPr>
        <w:t xml:space="preserve">    </w:t>
      </w:r>
    </w:p>
    <w:p w14:paraId="1442C141">
      <w:pPr>
        <w:spacing w:line="360" w:lineRule="auto"/>
        <w:ind w:firstLine="480"/>
        <w:rPr>
          <w:rFonts w:hint="eastAsia" w:eastAsia="仿宋"/>
          <w:color w:val="auto"/>
          <w:sz w:val="24"/>
          <w:szCs w:val="24"/>
          <w:highlight w:val="none"/>
          <w:lang w:eastAsia="zh-CN"/>
        </w:rPr>
      </w:pPr>
      <w:r>
        <w:rPr>
          <w:rFonts w:hint="eastAsia"/>
          <w:color w:val="auto"/>
          <w:sz w:val="24"/>
          <w:szCs w:val="24"/>
          <w:highlight w:val="none"/>
        </w:rPr>
        <w:t>地址：</w:t>
      </w:r>
      <w:r>
        <w:rPr>
          <w:rFonts w:hint="eastAsia"/>
          <w:color w:val="auto"/>
          <w:sz w:val="24"/>
          <w:szCs w:val="24"/>
          <w:highlight w:val="none"/>
          <w:lang w:eastAsia="zh-CN"/>
        </w:rPr>
        <w:t>郑州市管城回族区航海东路与经开第二十大街交叉口北侧中兴新业港三期32号楼</w:t>
      </w:r>
    </w:p>
    <w:p w14:paraId="2316A90E">
      <w:pPr>
        <w:spacing w:line="360" w:lineRule="auto"/>
        <w:ind w:firstLine="480"/>
        <w:rPr>
          <w:rFonts w:hint="eastAsia" w:eastAsia="仿宋"/>
          <w:color w:val="auto"/>
          <w:sz w:val="24"/>
          <w:szCs w:val="24"/>
          <w:highlight w:val="none"/>
          <w:lang w:eastAsia="zh-CN"/>
        </w:rPr>
      </w:pPr>
      <w:r>
        <w:rPr>
          <w:rFonts w:hint="eastAsia"/>
          <w:color w:val="auto"/>
          <w:sz w:val="24"/>
          <w:szCs w:val="24"/>
          <w:highlight w:val="none"/>
        </w:rPr>
        <w:t>项目联系人：</w:t>
      </w:r>
      <w:r>
        <w:rPr>
          <w:rFonts w:hint="eastAsia"/>
          <w:color w:val="auto"/>
          <w:sz w:val="24"/>
          <w:szCs w:val="24"/>
          <w:highlight w:val="none"/>
          <w:lang w:eastAsia="zh-CN"/>
        </w:rPr>
        <w:t>翟巨擘、齐燕伟、王行</w:t>
      </w:r>
    </w:p>
    <w:p w14:paraId="35698B96">
      <w:pPr>
        <w:spacing w:line="360" w:lineRule="auto"/>
        <w:ind w:firstLine="480"/>
        <w:rPr>
          <w:color w:val="auto"/>
          <w:sz w:val="24"/>
          <w:szCs w:val="24"/>
          <w:highlight w:val="none"/>
        </w:rPr>
      </w:pPr>
      <w:r>
        <w:rPr>
          <w:rFonts w:hint="eastAsia"/>
          <w:color w:val="auto"/>
          <w:sz w:val="24"/>
          <w:szCs w:val="24"/>
          <w:highlight w:val="none"/>
        </w:rPr>
        <w:t>联系电话：</w:t>
      </w:r>
      <w:r>
        <w:rPr>
          <w:rFonts w:hint="eastAsia"/>
          <w:color w:val="auto"/>
          <w:sz w:val="24"/>
          <w:szCs w:val="24"/>
          <w:highlight w:val="none"/>
          <w:lang w:val="zh-CN"/>
        </w:rPr>
        <w:t>0371-67978566</w:t>
      </w:r>
    </w:p>
    <w:p w14:paraId="42CED4FE">
      <w:pPr>
        <w:spacing w:line="360" w:lineRule="auto"/>
        <w:ind w:firstLine="480"/>
        <w:rPr>
          <w:color w:val="auto"/>
          <w:sz w:val="24"/>
          <w:szCs w:val="24"/>
          <w:highlight w:val="none"/>
        </w:rPr>
      </w:pPr>
      <w:bookmarkStart w:id="11" w:name="_Toc384972299_WPSOffice_Level3"/>
      <w:bookmarkStart w:id="12" w:name="_Toc483693177_WPSOffice_Level3"/>
      <w:r>
        <w:rPr>
          <w:rFonts w:hint="eastAsia"/>
          <w:color w:val="auto"/>
          <w:sz w:val="24"/>
          <w:szCs w:val="24"/>
          <w:highlight w:val="none"/>
        </w:rPr>
        <w:t>3.项目联系方式</w:t>
      </w:r>
      <w:bookmarkEnd w:id="11"/>
      <w:bookmarkEnd w:id="12"/>
    </w:p>
    <w:p w14:paraId="181E25AF">
      <w:pPr>
        <w:spacing w:line="360" w:lineRule="auto"/>
        <w:ind w:firstLine="480"/>
        <w:rPr>
          <w:color w:val="auto"/>
          <w:sz w:val="24"/>
          <w:szCs w:val="24"/>
          <w:highlight w:val="none"/>
        </w:rPr>
      </w:pPr>
      <w:r>
        <w:rPr>
          <w:rFonts w:hint="eastAsia"/>
          <w:color w:val="auto"/>
          <w:sz w:val="24"/>
          <w:szCs w:val="24"/>
          <w:highlight w:val="none"/>
        </w:rPr>
        <w:t>项目联系人：</w:t>
      </w:r>
      <w:r>
        <w:rPr>
          <w:rFonts w:hint="eastAsia"/>
          <w:color w:val="auto"/>
          <w:sz w:val="24"/>
          <w:szCs w:val="24"/>
          <w:highlight w:val="none"/>
          <w:lang w:bidi="ar"/>
        </w:rPr>
        <w:t>高老师</w:t>
      </w:r>
    </w:p>
    <w:p w14:paraId="1B146657">
      <w:pPr>
        <w:spacing w:line="360" w:lineRule="auto"/>
        <w:ind w:firstLine="480"/>
        <w:rPr>
          <w:color w:val="auto"/>
          <w:sz w:val="24"/>
          <w:szCs w:val="24"/>
          <w:highlight w:val="none"/>
          <w:lang w:bidi="ar"/>
        </w:rPr>
      </w:pPr>
      <w:r>
        <w:rPr>
          <w:rFonts w:hint="eastAsia"/>
          <w:color w:val="auto"/>
          <w:sz w:val="24"/>
          <w:szCs w:val="24"/>
          <w:highlight w:val="none"/>
        </w:rPr>
        <w:t>联系方式：</w:t>
      </w:r>
      <w:r>
        <w:rPr>
          <w:rFonts w:hint="eastAsia"/>
          <w:color w:val="auto"/>
          <w:sz w:val="24"/>
          <w:szCs w:val="24"/>
          <w:highlight w:val="none"/>
          <w:lang w:bidi="ar"/>
        </w:rPr>
        <w:t>0391-3987088</w:t>
      </w:r>
    </w:p>
    <w:p w14:paraId="52F60656">
      <w:pPr>
        <w:spacing w:line="360" w:lineRule="auto"/>
        <w:ind w:right="181"/>
        <w:jc w:val="right"/>
        <w:rPr>
          <w:color w:val="auto"/>
          <w:highlight w:val="none"/>
        </w:rPr>
      </w:pPr>
      <w:r>
        <w:rPr>
          <w:rFonts w:hint="eastAsia"/>
          <w:color w:val="auto"/>
          <w:sz w:val="24"/>
          <w:szCs w:val="24"/>
          <w:highlight w:val="none"/>
        </w:rPr>
        <w:t xml:space="preserve">                                                2026年</w:t>
      </w:r>
      <w:r>
        <w:rPr>
          <w:rFonts w:hint="eastAsia"/>
          <w:color w:val="auto"/>
          <w:sz w:val="24"/>
          <w:szCs w:val="24"/>
          <w:highlight w:val="none"/>
          <w:lang w:val="en-US" w:eastAsia="zh-CN"/>
        </w:rPr>
        <w:t>8</w:t>
      </w:r>
      <w:r>
        <w:rPr>
          <w:rFonts w:hint="eastAsia"/>
          <w:color w:val="auto"/>
          <w:sz w:val="24"/>
          <w:szCs w:val="24"/>
          <w:highlight w:val="none"/>
        </w:rPr>
        <w:t>月</w:t>
      </w:r>
      <w:r>
        <w:rPr>
          <w:rFonts w:hint="eastAsia"/>
          <w:color w:val="auto"/>
          <w:sz w:val="24"/>
          <w:szCs w:val="24"/>
          <w:highlight w:val="none"/>
          <w:lang w:val="en-US" w:eastAsia="zh-CN"/>
        </w:rPr>
        <w:t>18</w:t>
      </w:r>
      <w:r>
        <w:rPr>
          <w:rFonts w:hint="eastAsia"/>
          <w:color w:val="auto"/>
          <w:sz w:val="24"/>
          <w:szCs w:val="24"/>
          <w:highlight w:val="none"/>
        </w:rPr>
        <w:t>日</w:t>
      </w:r>
      <w:bookmarkStart w:id="13" w:name="第二章_投标人须知前附表"/>
      <w:bookmarkEnd w:id="13"/>
      <w:r>
        <w:rPr>
          <w:color w:val="auto"/>
          <w:highlight w:val="none"/>
        </w:rPr>
        <w:br w:type="page"/>
      </w:r>
    </w:p>
    <w:p w14:paraId="4742C40E">
      <w:pPr>
        <w:pStyle w:val="2"/>
        <w:spacing w:line="360" w:lineRule="auto"/>
        <w:ind w:right="180"/>
        <w:rPr>
          <w:color w:val="auto"/>
          <w:highlight w:val="none"/>
        </w:rPr>
      </w:pPr>
      <w:bookmarkStart w:id="14" w:name="_Toc22648"/>
      <w:r>
        <w:rPr>
          <w:color w:val="auto"/>
          <w:highlight w:val="none"/>
        </w:rPr>
        <w:t>第二章 投标人须知前附表</w:t>
      </w:r>
      <w:bookmarkEnd w:id="14"/>
    </w:p>
    <w:tbl>
      <w:tblPr>
        <w:tblStyle w:val="15"/>
        <w:tblW w:w="8830"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935"/>
        <w:gridCol w:w="7"/>
        <w:gridCol w:w="7888"/>
      </w:tblGrid>
      <w:tr w14:paraId="1D3D19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 w:hRule="atLeast"/>
        </w:trPr>
        <w:tc>
          <w:tcPr>
            <w:tcW w:w="935" w:type="dxa"/>
            <w:vAlign w:val="center"/>
          </w:tcPr>
          <w:p w14:paraId="67682067">
            <w:pPr>
              <w:pStyle w:val="20"/>
              <w:spacing w:line="360" w:lineRule="auto"/>
              <w:jc w:val="center"/>
              <w:rPr>
                <w:b/>
                <w:color w:val="auto"/>
                <w:sz w:val="24"/>
                <w:szCs w:val="24"/>
                <w:highlight w:val="none"/>
              </w:rPr>
            </w:pPr>
            <w:r>
              <w:rPr>
                <w:b/>
                <w:color w:val="auto"/>
                <w:sz w:val="24"/>
                <w:szCs w:val="24"/>
                <w:highlight w:val="none"/>
              </w:rPr>
              <w:t>条款号</w:t>
            </w:r>
          </w:p>
        </w:tc>
        <w:tc>
          <w:tcPr>
            <w:tcW w:w="7895" w:type="dxa"/>
            <w:gridSpan w:val="2"/>
            <w:vAlign w:val="center"/>
          </w:tcPr>
          <w:p w14:paraId="20B00F06">
            <w:pPr>
              <w:pStyle w:val="20"/>
              <w:tabs>
                <w:tab w:val="left" w:pos="1135"/>
              </w:tabs>
              <w:spacing w:line="360" w:lineRule="auto"/>
              <w:jc w:val="center"/>
              <w:rPr>
                <w:b/>
                <w:color w:val="auto"/>
                <w:sz w:val="24"/>
                <w:szCs w:val="24"/>
                <w:highlight w:val="none"/>
              </w:rPr>
            </w:pPr>
            <w:r>
              <w:rPr>
                <w:b/>
                <w:color w:val="auto"/>
                <w:sz w:val="24"/>
                <w:szCs w:val="24"/>
                <w:highlight w:val="none"/>
              </w:rPr>
              <w:t>内</w:t>
            </w:r>
            <w:r>
              <w:rPr>
                <w:b/>
                <w:color w:val="auto"/>
                <w:sz w:val="24"/>
                <w:szCs w:val="24"/>
                <w:highlight w:val="none"/>
              </w:rPr>
              <w:tab/>
            </w:r>
            <w:r>
              <w:rPr>
                <w:b/>
                <w:color w:val="auto"/>
                <w:sz w:val="24"/>
                <w:szCs w:val="24"/>
                <w:highlight w:val="none"/>
              </w:rPr>
              <w:t>容</w:t>
            </w:r>
          </w:p>
        </w:tc>
      </w:tr>
      <w:tr w14:paraId="1CB34D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 w:hRule="atLeast"/>
        </w:trPr>
        <w:tc>
          <w:tcPr>
            <w:tcW w:w="935" w:type="dxa"/>
            <w:vAlign w:val="center"/>
          </w:tcPr>
          <w:p w14:paraId="4C06E497">
            <w:pPr>
              <w:pStyle w:val="20"/>
              <w:spacing w:line="360" w:lineRule="auto"/>
              <w:jc w:val="center"/>
              <w:rPr>
                <w:color w:val="auto"/>
                <w:sz w:val="24"/>
                <w:szCs w:val="24"/>
                <w:highlight w:val="none"/>
              </w:rPr>
            </w:pPr>
            <w:r>
              <w:rPr>
                <w:color w:val="auto"/>
                <w:sz w:val="24"/>
                <w:szCs w:val="24"/>
                <w:highlight w:val="none"/>
              </w:rPr>
              <w:t>1.2</w:t>
            </w:r>
          </w:p>
        </w:tc>
        <w:tc>
          <w:tcPr>
            <w:tcW w:w="7895" w:type="dxa"/>
            <w:gridSpan w:val="2"/>
            <w:vAlign w:val="center"/>
          </w:tcPr>
          <w:p w14:paraId="3F7C4015">
            <w:pPr>
              <w:pStyle w:val="20"/>
              <w:spacing w:line="360" w:lineRule="auto"/>
              <w:jc w:val="both"/>
              <w:rPr>
                <w:rFonts w:hint="eastAsia" w:eastAsia="仿宋"/>
                <w:color w:val="auto"/>
                <w:sz w:val="24"/>
                <w:szCs w:val="24"/>
                <w:highlight w:val="none"/>
                <w:lang w:eastAsia="zh-CN"/>
              </w:rPr>
            </w:pPr>
            <w:r>
              <w:rPr>
                <w:color w:val="auto"/>
                <w:sz w:val="24"/>
                <w:szCs w:val="24"/>
                <w:highlight w:val="none"/>
              </w:rPr>
              <w:t>项目名称：</w:t>
            </w:r>
            <w:r>
              <w:rPr>
                <w:rFonts w:hint="eastAsia" w:ascii="宋体" w:hAnsi="宋体"/>
                <w:color w:val="auto"/>
                <w:sz w:val="24"/>
                <w:szCs w:val="24"/>
                <w:highlight w:val="none"/>
                <w:lang w:eastAsia="zh-CN"/>
              </w:rPr>
              <w:t>河南理工大学化学化工学院实验室气路改造项目</w:t>
            </w:r>
          </w:p>
        </w:tc>
      </w:tr>
      <w:tr w14:paraId="4B361F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 w:hRule="atLeast"/>
        </w:trPr>
        <w:tc>
          <w:tcPr>
            <w:tcW w:w="935" w:type="dxa"/>
            <w:vAlign w:val="center"/>
          </w:tcPr>
          <w:p w14:paraId="25B317F4">
            <w:pPr>
              <w:pStyle w:val="20"/>
              <w:spacing w:line="360" w:lineRule="auto"/>
              <w:jc w:val="center"/>
              <w:rPr>
                <w:color w:val="auto"/>
                <w:sz w:val="24"/>
                <w:szCs w:val="24"/>
                <w:highlight w:val="none"/>
              </w:rPr>
            </w:pPr>
            <w:r>
              <w:rPr>
                <w:color w:val="auto"/>
                <w:sz w:val="24"/>
                <w:szCs w:val="24"/>
                <w:highlight w:val="none"/>
              </w:rPr>
              <w:t>1.3</w:t>
            </w:r>
          </w:p>
        </w:tc>
        <w:tc>
          <w:tcPr>
            <w:tcW w:w="7895" w:type="dxa"/>
            <w:gridSpan w:val="2"/>
            <w:vAlign w:val="center"/>
          </w:tcPr>
          <w:p w14:paraId="62AABD89">
            <w:pPr>
              <w:pStyle w:val="20"/>
              <w:spacing w:line="360" w:lineRule="auto"/>
              <w:jc w:val="both"/>
              <w:rPr>
                <w:rFonts w:hint="eastAsia" w:eastAsia="仿宋"/>
                <w:color w:val="auto"/>
                <w:sz w:val="24"/>
                <w:szCs w:val="24"/>
                <w:highlight w:val="none"/>
                <w:lang w:eastAsia="zh-CN"/>
              </w:rPr>
            </w:pPr>
            <w:r>
              <w:rPr>
                <w:color w:val="auto"/>
                <w:sz w:val="24"/>
                <w:szCs w:val="24"/>
                <w:highlight w:val="none"/>
              </w:rPr>
              <w:t>项目编号：</w:t>
            </w:r>
            <w:r>
              <w:rPr>
                <w:rFonts w:hint="eastAsia"/>
                <w:color w:val="auto"/>
                <w:sz w:val="24"/>
                <w:szCs w:val="24"/>
                <w:highlight w:val="none"/>
                <w:lang w:eastAsia="zh-CN"/>
              </w:rPr>
              <w:t>豫财招标采购-2026-998</w:t>
            </w:r>
          </w:p>
        </w:tc>
      </w:tr>
      <w:tr w14:paraId="197AD8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 w:hRule="atLeast"/>
        </w:trPr>
        <w:tc>
          <w:tcPr>
            <w:tcW w:w="935" w:type="dxa"/>
            <w:vAlign w:val="center"/>
          </w:tcPr>
          <w:p w14:paraId="76529109">
            <w:pPr>
              <w:pStyle w:val="20"/>
              <w:spacing w:line="360" w:lineRule="auto"/>
              <w:jc w:val="center"/>
              <w:rPr>
                <w:color w:val="auto"/>
                <w:sz w:val="24"/>
                <w:szCs w:val="24"/>
                <w:highlight w:val="none"/>
              </w:rPr>
            </w:pPr>
            <w:r>
              <w:rPr>
                <w:color w:val="auto"/>
                <w:sz w:val="24"/>
                <w:szCs w:val="24"/>
                <w:highlight w:val="none"/>
              </w:rPr>
              <w:t>1.4</w:t>
            </w:r>
          </w:p>
        </w:tc>
        <w:tc>
          <w:tcPr>
            <w:tcW w:w="7895" w:type="dxa"/>
            <w:gridSpan w:val="2"/>
            <w:vAlign w:val="center"/>
          </w:tcPr>
          <w:p w14:paraId="5892F982">
            <w:pPr>
              <w:pStyle w:val="20"/>
              <w:spacing w:line="360" w:lineRule="auto"/>
              <w:jc w:val="both"/>
              <w:rPr>
                <w:color w:val="auto"/>
                <w:sz w:val="24"/>
                <w:szCs w:val="24"/>
                <w:highlight w:val="none"/>
              </w:rPr>
            </w:pPr>
            <w:r>
              <w:rPr>
                <w:color w:val="auto"/>
                <w:sz w:val="24"/>
                <w:szCs w:val="24"/>
                <w:highlight w:val="none"/>
              </w:rPr>
              <w:t>采购项目简要说明：同第一章 投标邀请</w:t>
            </w:r>
            <w:r>
              <w:rPr>
                <w:rFonts w:hint="eastAsia"/>
                <w:color w:val="auto"/>
                <w:sz w:val="24"/>
                <w:szCs w:val="24"/>
                <w:highlight w:val="none"/>
              </w:rPr>
              <w:t>（招标公告）</w:t>
            </w:r>
          </w:p>
        </w:tc>
      </w:tr>
      <w:tr w14:paraId="3660FD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 w:hRule="atLeast"/>
        </w:trPr>
        <w:tc>
          <w:tcPr>
            <w:tcW w:w="935" w:type="dxa"/>
            <w:vAlign w:val="center"/>
          </w:tcPr>
          <w:p w14:paraId="18C32789">
            <w:pPr>
              <w:pStyle w:val="20"/>
              <w:spacing w:line="360" w:lineRule="auto"/>
              <w:jc w:val="center"/>
              <w:rPr>
                <w:color w:val="auto"/>
                <w:sz w:val="24"/>
                <w:szCs w:val="24"/>
                <w:highlight w:val="none"/>
              </w:rPr>
            </w:pPr>
            <w:r>
              <w:rPr>
                <w:color w:val="auto"/>
                <w:sz w:val="24"/>
                <w:szCs w:val="24"/>
                <w:highlight w:val="none"/>
              </w:rPr>
              <w:t>2.2</w:t>
            </w:r>
          </w:p>
        </w:tc>
        <w:tc>
          <w:tcPr>
            <w:tcW w:w="7895" w:type="dxa"/>
            <w:gridSpan w:val="2"/>
          </w:tcPr>
          <w:p w14:paraId="11D084AB">
            <w:pPr>
              <w:pStyle w:val="20"/>
              <w:spacing w:line="360" w:lineRule="auto"/>
              <w:rPr>
                <w:color w:val="auto"/>
                <w:sz w:val="24"/>
                <w:szCs w:val="24"/>
                <w:highlight w:val="none"/>
              </w:rPr>
            </w:pPr>
            <w:r>
              <w:rPr>
                <w:rFonts w:hint="eastAsia"/>
                <w:color w:val="auto"/>
                <w:sz w:val="24"/>
                <w:szCs w:val="24"/>
                <w:highlight w:val="none"/>
              </w:rPr>
              <w:t>招标</w:t>
            </w:r>
            <w:r>
              <w:rPr>
                <w:color w:val="auto"/>
                <w:sz w:val="24"/>
                <w:szCs w:val="24"/>
                <w:highlight w:val="none"/>
              </w:rPr>
              <w:t>人：河南</w:t>
            </w:r>
            <w:r>
              <w:rPr>
                <w:rFonts w:hint="eastAsia"/>
                <w:color w:val="auto"/>
                <w:sz w:val="24"/>
                <w:szCs w:val="24"/>
                <w:highlight w:val="none"/>
              </w:rPr>
              <w:t>理工</w:t>
            </w:r>
            <w:r>
              <w:rPr>
                <w:color w:val="auto"/>
                <w:sz w:val="24"/>
                <w:szCs w:val="24"/>
                <w:highlight w:val="none"/>
              </w:rPr>
              <w:t>大学</w:t>
            </w:r>
          </w:p>
          <w:p w14:paraId="077E5C0E">
            <w:pPr>
              <w:pStyle w:val="20"/>
              <w:spacing w:line="360" w:lineRule="auto"/>
              <w:rPr>
                <w:color w:val="auto"/>
                <w:sz w:val="24"/>
                <w:szCs w:val="24"/>
                <w:highlight w:val="none"/>
              </w:rPr>
            </w:pPr>
            <w:r>
              <w:rPr>
                <w:color w:val="auto"/>
                <w:sz w:val="24"/>
                <w:szCs w:val="24"/>
                <w:highlight w:val="none"/>
              </w:rPr>
              <w:t>地 址：</w:t>
            </w:r>
            <w:r>
              <w:rPr>
                <w:rFonts w:hint="eastAsia"/>
                <w:color w:val="auto"/>
                <w:sz w:val="24"/>
                <w:szCs w:val="24"/>
                <w:highlight w:val="none"/>
              </w:rPr>
              <w:t>河南省焦作</w:t>
            </w:r>
            <w:r>
              <w:rPr>
                <w:color w:val="auto"/>
                <w:sz w:val="24"/>
                <w:szCs w:val="24"/>
                <w:highlight w:val="none"/>
              </w:rPr>
              <w:t>市</w:t>
            </w:r>
            <w:r>
              <w:rPr>
                <w:rFonts w:hint="eastAsia"/>
                <w:color w:val="auto"/>
                <w:sz w:val="24"/>
                <w:szCs w:val="24"/>
                <w:highlight w:val="none"/>
              </w:rPr>
              <w:t>世纪路2001号</w:t>
            </w:r>
          </w:p>
          <w:p w14:paraId="159E46F3">
            <w:pPr>
              <w:pStyle w:val="20"/>
              <w:spacing w:line="360" w:lineRule="auto"/>
              <w:rPr>
                <w:color w:val="auto"/>
                <w:sz w:val="24"/>
                <w:szCs w:val="24"/>
                <w:highlight w:val="none"/>
              </w:rPr>
            </w:pPr>
            <w:r>
              <w:rPr>
                <w:color w:val="auto"/>
                <w:sz w:val="24"/>
                <w:szCs w:val="24"/>
                <w:highlight w:val="none"/>
              </w:rPr>
              <w:t>联系人：</w:t>
            </w:r>
            <w:r>
              <w:rPr>
                <w:rFonts w:hint="eastAsia"/>
                <w:color w:val="auto"/>
                <w:sz w:val="24"/>
                <w:szCs w:val="24"/>
                <w:highlight w:val="none"/>
                <w:lang w:bidi="ar"/>
              </w:rPr>
              <w:t>高老师、郭老师</w:t>
            </w:r>
          </w:p>
          <w:p w14:paraId="7414A527">
            <w:pPr>
              <w:pStyle w:val="20"/>
              <w:spacing w:line="360" w:lineRule="auto"/>
              <w:rPr>
                <w:color w:val="auto"/>
                <w:sz w:val="24"/>
                <w:szCs w:val="24"/>
                <w:highlight w:val="none"/>
              </w:rPr>
            </w:pPr>
            <w:r>
              <w:rPr>
                <w:color w:val="auto"/>
                <w:sz w:val="24"/>
                <w:szCs w:val="24"/>
                <w:highlight w:val="none"/>
              </w:rPr>
              <w:t>联系方式：03</w:t>
            </w:r>
            <w:r>
              <w:rPr>
                <w:rFonts w:hint="eastAsia"/>
                <w:color w:val="auto"/>
                <w:sz w:val="24"/>
                <w:szCs w:val="24"/>
                <w:highlight w:val="none"/>
              </w:rPr>
              <w:t>9</w:t>
            </w:r>
            <w:r>
              <w:rPr>
                <w:color w:val="auto"/>
                <w:sz w:val="24"/>
                <w:szCs w:val="24"/>
                <w:highlight w:val="none"/>
              </w:rPr>
              <w:t>1-</w:t>
            </w:r>
            <w:r>
              <w:rPr>
                <w:rFonts w:hint="eastAsia"/>
                <w:color w:val="auto"/>
                <w:sz w:val="24"/>
                <w:szCs w:val="24"/>
                <w:highlight w:val="none"/>
              </w:rPr>
              <w:t>3987088</w:t>
            </w:r>
          </w:p>
          <w:p w14:paraId="5710B0F1">
            <w:pPr>
              <w:pStyle w:val="20"/>
              <w:spacing w:line="360" w:lineRule="auto"/>
              <w:rPr>
                <w:color w:val="auto"/>
                <w:sz w:val="24"/>
                <w:szCs w:val="24"/>
                <w:highlight w:val="none"/>
              </w:rPr>
            </w:pPr>
            <w:r>
              <w:rPr>
                <w:color w:val="auto"/>
                <w:sz w:val="24"/>
                <w:szCs w:val="24"/>
                <w:highlight w:val="none"/>
              </w:rPr>
              <w:t>邮箱：</w:t>
            </w:r>
            <w:r>
              <w:rPr>
                <w:color w:val="auto"/>
                <w:highlight w:val="none"/>
              </w:rPr>
              <w:fldChar w:fldCharType="begin"/>
            </w:r>
            <w:r>
              <w:rPr>
                <w:color w:val="auto"/>
                <w:highlight w:val="none"/>
              </w:rPr>
              <w:instrText xml:space="preserve"> HYPERLINK "mailto:zbb02@henu.edu.cn" \h </w:instrText>
            </w:r>
            <w:r>
              <w:rPr>
                <w:color w:val="auto"/>
                <w:highlight w:val="none"/>
              </w:rPr>
              <w:fldChar w:fldCharType="separate"/>
            </w:r>
            <w:r>
              <w:rPr>
                <w:rFonts w:hint="eastAsia"/>
                <w:color w:val="auto"/>
                <w:sz w:val="24"/>
                <w:szCs w:val="24"/>
                <w:highlight w:val="none"/>
              </w:rPr>
              <w:t>wzcg</w:t>
            </w:r>
            <w:r>
              <w:rPr>
                <w:color w:val="auto"/>
                <w:sz w:val="24"/>
                <w:szCs w:val="24"/>
                <w:highlight w:val="none"/>
              </w:rPr>
              <w:t>@h</w:t>
            </w:r>
            <w:r>
              <w:rPr>
                <w:rFonts w:hint="eastAsia"/>
                <w:color w:val="auto"/>
                <w:sz w:val="24"/>
                <w:szCs w:val="24"/>
                <w:highlight w:val="none"/>
              </w:rPr>
              <w:t>p</w:t>
            </w:r>
            <w:r>
              <w:rPr>
                <w:color w:val="auto"/>
                <w:sz w:val="24"/>
                <w:szCs w:val="24"/>
                <w:highlight w:val="none"/>
              </w:rPr>
              <w:t>u.edu.cn</w:t>
            </w:r>
            <w:r>
              <w:rPr>
                <w:color w:val="auto"/>
                <w:sz w:val="24"/>
                <w:szCs w:val="24"/>
                <w:highlight w:val="none"/>
              </w:rPr>
              <w:fldChar w:fldCharType="end"/>
            </w:r>
          </w:p>
        </w:tc>
      </w:tr>
      <w:tr w14:paraId="214B9C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 w:hRule="atLeast"/>
        </w:trPr>
        <w:tc>
          <w:tcPr>
            <w:tcW w:w="935" w:type="dxa"/>
            <w:vAlign w:val="center"/>
          </w:tcPr>
          <w:p w14:paraId="41E6D2FA">
            <w:pPr>
              <w:pStyle w:val="20"/>
              <w:spacing w:line="360" w:lineRule="auto"/>
              <w:jc w:val="center"/>
              <w:rPr>
                <w:color w:val="auto"/>
                <w:sz w:val="24"/>
                <w:szCs w:val="24"/>
                <w:highlight w:val="none"/>
              </w:rPr>
            </w:pPr>
            <w:r>
              <w:rPr>
                <w:color w:val="auto"/>
                <w:sz w:val="24"/>
                <w:szCs w:val="24"/>
                <w:highlight w:val="none"/>
              </w:rPr>
              <w:t>2.3</w:t>
            </w:r>
          </w:p>
        </w:tc>
        <w:tc>
          <w:tcPr>
            <w:tcW w:w="7895" w:type="dxa"/>
            <w:gridSpan w:val="2"/>
          </w:tcPr>
          <w:p w14:paraId="61DA0D75">
            <w:pPr>
              <w:pStyle w:val="20"/>
              <w:spacing w:line="360" w:lineRule="auto"/>
              <w:rPr>
                <w:color w:val="auto"/>
                <w:sz w:val="24"/>
                <w:szCs w:val="24"/>
                <w:highlight w:val="none"/>
              </w:rPr>
            </w:pPr>
            <w:r>
              <w:rPr>
                <w:rFonts w:hint="eastAsia"/>
                <w:color w:val="auto"/>
                <w:sz w:val="24"/>
                <w:szCs w:val="24"/>
                <w:highlight w:val="none"/>
              </w:rPr>
              <w:t>采购代理机构：</w:t>
            </w:r>
            <w:r>
              <w:rPr>
                <w:rFonts w:hint="eastAsia"/>
                <w:color w:val="auto"/>
                <w:sz w:val="24"/>
                <w:szCs w:val="24"/>
                <w:highlight w:val="none"/>
                <w:lang w:eastAsia="zh-CN"/>
              </w:rPr>
              <w:t>中鼎誉润工程咨询有限公司</w:t>
            </w:r>
            <w:r>
              <w:rPr>
                <w:rFonts w:hint="eastAsia"/>
                <w:color w:val="auto"/>
                <w:sz w:val="24"/>
                <w:szCs w:val="24"/>
                <w:highlight w:val="none"/>
              </w:rPr>
              <w:t xml:space="preserve">    </w:t>
            </w:r>
          </w:p>
          <w:p w14:paraId="772612C2">
            <w:pPr>
              <w:pStyle w:val="20"/>
              <w:spacing w:line="360" w:lineRule="auto"/>
              <w:rPr>
                <w:rFonts w:hint="eastAsia" w:eastAsia="仿宋"/>
                <w:color w:val="auto"/>
                <w:sz w:val="24"/>
                <w:szCs w:val="24"/>
                <w:highlight w:val="none"/>
                <w:lang w:eastAsia="zh-CN"/>
              </w:rPr>
            </w:pPr>
            <w:r>
              <w:rPr>
                <w:rFonts w:hint="eastAsia"/>
                <w:color w:val="auto"/>
                <w:sz w:val="24"/>
                <w:szCs w:val="24"/>
                <w:highlight w:val="none"/>
              </w:rPr>
              <w:t>地址：</w:t>
            </w:r>
            <w:r>
              <w:rPr>
                <w:rFonts w:hint="eastAsia"/>
                <w:color w:val="auto"/>
                <w:sz w:val="24"/>
                <w:szCs w:val="24"/>
                <w:highlight w:val="none"/>
                <w:lang w:eastAsia="zh-CN"/>
              </w:rPr>
              <w:t>郑州市管城回族区航海东路与经开第二十大街交叉口北侧中兴新业港三期32号楼</w:t>
            </w:r>
          </w:p>
          <w:p w14:paraId="5BA4EB83">
            <w:pPr>
              <w:pStyle w:val="20"/>
              <w:spacing w:line="360" w:lineRule="auto"/>
              <w:rPr>
                <w:rFonts w:hint="eastAsia" w:eastAsia="仿宋"/>
                <w:color w:val="auto"/>
                <w:sz w:val="24"/>
                <w:szCs w:val="24"/>
                <w:highlight w:val="none"/>
                <w:lang w:eastAsia="zh-CN"/>
              </w:rPr>
            </w:pPr>
            <w:r>
              <w:rPr>
                <w:rFonts w:hint="eastAsia"/>
                <w:color w:val="auto"/>
                <w:sz w:val="24"/>
                <w:szCs w:val="24"/>
                <w:highlight w:val="none"/>
              </w:rPr>
              <w:t>项目联系人：</w:t>
            </w:r>
            <w:r>
              <w:rPr>
                <w:rFonts w:hint="eastAsia"/>
                <w:color w:val="auto"/>
                <w:sz w:val="24"/>
                <w:szCs w:val="24"/>
                <w:highlight w:val="none"/>
                <w:lang w:eastAsia="zh-CN"/>
              </w:rPr>
              <w:t>翟巨擘、齐燕伟、王行</w:t>
            </w:r>
          </w:p>
          <w:p w14:paraId="78138E6B">
            <w:pPr>
              <w:pStyle w:val="20"/>
              <w:spacing w:line="360" w:lineRule="auto"/>
              <w:rPr>
                <w:color w:val="auto"/>
                <w:sz w:val="24"/>
                <w:szCs w:val="24"/>
                <w:highlight w:val="none"/>
              </w:rPr>
            </w:pPr>
            <w:r>
              <w:rPr>
                <w:rFonts w:hint="eastAsia"/>
                <w:color w:val="auto"/>
                <w:sz w:val="24"/>
                <w:szCs w:val="24"/>
                <w:highlight w:val="none"/>
              </w:rPr>
              <w:t>联系电话：</w:t>
            </w:r>
            <w:r>
              <w:rPr>
                <w:rFonts w:hint="eastAsia"/>
                <w:color w:val="auto"/>
                <w:sz w:val="24"/>
                <w:szCs w:val="24"/>
                <w:highlight w:val="none"/>
                <w:lang w:val="zh-CN"/>
              </w:rPr>
              <w:t>0371-67978566</w:t>
            </w:r>
            <w:r>
              <w:rPr>
                <w:color w:val="auto"/>
                <w:highlight w:val="none"/>
              </w:rPr>
              <w:fldChar w:fldCharType="begin"/>
            </w:r>
            <w:r>
              <w:rPr>
                <w:color w:val="auto"/>
                <w:highlight w:val="none"/>
              </w:rPr>
              <w:instrText xml:space="preserve"> HYPERLINK "mailto:hnggzyzfcgl@126.com" \h </w:instrText>
            </w:r>
            <w:r>
              <w:rPr>
                <w:color w:val="auto"/>
                <w:highlight w:val="none"/>
              </w:rPr>
              <w:fldChar w:fldCharType="separate"/>
            </w:r>
            <w:r>
              <w:rPr>
                <w:color w:val="auto"/>
                <w:highlight w:val="none"/>
              </w:rPr>
              <w:fldChar w:fldCharType="end"/>
            </w:r>
          </w:p>
        </w:tc>
      </w:tr>
      <w:tr w14:paraId="7C87F8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 w:hRule="atLeast"/>
        </w:trPr>
        <w:tc>
          <w:tcPr>
            <w:tcW w:w="935" w:type="dxa"/>
            <w:vAlign w:val="center"/>
          </w:tcPr>
          <w:p w14:paraId="6CAC9306">
            <w:pPr>
              <w:pStyle w:val="20"/>
              <w:spacing w:line="360" w:lineRule="auto"/>
              <w:jc w:val="center"/>
              <w:rPr>
                <w:color w:val="auto"/>
                <w:sz w:val="24"/>
                <w:szCs w:val="24"/>
                <w:highlight w:val="none"/>
              </w:rPr>
            </w:pPr>
            <w:r>
              <w:rPr>
                <w:color w:val="auto"/>
                <w:sz w:val="24"/>
                <w:szCs w:val="24"/>
                <w:highlight w:val="none"/>
              </w:rPr>
              <w:t>2.</w:t>
            </w:r>
            <w:r>
              <w:rPr>
                <w:rFonts w:hint="eastAsia"/>
                <w:color w:val="auto"/>
                <w:sz w:val="24"/>
                <w:szCs w:val="24"/>
                <w:highlight w:val="none"/>
              </w:rPr>
              <w:t>4</w:t>
            </w:r>
            <w:r>
              <w:rPr>
                <w:color w:val="auto"/>
                <w:sz w:val="24"/>
                <w:szCs w:val="24"/>
                <w:highlight w:val="none"/>
              </w:rPr>
              <w:t>.2</w:t>
            </w:r>
          </w:p>
        </w:tc>
        <w:tc>
          <w:tcPr>
            <w:tcW w:w="7895" w:type="dxa"/>
            <w:gridSpan w:val="2"/>
          </w:tcPr>
          <w:p w14:paraId="66CDB43A">
            <w:pPr>
              <w:pStyle w:val="20"/>
              <w:spacing w:line="360" w:lineRule="auto"/>
              <w:rPr>
                <w:b/>
                <w:color w:val="auto"/>
                <w:sz w:val="24"/>
                <w:szCs w:val="24"/>
                <w:highlight w:val="none"/>
              </w:rPr>
            </w:pPr>
            <w:r>
              <w:rPr>
                <w:color w:val="auto"/>
                <w:sz w:val="24"/>
                <w:szCs w:val="24"/>
                <w:highlight w:val="none"/>
              </w:rPr>
              <w:t xml:space="preserve">是否允许采购进口产品：□是 </w:t>
            </w:r>
            <w:r>
              <w:rPr>
                <w:rFonts w:hint="eastAsia"/>
                <w:color w:val="auto"/>
                <w:sz w:val="24"/>
                <w:szCs w:val="24"/>
                <w:highlight w:val="none"/>
              </w:rPr>
              <w:t>☑</w:t>
            </w:r>
            <w:r>
              <w:rPr>
                <w:color w:val="auto"/>
                <w:sz w:val="24"/>
                <w:szCs w:val="24"/>
                <w:highlight w:val="none"/>
              </w:rPr>
              <w:t>否</w:t>
            </w:r>
          </w:p>
        </w:tc>
      </w:tr>
      <w:tr w14:paraId="6B9203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 w:hRule="atLeast"/>
        </w:trPr>
        <w:tc>
          <w:tcPr>
            <w:tcW w:w="935" w:type="dxa"/>
            <w:vAlign w:val="center"/>
          </w:tcPr>
          <w:p w14:paraId="076660FE">
            <w:pPr>
              <w:pStyle w:val="20"/>
              <w:spacing w:line="360" w:lineRule="auto"/>
              <w:jc w:val="center"/>
              <w:rPr>
                <w:color w:val="auto"/>
                <w:sz w:val="24"/>
                <w:szCs w:val="24"/>
                <w:highlight w:val="none"/>
              </w:rPr>
            </w:pPr>
            <w:r>
              <w:rPr>
                <w:color w:val="auto"/>
                <w:sz w:val="24"/>
                <w:szCs w:val="24"/>
                <w:highlight w:val="none"/>
              </w:rPr>
              <w:t>4.1</w:t>
            </w:r>
          </w:p>
        </w:tc>
        <w:tc>
          <w:tcPr>
            <w:tcW w:w="7895" w:type="dxa"/>
            <w:gridSpan w:val="2"/>
          </w:tcPr>
          <w:p w14:paraId="7DA39429">
            <w:pPr>
              <w:pStyle w:val="20"/>
              <w:spacing w:line="360" w:lineRule="auto"/>
              <w:rPr>
                <w:color w:val="auto"/>
                <w:sz w:val="24"/>
                <w:szCs w:val="24"/>
                <w:highlight w:val="none"/>
              </w:rPr>
            </w:pPr>
            <w:r>
              <w:rPr>
                <w:color w:val="auto"/>
                <w:sz w:val="24"/>
                <w:szCs w:val="24"/>
                <w:highlight w:val="none"/>
              </w:rPr>
              <w:t>踏勘现场：</w:t>
            </w:r>
            <w:r>
              <w:rPr>
                <w:b/>
                <w:color w:val="auto"/>
                <w:sz w:val="24"/>
                <w:szCs w:val="24"/>
                <w:highlight w:val="none"/>
              </w:rPr>
              <w:t xml:space="preserve"> </w:t>
            </w:r>
            <w:r>
              <w:rPr>
                <w:rFonts w:hint="eastAsia" w:ascii="MS UI Gothic" w:hAnsi="MS UI Gothic" w:eastAsia="宋体"/>
                <w:b/>
                <w:color w:val="auto"/>
                <w:sz w:val="24"/>
                <w:szCs w:val="24"/>
                <w:highlight w:val="none"/>
              </w:rPr>
              <w:t>☑</w:t>
            </w:r>
            <w:r>
              <w:rPr>
                <w:b/>
                <w:color w:val="auto"/>
                <w:sz w:val="24"/>
                <w:szCs w:val="24"/>
                <w:highlight w:val="none"/>
              </w:rPr>
              <w:t>不组织</w:t>
            </w:r>
            <w:r>
              <w:rPr>
                <w:color w:val="auto"/>
                <w:sz w:val="24"/>
                <w:szCs w:val="24"/>
                <w:highlight w:val="none"/>
              </w:rPr>
              <w:t>，投标人可自行对项目现场和周围环境进行踏勘，踏勘现场所发生的费用由投标人自己承担。出现事故，责任由投标人自行承担。</w:t>
            </w:r>
          </w:p>
          <w:p w14:paraId="0777E953">
            <w:pPr>
              <w:pStyle w:val="20"/>
              <w:spacing w:line="360" w:lineRule="auto"/>
              <w:jc w:val="both"/>
              <w:rPr>
                <w:color w:val="auto"/>
                <w:sz w:val="24"/>
                <w:szCs w:val="24"/>
                <w:highlight w:val="none"/>
              </w:rPr>
            </w:pPr>
            <w:r>
              <w:rPr>
                <w:b/>
                <w:color w:val="auto"/>
                <w:sz w:val="24"/>
                <w:szCs w:val="24"/>
                <w:highlight w:val="none"/>
              </w:rPr>
              <w:t>□组织</w:t>
            </w:r>
            <w:r>
              <w:rPr>
                <w:color w:val="auto"/>
                <w:sz w:val="24"/>
                <w:szCs w:val="24"/>
                <w:highlight w:val="none"/>
              </w:rPr>
              <w:t>，踏勘时间：</w:t>
            </w:r>
            <w:r>
              <w:rPr>
                <w:rFonts w:ascii="Times New Roman" w:hAnsi="Times New Roman" w:eastAsia="Times New Roman"/>
                <w:color w:val="auto"/>
                <w:sz w:val="24"/>
                <w:szCs w:val="24"/>
                <w:highlight w:val="none"/>
                <w:u w:val="single"/>
              </w:rPr>
              <w:t xml:space="preserve">  </w:t>
            </w:r>
            <w:r>
              <w:rPr>
                <w:color w:val="auto"/>
                <w:sz w:val="24"/>
                <w:szCs w:val="24"/>
                <w:highlight w:val="none"/>
                <w:u w:val="single"/>
              </w:rPr>
              <w:t xml:space="preserve">/ </w:t>
            </w:r>
          </w:p>
          <w:p w14:paraId="1E3ED585">
            <w:pPr>
              <w:pStyle w:val="20"/>
              <w:spacing w:line="360" w:lineRule="auto"/>
              <w:jc w:val="both"/>
              <w:rPr>
                <w:color w:val="auto"/>
                <w:sz w:val="24"/>
                <w:szCs w:val="24"/>
                <w:highlight w:val="none"/>
              </w:rPr>
            </w:pPr>
            <w:r>
              <w:rPr>
                <w:color w:val="auto"/>
                <w:sz w:val="24"/>
                <w:szCs w:val="24"/>
                <w:highlight w:val="none"/>
              </w:rPr>
              <w:t>踏勘集中地点：</w:t>
            </w:r>
            <w:r>
              <w:rPr>
                <w:rFonts w:ascii="Times New Roman" w:eastAsia="Times New Roman"/>
                <w:color w:val="auto"/>
                <w:sz w:val="24"/>
                <w:szCs w:val="24"/>
                <w:highlight w:val="none"/>
                <w:u w:val="single"/>
              </w:rPr>
              <w:t xml:space="preserve">  </w:t>
            </w:r>
            <w:r>
              <w:rPr>
                <w:color w:val="auto"/>
                <w:sz w:val="24"/>
                <w:szCs w:val="24"/>
                <w:highlight w:val="none"/>
                <w:u w:val="single"/>
              </w:rPr>
              <w:t xml:space="preserve">/ </w:t>
            </w:r>
          </w:p>
        </w:tc>
      </w:tr>
      <w:tr w14:paraId="050274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 w:hRule="atLeast"/>
        </w:trPr>
        <w:tc>
          <w:tcPr>
            <w:tcW w:w="935" w:type="dxa"/>
            <w:vAlign w:val="center"/>
          </w:tcPr>
          <w:p w14:paraId="5BAD157A">
            <w:pPr>
              <w:pStyle w:val="20"/>
              <w:spacing w:line="360" w:lineRule="auto"/>
              <w:jc w:val="center"/>
              <w:rPr>
                <w:color w:val="auto"/>
                <w:sz w:val="24"/>
                <w:szCs w:val="24"/>
                <w:highlight w:val="none"/>
              </w:rPr>
            </w:pPr>
            <w:r>
              <w:rPr>
                <w:color w:val="auto"/>
                <w:sz w:val="24"/>
                <w:szCs w:val="24"/>
                <w:highlight w:val="none"/>
              </w:rPr>
              <w:t>6.3</w:t>
            </w:r>
          </w:p>
        </w:tc>
        <w:tc>
          <w:tcPr>
            <w:tcW w:w="7895" w:type="dxa"/>
            <w:gridSpan w:val="2"/>
            <w:vAlign w:val="center"/>
          </w:tcPr>
          <w:p w14:paraId="1A1DD1B3">
            <w:pPr>
              <w:pStyle w:val="20"/>
              <w:spacing w:line="360" w:lineRule="auto"/>
              <w:rPr>
                <w:rFonts w:hint="eastAsia" w:eastAsia="仿宋"/>
                <w:color w:val="auto"/>
                <w:sz w:val="24"/>
                <w:szCs w:val="24"/>
                <w:highlight w:val="none"/>
                <w:lang w:val="en-US" w:eastAsia="zh-CN"/>
              </w:rPr>
            </w:pPr>
            <w:r>
              <w:rPr>
                <w:color w:val="auto"/>
                <w:sz w:val="24"/>
                <w:szCs w:val="24"/>
                <w:highlight w:val="none"/>
              </w:rPr>
              <w:t>联合体的其他资格要求</w:t>
            </w:r>
            <w:r>
              <w:rPr>
                <w:rFonts w:hint="eastAsia"/>
                <w:color w:val="auto"/>
                <w:sz w:val="24"/>
                <w:szCs w:val="24"/>
                <w:highlight w:val="none"/>
              </w:rPr>
              <w:t>：</w:t>
            </w:r>
            <w:r>
              <w:rPr>
                <w:rFonts w:hint="eastAsia"/>
                <w:color w:val="auto"/>
                <w:sz w:val="24"/>
                <w:szCs w:val="24"/>
                <w:highlight w:val="none"/>
                <w:lang w:val="en-US" w:eastAsia="zh-CN"/>
              </w:rPr>
              <w:t>/</w:t>
            </w:r>
          </w:p>
        </w:tc>
      </w:tr>
      <w:tr w14:paraId="43A957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 w:hRule="atLeast"/>
        </w:trPr>
        <w:tc>
          <w:tcPr>
            <w:tcW w:w="935" w:type="dxa"/>
            <w:vAlign w:val="center"/>
          </w:tcPr>
          <w:p w14:paraId="4A3B4BDB">
            <w:pPr>
              <w:pStyle w:val="20"/>
              <w:spacing w:line="360" w:lineRule="auto"/>
              <w:jc w:val="center"/>
              <w:rPr>
                <w:color w:val="auto"/>
                <w:sz w:val="24"/>
                <w:szCs w:val="24"/>
                <w:highlight w:val="none"/>
              </w:rPr>
            </w:pPr>
            <w:r>
              <w:rPr>
                <w:color w:val="auto"/>
                <w:sz w:val="24"/>
                <w:szCs w:val="24"/>
                <w:highlight w:val="none"/>
              </w:rPr>
              <w:t>6.6</w:t>
            </w:r>
          </w:p>
        </w:tc>
        <w:tc>
          <w:tcPr>
            <w:tcW w:w="7895" w:type="dxa"/>
            <w:gridSpan w:val="2"/>
            <w:vAlign w:val="center"/>
          </w:tcPr>
          <w:p w14:paraId="5FD9DABC">
            <w:pPr>
              <w:pStyle w:val="20"/>
              <w:spacing w:line="360" w:lineRule="auto"/>
              <w:rPr>
                <w:b/>
                <w:color w:val="auto"/>
                <w:sz w:val="24"/>
                <w:szCs w:val="24"/>
                <w:highlight w:val="none"/>
              </w:rPr>
            </w:pPr>
            <w:r>
              <w:rPr>
                <w:color w:val="auto"/>
                <w:sz w:val="24"/>
                <w:szCs w:val="24"/>
                <w:highlight w:val="none"/>
              </w:rPr>
              <w:t>是否允许联合体投标：</w:t>
            </w:r>
            <w:r>
              <w:rPr>
                <w:b/>
                <w:color w:val="auto"/>
                <w:sz w:val="24"/>
                <w:szCs w:val="24"/>
                <w:highlight w:val="none"/>
              </w:rPr>
              <w:t xml:space="preserve">□是 </w:t>
            </w:r>
            <w:r>
              <w:rPr>
                <w:rFonts w:hint="eastAsia" w:ascii="MS UI Gothic" w:hAnsi="MS UI Gothic" w:eastAsia="宋体"/>
                <w:b/>
                <w:color w:val="auto"/>
                <w:sz w:val="24"/>
                <w:szCs w:val="24"/>
                <w:highlight w:val="none"/>
              </w:rPr>
              <w:t>☑</w:t>
            </w:r>
            <w:r>
              <w:rPr>
                <w:b/>
                <w:color w:val="auto"/>
                <w:sz w:val="24"/>
                <w:szCs w:val="24"/>
                <w:highlight w:val="none"/>
              </w:rPr>
              <w:t>否</w:t>
            </w:r>
          </w:p>
        </w:tc>
      </w:tr>
      <w:tr w14:paraId="34FBE1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 w:hRule="atLeast"/>
        </w:trPr>
        <w:tc>
          <w:tcPr>
            <w:tcW w:w="935" w:type="dxa"/>
            <w:vAlign w:val="center"/>
          </w:tcPr>
          <w:p w14:paraId="529871CF">
            <w:pPr>
              <w:pStyle w:val="20"/>
              <w:spacing w:line="360" w:lineRule="auto"/>
              <w:jc w:val="center"/>
              <w:rPr>
                <w:color w:val="auto"/>
                <w:sz w:val="24"/>
                <w:szCs w:val="24"/>
                <w:highlight w:val="none"/>
              </w:rPr>
            </w:pPr>
            <w:r>
              <w:rPr>
                <w:rFonts w:hint="eastAsia"/>
                <w:color w:val="auto"/>
                <w:sz w:val="24"/>
                <w:szCs w:val="24"/>
                <w:highlight w:val="none"/>
              </w:rPr>
              <w:t>10.2</w:t>
            </w:r>
          </w:p>
        </w:tc>
        <w:tc>
          <w:tcPr>
            <w:tcW w:w="7895" w:type="dxa"/>
            <w:gridSpan w:val="2"/>
            <w:vAlign w:val="center"/>
          </w:tcPr>
          <w:p w14:paraId="3D530537">
            <w:pPr>
              <w:pStyle w:val="20"/>
              <w:spacing w:line="360" w:lineRule="auto"/>
              <w:jc w:val="both"/>
              <w:rPr>
                <w:color w:val="auto"/>
                <w:sz w:val="24"/>
                <w:szCs w:val="24"/>
                <w:highlight w:val="none"/>
              </w:rPr>
            </w:pPr>
            <w:r>
              <w:rPr>
                <w:rFonts w:hint="eastAsia" w:ascii="宋体" w:hAnsi="宋体"/>
                <w:color w:val="auto"/>
                <w:sz w:val="24"/>
                <w:szCs w:val="24"/>
                <w:highlight w:val="none"/>
              </w:rPr>
              <w:t>招标文件</w:t>
            </w:r>
            <w:r>
              <w:rPr>
                <w:rFonts w:ascii="宋体" w:hAnsi="宋体"/>
                <w:color w:val="auto"/>
                <w:sz w:val="24"/>
                <w:szCs w:val="24"/>
                <w:highlight w:val="none"/>
              </w:rPr>
              <w:t>中有不一致</w:t>
            </w:r>
            <w:r>
              <w:rPr>
                <w:rFonts w:hint="eastAsia" w:ascii="宋体" w:hAnsi="宋体"/>
                <w:color w:val="auto"/>
                <w:sz w:val="24"/>
                <w:szCs w:val="24"/>
                <w:highlight w:val="none"/>
              </w:rPr>
              <w:t>（或矛盾）</w:t>
            </w:r>
            <w:r>
              <w:rPr>
                <w:rFonts w:ascii="宋体" w:hAnsi="宋体"/>
                <w:color w:val="auto"/>
                <w:sz w:val="24"/>
                <w:szCs w:val="24"/>
                <w:highlight w:val="none"/>
              </w:rPr>
              <w:t>的，</w:t>
            </w:r>
            <w:r>
              <w:rPr>
                <w:rFonts w:ascii="宋体" w:hAnsi="宋体"/>
                <w:b/>
                <w:bCs/>
                <w:color w:val="auto"/>
                <w:sz w:val="24"/>
                <w:szCs w:val="24"/>
                <w:highlight w:val="none"/>
              </w:rPr>
              <w:t>有</w:t>
            </w:r>
            <w:r>
              <w:rPr>
                <w:rFonts w:hint="eastAsia" w:ascii="宋体" w:hAnsi="宋体"/>
                <w:b/>
                <w:bCs/>
                <w:color w:val="auto"/>
                <w:sz w:val="24"/>
                <w:szCs w:val="24"/>
                <w:highlight w:val="none"/>
              </w:rPr>
              <w:t>变更、澄清</w:t>
            </w:r>
            <w:r>
              <w:rPr>
                <w:rFonts w:ascii="宋体" w:hAnsi="宋体"/>
                <w:b/>
                <w:bCs/>
                <w:color w:val="auto"/>
                <w:sz w:val="24"/>
                <w:szCs w:val="24"/>
                <w:highlight w:val="none"/>
              </w:rPr>
              <w:t>的部分</w:t>
            </w:r>
            <w:r>
              <w:rPr>
                <w:rFonts w:hint="eastAsia" w:ascii="宋体" w:hAnsi="宋体"/>
                <w:b/>
                <w:bCs/>
                <w:color w:val="auto"/>
                <w:sz w:val="24"/>
                <w:szCs w:val="24"/>
                <w:highlight w:val="none"/>
              </w:rPr>
              <w:t>以</w:t>
            </w:r>
            <w:r>
              <w:rPr>
                <w:rFonts w:ascii="宋体" w:hAnsi="宋体"/>
                <w:b/>
                <w:bCs/>
                <w:color w:val="auto"/>
                <w:sz w:val="24"/>
                <w:szCs w:val="24"/>
                <w:highlight w:val="none"/>
              </w:rPr>
              <w:t>最终的</w:t>
            </w:r>
            <w:r>
              <w:rPr>
                <w:rFonts w:hint="eastAsia" w:ascii="宋体" w:hAnsi="宋体"/>
                <w:b/>
                <w:bCs/>
                <w:color w:val="auto"/>
                <w:sz w:val="24"/>
                <w:szCs w:val="24"/>
                <w:highlight w:val="none"/>
              </w:rPr>
              <w:t>变更、澄清</w:t>
            </w:r>
            <w:r>
              <w:rPr>
                <w:rFonts w:ascii="宋体" w:hAnsi="宋体"/>
                <w:b/>
                <w:bCs/>
                <w:color w:val="auto"/>
                <w:sz w:val="24"/>
                <w:szCs w:val="24"/>
                <w:highlight w:val="none"/>
              </w:rPr>
              <w:t>内容为准</w:t>
            </w:r>
            <w:r>
              <w:rPr>
                <w:rFonts w:hint="eastAsia" w:ascii="宋体" w:hAnsi="宋体"/>
                <w:b/>
                <w:bCs/>
                <w:color w:val="auto"/>
                <w:sz w:val="24"/>
                <w:szCs w:val="24"/>
                <w:highlight w:val="none"/>
              </w:rPr>
              <w:t>；未变更、澄清的，</w:t>
            </w:r>
            <w:r>
              <w:rPr>
                <w:rFonts w:hint="eastAsia" w:ascii="宋体" w:hAnsi="宋体"/>
                <w:color w:val="auto"/>
                <w:sz w:val="24"/>
                <w:szCs w:val="24"/>
                <w:highlight w:val="none"/>
              </w:rPr>
              <w:t>按照招标公告、</w:t>
            </w:r>
            <w:r>
              <w:rPr>
                <w:color w:val="auto"/>
                <w:sz w:val="24"/>
                <w:szCs w:val="24"/>
                <w:highlight w:val="none"/>
              </w:rPr>
              <w:t>资格审查</w:t>
            </w:r>
            <w:r>
              <w:rPr>
                <w:rFonts w:hint="eastAsia"/>
                <w:color w:val="auto"/>
                <w:sz w:val="24"/>
                <w:szCs w:val="24"/>
                <w:highlight w:val="none"/>
              </w:rPr>
              <w:t>、“</w:t>
            </w:r>
            <w:r>
              <w:rPr>
                <w:color w:val="auto"/>
                <w:sz w:val="24"/>
                <w:szCs w:val="24"/>
                <w:highlight w:val="none"/>
              </w:rPr>
              <w:t>评标方法和标准</w:t>
            </w:r>
            <w:r>
              <w:rPr>
                <w:rFonts w:hint="eastAsia"/>
                <w:color w:val="auto"/>
                <w:sz w:val="24"/>
                <w:szCs w:val="24"/>
                <w:highlight w:val="none"/>
              </w:rPr>
              <w:t>”</w:t>
            </w:r>
            <w:r>
              <w:rPr>
                <w:rFonts w:hint="eastAsia" w:ascii="宋体" w:hAnsi="宋体"/>
                <w:color w:val="auto"/>
                <w:sz w:val="24"/>
                <w:szCs w:val="24"/>
                <w:highlight w:val="none"/>
              </w:rPr>
              <w:t>、采购需求、投标人须知、政府采购合同、投标文件格式的顺序进行解释，排名在前的具有优先解释权。第二章 投标人须知</w:t>
            </w:r>
            <w:r>
              <w:rPr>
                <w:rFonts w:hint="eastAsia" w:ascii="宋体" w:hAnsi="宋体"/>
                <w:color w:val="auto"/>
                <w:sz w:val="24"/>
                <w:szCs w:val="24"/>
                <w:highlight w:val="none"/>
                <w:lang w:val="en-US" w:eastAsia="zh-CN"/>
              </w:rPr>
              <w:t>前附表</w:t>
            </w:r>
            <w:r>
              <w:rPr>
                <w:rFonts w:hint="eastAsia" w:ascii="宋体" w:hAnsi="宋体"/>
                <w:color w:val="auto"/>
                <w:sz w:val="24"/>
                <w:szCs w:val="24"/>
                <w:highlight w:val="none"/>
              </w:rPr>
              <w:t>中，如果</w:t>
            </w:r>
            <w:r>
              <w:rPr>
                <w:rFonts w:hint="eastAsia" w:ascii="宋体" w:hAnsi="宋体"/>
                <w:b/>
                <w:color w:val="auto"/>
                <w:sz w:val="24"/>
                <w:szCs w:val="24"/>
                <w:highlight w:val="none"/>
                <w:u w:val="single"/>
              </w:rPr>
              <w:t>投标人须知前附表</w:t>
            </w:r>
            <w:r>
              <w:rPr>
                <w:rFonts w:hint="eastAsia" w:ascii="宋体" w:hAnsi="宋体"/>
                <w:color w:val="auto"/>
                <w:sz w:val="24"/>
                <w:szCs w:val="24"/>
                <w:highlight w:val="none"/>
              </w:rPr>
              <w:t>的内容与投标人须知中的内容</w:t>
            </w:r>
            <w:r>
              <w:rPr>
                <w:rFonts w:ascii="宋体" w:hAnsi="宋体"/>
                <w:color w:val="auto"/>
                <w:sz w:val="24"/>
                <w:szCs w:val="24"/>
                <w:highlight w:val="none"/>
              </w:rPr>
              <w:t>有不一致</w:t>
            </w:r>
            <w:r>
              <w:rPr>
                <w:rFonts w:hint="eastAsia" w:ascii="宋体" w:hAnsi="宋体"/>
                <w:color w:val="auto"/>
                <w:sz w:val="24"/>
                <w:szCs w:val="24"/>
                <w:highlight w:val="none"/>
              </w:rPr>
              <w:t>（或矛盾）</w:t>
            </w:r>
            <w:r>
              <w:rPr>
                <w:rFonts w:ascii="宋体" w:hAnsi="宋体"/>
                <w:color w:val="auto"/>
                <w:sz w:val="24"/>
                <w:szCs w:val="24"/>
                <w:highlight w:val="none"/>
              </w:rPr>
              <w:t>的</w:t>
            </w:r>
            <w:r>
              <w:rPr>
                <w:rFonts w:ascii="宋体" w:hAnsi="宋体"/>
                <w:b/>
                <w:color w:val="auto"/>
                <w:sz w:val="24"/>
                <w:szCs w:val="24"/>
                <w:highlight w:val="none"/>
              </w:rPr>
              <w:t>以</w:t>
            </w:r>
            <w:r>
              <w:rPr>
                <w:rFonts w:hint="eastAsia" w:ascii="宋体" w:hAnsi="宋体"/>
                <w:b/>
                <w:color w:val="auto"/>
                <w:sz w:val="24"/>
                <w:szCs w:val="24"/>
                <w:highlight w:val="none"/>
                <w:u w:val="single"/>
              </w:rPr>
              <w:t>投标人须知前附表</w:t>
            </w:r>
            <w:r>
              <w:rPr>
                <w:rFonts w:ascii="宋体" w:hAnsi="宋体"/>
                <w:b/>
                <w:color w:val="auto"/>
                <w:sz w:val="24"/>
                <w:szCs w:val="24"/>
                <w:highlight w:val="none"/>
              </w:rPr>
              <w:t>为准</w:t>
            </w:r>
            <w:r>
              <w:rPr>
                <w:rFonts w:hint="eastAsia" w:ascii="宋体" w:hAnsi="宋体"/>
                <w:b/>
                <w:color w:val="auto"/>
                <w:sz w:val="24"/>
                <w:szCs w:val="24"/>
                <w:highlight w:val="none"/>
              </w:rPr>
              <w:t>。</w:t>
            </w:r>
          </w:p>
        </w:tc>
      </w:tr>
      <w:tr w14:paraId="3759B4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 w:hRule="atLeast"/>
        </w:trPr>
        <w:tc>
          <w:tcPr>
            <w:tcW w:w="935" w:type="dxa"/>
            <w:vAlign w:val="center"/>
          </w:tcPr>
          <w:p w14:paraId="3E143DFD">
            <w:pPr>
              <w:pStyle w:val="20"/>
              <w:spacing w:line="360" w:lineRule="auto"/>
              <w:jc w:val="center"/>
              <w:rPr>
                <w:color w:val="auto"/>
                <w:sz w:val="24"/>
                <w:szCs w:val="24"/>
                <w:highlight w:val="none"/>
              </w:rPr>
            </w:pPr>
            <w:r>
              <w:rPr>
                <w:color w:val="auto"/>
                <w:sz w:val="24"/>
                <w:szCs w:val="24"/>
                <w:highlight w:val="none"/>
              </w:rPr>
              <w:t>17.2</w:t>
            </w:r>
          </w:p>
        </w:tc>
        <w:tc>
          <w:tcPr>
            <w:tcW w:w="7895" w:type="dxa"/>
            <w:gridSpan w:val="2"/>
            <w:vAlign w:val="center"/>
          </w:tcPr>
          <w:p w14:paraId="299AEBED">
            <w:pPr>
              <w:pStyle w:val="20"/>
              <w:spacing w:line="360" w:lineRule="auto"/>
              <w:jc w:val="both"/>
              <w:rPr>
                <w:color w:val="auto"/>
                <w:sz w:val="24"/>
                <w:szCs w:val="24"/>
                <w:highlight w:val="none"/>
              </w:rPr>
            </w:pPr>
            <w:r>
              <w:rPr>
                <w:color w:val="auto"/>
                <w:sz w:val="24"/>
                <w:szCs w:val="24"/>
                <w:highlight w:val="none"/>
              </w:rPr>
              <w:t>资格审查内容：须上传到“资格审查材料”中。</w:t>
            </w:r>
            <w:r>
              <w:rPr>
                <w:rFonts w:hint="eastAsia" w:ascii="宋体" w:hAnsi="宋体"/>
                <w:b/>
                <w:bCs/>
                <w:color w:val="auto"/>
                <w:sz w:val="24"/>
                <w:szCs w:val="24"/>
                <w:highlight w:val="none"/>
              </w:rPr>
              <w:t>开标后在采购人或采购代理机构审查投标文件的资格情况时，仅能查阅到“投标文件－资格审查材料”，故若投标人的资格审查材料中缺失相关材料或没有相关材料，将视为不符合招标文件资格要求。</w:t>
            </w:r>
          </w:p>
        </w:tc>
      </w:tr>
      <w:tr w14:paraId="52FDC9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 w:hRule="atLeast"/>
        </w:trPr>
        <w:tc>
          <w:tcPr>
            <w:tcW w:w="935" w:type="dxa"/>
            <w:vAlign w:val="center"/>
          </w:tcPr>
          <w:p w14:paraId="522BE54C">
            <w:pPr>
              <w:pStyle w:val="20"/>
              <w:spacing w:line="360" w:lineRule="auto"/>
              <w:jc w:val="center"/>
              <w:rPr>
                <w:color w:val="auto"/>
                <w:sz w:val="24"/>
                <w:szCs w:val="24"/>
                <w:highlight w:val="none"/>
              </w:rPr>
            </w:pPr>
            <w:r>
              <w:rPr>
                <w:color w:val="auto"/>
                <w:sz w:val="24"/>
                <w:szCs w:val="24"/>
                <w:highlight w:val="none"/>
              </w:rPr>
              <w:t>19</w:t>
            </w:r>
          </w:p>
        </w:tc>
        <w:tc>
          <w:tcPr>
            <w:tcW w:w="7895" w:type="dxa"/>
            <w:gridSpan w:val="2"/>
            <w:vAlign w:val="center"/>
          </w:tcPr>
          <w:p w14:paraId="79086B00">
            <w:pPr>
              <w:pStyle w:val="20"/>
              <w:spacing w:line="360" w:lineRule="auto"/>
              <w:jc w:val="both"/>
              <w:rPr>
                <w:color w:val="auto"/>
                <w:sz w:val="24"/>
                <w:szCs w:val="24"/>
                <w:highlight w:val="none"/>
              </w:rPr>
            </w:pPr>
            <w:r>
              <w:rPr>
                <w:color w:val="auto"/>
                <w:sz w:val="24"/>
                <w:szCs w:val="24"/>
                <w:highlight w:val="none"/>
              </w:rPr>
              <w:t>投标货币：人民币</w:t>
            </w:r>
          </w:p>
        </w:tc>
      </w:tr>
      <w:tr w14:paraId="73A00C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 w:hRule="atLeast"/>
        </w:trPr>
        <w:tc>
          <w:tcPr>
            <w:tcW w:w="935" w:type="dxa"/>
            <w:vAlign w:val="center"/>
          </w:tcPr>
          <w:p w14:paraId="6D242532">
            <w:pPr>
              <w:pStyle w:val="20"/>
              <w:spacing w:line="360" w:lineRule="auto"/>
              <w:jc w:val="center"/>
              <w:rPr>
                <w:color w:val="auto"/>
                <w:sz w:val="24"/>
                <w:szCs w:val="24"/>
                <w:highlight w:val="none"/>
              </w:rPr>
            </w:pPr>
            <w:r>
              <w:rPr>
                <w:color w:val="auto"/>
                <w:sz w:val="24"/>
                <w:szCs w:val="24"/>
                <w:highlight w:val="none"/>
              </w:rPr>
              <w:t>24.1</w:t>
            </w:r>
          </w:p>
        </w:tc>
        <w:tc>
          <w:tcPr>
            <w:tcW w:w="7895" w:type="dxa"/>
            <w:gridSpan w:val="2"/>
            <w:vAlign w:val="center"/>
          </w:tcPr>
          <w:p w14:paraId="1EB3D285">
            <w:pPr>
              <w:pStyle w:val="20"/>
              <w:spacing w:line="360" w:lineRule="auto"/>
              <w:jc w:val="both"/>
              <w:rPr>
                <w:color w:val="auto"/>
                <w:sz w:val="24"/>
                <w:szCs w:val="24"/>
                <w:highlight w:val="none"/>
              </w:rPr>
            </w:pPr>
            <w:r>
              <w:rPr>
                <w:b/>
                <w:color w:val="auto"/>
                <w:sz w:val="24"/>
                <w:szCs w:val="24"/>
                <w:highlight w:val="none"/>
              </w:rPr>
              <w:t>投标有效期</w:t>
            </w:r>
            <w:r>
              <w:rPr>
                <w:color w:val="auto"/>
                <w:sz w:val="24"/>
                <w:szCs w:val="24"/>
                <w:highlight w:val="none"/>
              </w:rPr>
              <w:t>：从投标截止之日起60天</w:t>
            </w:r>
          </w:p>
        </w:tc>
      </w:tr>
      <w:tr w14:paraId="100407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 w:hRule="atLeast"/>
        </w:trPr>
        <w:tc>
          <w:tcPr>
            <w:tcW w:w="935" w:type="dxa"/>
            <w:vAlign w:val="center"/>
          </w:tcPr>
          <w:p w14:paraId="5E166383">
            <w:pPr>
              <w:pStyle w:val="20"/>
              <w:spacing w:line="360" w:lineRule="auto"/>
              <w:jc w:val="center"/>
              <w:rPr>
                <w:color w:val="auto"/>
                <w:sz w:val="24"/>
                <w:szCs w:val="24"/>
                <w:highlight w:val="none"/>
              </w:rPr>
            </w:pPr>
            <w:r>
              <w:rPr>
                <w:color w:val="auto"/>
                <w:sz w:val="24"/>
                <w:szCs w:val="24"/>
                <w:highlight w:val="none"/>
              </w:rPr>
              <w:t>26.1</w:t>
            </w:r>
          </w:p>
        </w:tc>
        <w:tc>
          <w:tcPr>
            <w:tcW w:w="7895" w:type="dxa"/>
            <w:gridSpan w:val="2"/>
          </w:tcPr>
          <w:p w14:paraId="1BF48E4E">
            <w:pPr>
              <w:pStyle w:val="20"/>
              <w:spacing w:line="360" w:lineRule="auto"/>
              <w:jc w:val="both"/>
              <w:rPr>
                <w:color w:val="auto"/>
                <w:sz w:val="24"/>
                <w:szCs w:val="24"/>
                <w:highlight w:val="none"/>
              </w:rPr>
            </w:pPr>
            <w:r>
              <w:rPr>
                <w:color w:val="auto"/>
                <w:sz w:val="24"/>
                <w:szCs w:val="24"/>
                <w:highlight w:val="none"/>
              </w:rPr>
              <w:t>加密电子投标文件的上传：加密电子投标文件须在投标截止时间前通过河南省公共资源交易中心网（hnsggzyjy.henan.gov.cn）加密上传。投标人在投标截止时间后上传的投标文件，将被拒绝。</w:t>
            </w:r>
          </w:p>
        </w:tc>
      </w:tr>
      <w:tr w14:paraId="4368F1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 w:hRule="atLeast"/>
        </w:trPr>
        <w:tc>
          <w:tcPr>
            <w:tcW w:w="935" w:type="dxa"/>
            <w:vAlign w:val="center"/>
          </w:tcPr>
          <w:p w14:paraId="05A17A92">
            <w:pPr>
              <w:pStyle w:val="20"/>
              <w:spacing w:line="360" w:lineRule="auto"/>
              <w:jc w:val="center"/>
              <w:rPr>
                <w:color w:val="auto"/>
                <w:sz w:val="24"/>
                <w:szCs w:val="24"/>
                <w:highlight w:val="none"/>
              </w:rPr>
            </w:pPr>
            <w:r>
              <w:rPr>
                <w:color w:val="auto"/>
                <w:sz w:val="24"/>
                <w:szCs w:val="24"/>
                <w:highlight w:val="none"/>
              </w:rPr>
              <w:t>30.1</w:t>
            </w:r>
          </w:p>
        </w:tc>
        <w:tc>
          <w:tcPr>
            <w:tcW w:w="7895" w:type="dxa"/>
            <w:gridSpan w:val="2"/>
          </w:tcPr>
          <w:p w14:paraId="1EE7F32E">
            <w:pPr>
              <w:pStyle w:val="20"/>
              <w:spacing w:line="360" w:lineRule="auto"/>
              <w:jc w:val="both"/>
              <w:rPr>
                <w:color w:val="auto"/>
                <w:sz w:val="24"/>
                <w:szCs w:val="24"/>
                <w:highlight w:val="none"/>
              </w:rPr>
            </w:pPr>
            <w:r>
              <w:rPr>
                <w:color w:val="auto"/>
                <w:sz w:val="24"/>
                <w:szCs w:val="24"/>
                <w:highlight w:val="none"/>
              </w:rPr>
              <w:t>开标及解密方式：“远程不见面”开标方式，投标人无需到河南省公共资源交易中心现场参加开标会议。在投标截止时间前，投标人</w:t>
            </w:r>
            <w:r>
              <w:rPr>
                <w:rFonts w:hint="eastAsia"/>
                <w:color w:val="auto"/>
                <w:sz w:val="24"/>
                <w:szCs w:val="24"/>
                <w:highlight w:val="none"/>
              </w:rPr>
              <w:t>登录</w:t>
            </w:r>
            <w:r>
              <w:rPr>
                <w:color w:val="auto"/>
                <w:sz w:val="24"/>
                <w:szCs w:val="24"/>
                <w:highlight w:val="none"/>
              </w:rPr>
              <w:t>不见面开标大厅，在线准时参加开标活动并进行文件解密。未在规定时间内解密投标文件的投标人，其投标文件不予接受并退回。</w:t>
            </w:r>
          </w:p>
        </w:tc>
      </w:tr>
      <w:tr w14:paraId="7C14C9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 w:hRule="atLeast"/>
        </w:trPr>
        <w:tc>
          <w:tcPr>
            <w:tcW w:w="935" w:type="dxa"/>
            <w:vAlign w:val="center"/>
          </w:tcPr>
          <w:p w14:paraId="2C0FE60A">
            <w:pPr>
              <w:pStyle w:val="20"/>
              <w:spacing w:line="360" w:lineRule="auto"/>
              <w:jc w:val="center"/>
              <w:rPr>
                <w:color w:val="auto"/>
                <w:sz w:val="24"/>
                <w:szCs w:val="24"/>
                <w:highlight w:val="none"/>
              </w:rPr>
            </w:pPr>
            <w:r>
              <w:rPr>
                <w:color w:val="auto"/>
                <w:sz w:val="24"/>
                <w:szCs w:val="24"/>
                <w:highlight w:val="none"/>
              </w:rPr>
              <w:t>30.2</w:t>
            </w:r>
          </w:p>
        </w:tc>
        <w:tc>
          <w:tcPr>
            <w:tcW w:w="7895" w:type="dxa"/>
            <w:gridSpan w:val="2"/>
          </w:tcPr>
          <w:p w14:paraId="78F8CE71">
            <w:pPr>
              <w:pStyle w:val="20"/>
              <w:spacing w:line="360" w:lineRule="auto"/>
              <w:jc w:val="both"/>
              <w:rPr>
                <w:color w:val="auto"/>
                <w:sz w:val="24"/>
                <w:szCs w:val="24"/>
                <w:highlight w:val="none"/>
              </w:rPr>
            </w:pPr>
            <w:r>
              <w:rPr>
                <w:color w:val="auto"/>
                <w:sz w:val="24"/>
                <w:szCs w:val="24"/>
                <w:highlight w:val="none"/>
              </w:rPr>
              <w:t>远程开标大厅网址：河南省公共资源交易中心网（hnsggzyjy.henan.gov.cn）——不见面开标大厅。</w:t>
            </w:r>
          </w:p>
        </w:tc>
      </w:tr>
      <w:tr w14:paraId="7EA485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 w:hRule="atLeast"/>
        </w:trPr>
        <w:tc>
          <w:tcPr>
            <w:tcW w:w="935" w:type="dxa"/>
            <w:vAlign w:val="center"/>
          </w:tcPr>
          <w:p w14:paraId="448F7865">
            <w:pPr>
              <w:pStyle w:val="20"/>
              <w:spacing w:line="360" w:lineRule="auto"/>
              <w:jc w:val="center"/>
              <w:rPr>
                <w:color w:val="auto"/>
                <w:sz w:val="24"/>
                <w:szCs w:val="24"/>
                <w:highlight w:val="none"/>
              </w:rPr>
            </w:pPr>
            <w:r>
              <w:rPr>
                <w:color w:val="auto"/>
                <w:sz w:val="24"/>
                <w:szCs w:val="24"/>
                <w:highlight w:val="none"/>
              </w:rPr>
              <w:t>31.3</w:t>
            </w:r>
          </w:p>
        </w:tc>
        <w:tc>
          <w:tcPr>
            <w:tcW w:w="7895" w:type="dxa"/>
            <w:gridSpan w:val="2"/>
          </w:tcPr>
          <w:p w14:paraId="4F0AA550">
            <w:pPr>
              <w:pStyle w:val="20"/>
              <w:spacing w:line="360" w:lineRule="auto"/>
              <w:jc w:val="both"/>
              <w:rPr>
                <w:color w:val="auto"/>
                <w:sz w:val="24"/>
                <w:szCs w:val="24"/>
                <w:highlight w:val="none"/>
              </w:rPr>
            </w:pPr>
            <w:r>
              <w:rPr>
                <w:color w:val="auto"/>
                <w:sz w:val="24"/>
                <w:szCs w:val="24"/>
                <w:highlight w:val="none"/>
              </w:rPr>
              <w:t>采购人</w:t>
            </w:r>
            <w:r>
              <w:rPr>
                <w:rFonts w:hint="eastAsia"/>
                <w:color w:val="auto"/>
                <w:sz w:val="24"/>
                <w:szCs w:val="24"/>
                <w:highlight w:val="none"/>
              </w:rPr>
              <w:t>或代理机构</w:t>
            </w:r>
            <w:r>
              <w:rPr>
                <w:color w:val="auto"/>
                <w:sz w:val="24"/>
                <w:szCs w:val="24"/>
                <w:highlight w:val="none"/>
              </w:rPr>
              <w:t>依据以下标准对投标人的资格进行审查，有一项不符合审查标准的，该投标人资格为不合格。</w:t>
            </w:r>
          </w:p>
          <w:p w14:paraId="6674DA1B">
            <w:pPr>
              <w:pStyle w:val="20"/>
              <w:tabs>
                <w:tab w:val="left" w:pos="740"/>
              </w:tabs>
              <w:spacing w:line="360" w:lineRule="auto"/>
              <w:jc w:val="both"/>
              <w:rPr>
                <w:color w:val="auto"/>
                <w:sz w:val="24"/>
                <w:szCs w:val="24"/>
                <w:highlight w:val="none"/>
              </w:rPr>
            </w:pPr>
            <w:r>
              <w:rPr>
                <w:rFonts w:hint="eastAsia"/>
                <w:color w:val="auto"/>
                <w:sz w:val="24"/>
                <w:szCs w:val="24"/>
                <w:highlight w:val="none"/>
              </w:rPr>
              <w:t>（1）</w:t>
            </w:r>
            <w:r>
              <w:rPr>
                <w:color w:val="auto"/>
                <w:sz w:val="24"/>
                <w:szCs w:val="24"/>
                <w:highlight w:val="none"/>
              </w:rPr>
              <w:t>具有独立承担民事责任的能力（提供法人或者非法人组织的营业执照等证明文件或自然人的身份证明）；</w:t>
            </w:r>
          </w:p>
          <w:p w14:paraId="2BE03B2A">
            <w:pPr>
              <w:pStyle w:val="20"/>
              <w:tabs>
                <w:tab w:val="left" w:pos="743"/>
              </w:tabs>
              <w:spacing w:line="360" w:lineRule="auto"/>
              <w:jc w:val="both"/>
              <w:rPr>
                <w:color w:val="auto"/>
                <w:sz w:val="24"/>
                <w:szCs w:val="24"/>
                <w:highlight w:val="none"/>
              </w:rPr>
            </w:pPr>
            <w:r>
              <w:rPr>
                <w:rFonts w:hint="eastAsia"/>
                <w:color w:val="auto"/>
                <w:sz w:val="24"/>
                <w:szCs w:val="24"/>
                <w:highlight w:val="none"/>
              </w:rPr>
              <w:t>（2）</w:t>
            </w:r>
            <w:r>
              <w:rPr>
                <w:color w:val="auto"/>
                <w:sz w:val="24"/>
                <w:szCs w:val="24"/>
                <w:highlight w:val="none"/>
              </w:rPr>
              <w:t>具有良好的商业信誉和健全的财务会计管理制度（提供</w:t>
            </w:r>
            <w:r>
              <w:rPr>
                <w:rFonts w:hint="eastAsia"/>
                <w:color w:val="auto"/>
                <w:sz w:val="24"/>
                <w:szCs w:val="24"/>
                <w:highlight w:val="none"/>
              </w:rPr>
              <w:t>2025年度</w:t>
            </w:r>
            <w:r>
              <w:rPr>
                <w:color w:val="auto"/>
                <w:sz w:val="24"/>
                <w:szCs w:val="24"/>
                <w:highlight w:val="none"/>
              </w:rPr>
              <w:t>经审计的财务报告，如</w:t>
            </w:r>
            <w:r>
              <w:rPr>
                <w:rFonts w:hint="eastAsia"/>
                <w:color w:val="auto"/>
                <w:sz w:val="24"/>
                <w:szCs w:val="24"/>
                <w:highlight w:val="none"/>
              </w:rPr>
              <w:t>截止</w:t>
            </w:r>
            <w:r>
              <w:rPr>
                <w:color w:val="auto"/>
                <w:sz w:val="24"/>
                <w:szCs w:val="24"/>
                <w:highlight w:val="none"/>
              </w:rPr>
              <w:t>开标时间投标人成立时间不足要求时限的，须提供其开户银行出具的资信证明）；</w:t>
            </w:r>
          </w:p>
          <w:p w14:paraId="544A8FAD">
            <w:pPr>
              <w:pStyle w:val="20"/>
              <w:tabs>
                <w:tab w:val="left" w:pos="729"/>
              </w:tabs>
              <w:spacing w:line="360" w:lineRule="auto"/>
              <w:jc w:val="both"/>
              <w:rPr>
                <w:color w:val="auto"/>
                <w:sz w:val="24"/>
                <w:szCs w:val="24"/>
                <w:highlight w:val="none"/>
              </w:rPr>
            </w:pPr>
            <w:r>
              <w:rPr>
                <w:rFonts w:hint="eastAsia"/>
                <w:color w:val="auto"/>
                <w:sz w:val="24"/>
                <w:szCs w:val="24"/>
                <w:highlight w:val="none"/>
              </w:rPr>
              <w:t>（3）</w:t>
            </w:r>
            <w:r>
              <w:rPr>
                <w:color w:val="auto"/>
                <w:sz w:val="24"/>
                <w:szCs w:val="24"/>
                <w:highlight w:val="none"/>
              </w:rPr>
              <w:t>依法缴纳税收和依法缴纳社会保障资金的证明材料（提供投标截止时间前六个月</w:t>
            </w:r>
            <w:r>
              <w:rPr>
                <w:rFonts w:hint="eastAsia"/>
                <w:color w:val="auto"/>
                <w:sz w:val="24"/>
                <w:szCs w:val="24"/>
                <w:highlight w:val="none"/>
              </w:rPr>
              <w:t>内</w:t>
            </w:r>
            <w:r>
              <w:rPr>
                <w:color w:val="auto"/>
                <w:sz w:val="24"/>
                <w:szCs w:val="24"/>
                <w:highlight w:val="none"/>
              </w:rPr>
              <w:t>任意一个月的纳税证明和社保缴纳证明，依法免税或不需要缴纳社会保障资金的，应提供相应文件证明其依法免税或不需要缴纳）；</w:t>
            </w:r>
          </w:p>
          <w:p w14:paraId="4B76BC62">
            <w:pPr>
              <w:pStyle w:val="20"/>
              <w:tabs>
                <w:tab w:val="left" w:pos="729"/>
              </w:tabs>
              <w:spacing w:line="360" w:lineRule="auto"/>
              <w:jc w:val="both"/>
              <w:rPr>
                <w:color w:val="auto"/>
                <w:sz w:val="24"/>
                <w:szCs w:val="24"/>
                <w:highlight w:val="none"/>
              </w:rPr>
            </w:pPr>
            <w:r>
              <w:rPr>
                <w:rFonts w:hint="eastAsia"/>
                <w:color w:val="auto"/>
                <w:sz w:val="24"/>
                <w:szCs w:val="24"/>
                <w:highlight w:val="none"/>
              </w:rPr>
              <w:t>（4）</w:t>
            </w:r>
            <w:r>
              <w:rPr>
                <w:color w:val="auto"/>
                <w:sz w:val="24"/>
                <w:szCs w:val="24"/>
                <w:highlight w:val="none"/>
              </w:rPr>
              <w:t>具有履行合同所必需的设备和专业技术能力（提供承诺书）；</w:t>
            </w:r>
          </w:p>
          <w:p w14:paraId="2525E1F5">
            <w:pPr>
              <w:pStyle w:val="20"/>
              <w:tabs>
                <w:tab w:val="left" w:pos="729"/>
              </w:tabs>
              <w:spacing w:line="360" w:lineRule="auto"/>
              <w:jc w:val="both"/>
              <w:rPr>
                <w:color w:val="auto"/>
                <w:sz w:val="24"/>
                <w:szCs w:val="24"/>
                <w:highlight w:val="none"/>
              </w:rPr>
            </w:pPr>
            <w:r>
              <w:rPr>
                <w:rFonts w:hint="eastAsia"/>
                <w:color w:val="auto"/>
                <w:sz w:val="24"/>
                <w:szCs w:val="24"/>
                <w:highlight w:val="none"/>
              </w:rPr>
              <w:t>（5）</w:t>
            </w:r>
            <w:r>
              <w:rPr>
                <w:color w:val="auto"/>
                <w:sz w:val="24"/>
                <w:szCs w:val="24"/>
                <w:highlight w:val="none"/>
              </w:rPr>
              <w:t>参加政府采购活动前3年内在经营活动中没有重大违法记录的声明</w:t>
            </w:r>
            <w:r>
              <w:rPr>
                <w:rFonts w:hint="eastAsia"/>
                <w:color w:val="auto"/>
                <w:sz w:val="24"/>
                <w:szCs w:val="24"/>
                <w:highlight w:val="none"/>
              </w:rPr>
              <w:t>；</w:t>
            </w:r>
          </w:p>
          <w:p w14:paraId="395A2C20">
            <w:pPr>
              <w:pStyle w:val="20"/>
              <w:tabs>
                <w:tab w:val="left" w:pos="729"/>
              </w:tabs>
              <w:spacing w:line="360" w:lineRule="auto"/>
              <w:jc w:val="both"/>
              <w:rPr>
                <w:color w:val="auto"/>
                <w:sz w:val="24"/>
                <w:szCs w:val="24"/>
                <w:highlight w:val="none"/>
              </w:rPr>
            </w:pPr>
            <w:r>
              <w:rPr>
                <w:rFonts w:hint="eastAsia"/>
                <w:color w:val="auto"/>
                <w:sz w:val="24"/>
                <w:szCs w:val="24"/>
                <w:highlight w:val="none"/>
              </w:rPr>
              <w:t>（6）</w:t>
            </w:r>
            <w:r>
              <w:rPr>
                <w:color w:val="auto"/>
                <w:sz w:val="24"/>
                <w:szCs w:val="24"/>
                <w:highlight w:val="none"/>
              </w:rPr>
              <w:t>信用查询记录符合招标文件规定</w:t>
            </w:r>
            <w:r>
              <w:rPr>
                <w:rFonts w:hint="eastAsia"/>
                <w:color w:val="auto"/>
                <w:sz w:val="24"/>
                <w:szCs w:val="24"/>
                <w:highlight w:val="none"/>
              </w:rPr>
              <w:t>；</w:t>
            </w:r>
          </w:p>
          <w:p w14:paraId="535BA356">
            <w:pPr>
              <w:pStyle w:val="20"/>
              <w:tabs>
                <w:tab w:val="left" w:pos="729"/>
              </w:tabs>
              <w:spacing w:line="360" w:lineRule="auto"/>
              <w:jc w:val="both"/>
              <w:rPr>
                <w:color w:val="auto"/>
                <w:sz w:val="24"/>
                <w:szCs w:val="24"/>
                <w:highlight w:val="none"/>
              </w:rPr>
            </w:pPr>
            <w:r>
              <w:rPr>
                <w:rFonts w:hint="eastAsia"/>
                <w:color w:val="auto"/>
                <w:sz w:val="24"/>
                <w:szCs w:val="24"/>
                <w:highlight w:val="none"/>
              </w:rPr>
              <w:t>（7）</w:t>
            </w:r>
            <w:r>
              <w:rPr>
                <w:color w:val="auto"/>
                <w:sz w:val="24"/>
                <w:szCs w:val="24"/>
                <w:highlight w:val="none"/>
              </w:rPr>
              <w:t>不同投标人单位负责人不是同一人或者未存在直接控股、管理关系；</w:t>
            </w:r>
          </w:p>
          <w:p w14:paraId="7D9600AA">
            <w:pPr>
              <w:pStyle w:val="20"/>
              <w:spacing w:line="360" w:lineRule="auto"/>
              <w:jc w:val="both"/>
              <w:rPr>
                <w:color w:val="auto"/>
                <w:sz w:val="24"/>
                <w:szCs w:val="24"/>
                <w:highlight w:val="none"/>
              </w:rPr>
            </w:pPr>
            <w:r>
              <w:rPr>
                <w:rFonts w:hint="eastAsia"/>
                <w:color w:val="auto"/>
                <w:sz w:val="24"/>
                <w:szCs w:val="24"/>
                <w:highlight w:val="none"/>
              </w:rPr>
              <w:t>（8）为采购项目提供整体设计、规范编制或者项目管理、监理、检测等服务的供应商，不得再参加该采购项目的其他采购活动</w:t>
            </w:r>
            <w:r>
              <w:rPr>
                <w:color w:val="auto"/>
                <w:sz w:val="24"/>
                <w:szCs w:val="24"/>
                <w:highlight w:val="none"/>
              </w:rPr>
              <w:t>。</w:t>
            </w:r>
          </w:p>
        </w:tc>
      </w:tr>
      <w:tr w14:paraId="2EC686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 w:hRule="atLeast"/>
        </w:trPr>
        <w:tc>
          <w:tcPr>
            <w:tcW w:w="942" w:type="dxa"/>
            <w:gridSpan w:val="2"/>
            <w:vAlign w:val="center"/>
          </w:tcPr>
          <w:p w14:paraId="08A53026">
            <w:pPr>
              <w:pStyle w:val="20"/>
              <w:spacing w:line="360" w:lineRule="auto"/>
              <w:ind w:right="24"/>
              <w:jc w:val="both"/>
              <w:rPr>
                <w:color w:val="auto"/>
                <w:sz w:val="24"/>
                <w:szCs w:val="24"/>
                <w:highlight w:val="none"/>
              </w:rPr>
            </w:pPr>
            <w:r>
              <w:rPr>
                <w:color w:val="auto"/>
                <w:sz w:val="24"/>
                <w:szCs w:val="24"/>
                <w:highlight w:val="none"/>
              </w:rPr>
              <w:t>31.4</w:t>
            </w:r>
          </w:p>
        </w:tc>
        <w:tc>
          <w:tcPr>
            <w:tcW w:w="7888" w:type="dxa"/>
          </w:tcPr>
          <w:p w14:paraId="4434C9E4">
            <w:pPr>
              <w:pStyle w:val="20"/>
              <w:spacing w:line="360" w:lineRule="auto"/>
              <w:ind w:left="26"/>
              <w:jc w:val="both"/>
              <w:rPr>
                <w:color w:val="auto"/>
                <w:sz w:val="24"/>
                <w:szCs w:val="24"/>
                <w:highlight w:val="none"/>
              </w:rPr>
            </w:pPr>
            <w:r>
              <w:rPr>
                <w:rFonts w:hint="eastAsia"/>
                <w:b/>
                <w:color w:val="auto"/>
                <w:sz w:val="24"/>
                <w:szCs w:val="24"/>
                <w:highlight w:val="none"/>
              </w:rPr>
              <w:t>（1）</w:t>
            </w:r>
            <w:r>
              <w:rPr>
                <w:b/>
                <w:color w:val="auto"/>
                <w:sz w:val="24"/>
                <w:szCs w:val="24"/>
                <w:highlight w:val="none"/>
              </w:rPr>
              <w:t>信用查询</w:t>
            </w:r>
            <w:r>
              <w:rPr>
                <w:rFonts w:hint="eastAsia"/>
                <w:b/>
                <w:color w:val="auto"/>
                <w:sz w:val="24"/>
                <w:szCs w:val="24"/>
                <w:highlight w:val="none"/>
              </w:rPr>
              <w:t>：</w:t>
            </w:r>
            <w:r>
              <w:rPr>
                <w:rFonts w:hint="eastAsia"/>
                <w:color w:val="auto"/>
                <w:sz w:val="24"/>
                <w:szCs w:val="24"/>
                <w:highlight w:val="none"/>
              </w:rPr>
              <w:t>采购人或代理机构</w:t>
            </w:r>
            <w:r>
              <w:rPr>
                <w:color w:val="auto"/>
                <w:sz w:val="24"/>
                <w:szCs w:val="24"/>
                <w:highlight w:val="none"/>
              </w:rPr>
              <w:t>根据《关于在政府采购活动中查询及使用信用记录有关问题的通知》</w:t>
            </w:r>
            <w:r>
              <w:rPr>
                <w:rFonts w:hint="eastAsia"/>
                <w:color w:val="auto"/>
                <w:sz w:val="24"/>
                <w:szCs w:val="24"/>
                <w:highlight w:val="none"/>
              </w:rPr>
              <w:t>（</w:t>
            </w:r>
            <w:r>
              <w:rPr>
                <w:color w:val="auto"/>
                <w:sz w:val="24"/>
                <w:szCs w:val="24"/>
                <w:highlight w:val="none"/>
              </w:rPr>
              <w:t>财库〔2016〕125 号</w:t>
            </w:r>
            <w:r>
              <w:rPr>
                <w:rFonts w:hint="eastAsia"/>
                <w:color w:val="auto"/>
                <w:sz w:val="24"/>
                <w:szCs w:val="24"/>
                <w:highlight w:val="none"/>
              </w:rPr>
              <w:t>）</w:t>
            </w:r>
            <w:r>
              <w:rPr>
                <w:color w:val="auto"/>
                <w:sz w:val="24"/>
                <w:szCs w:val="24"/>
                <w:highlight w:val="none"/>
              </w:rPr>
              <w:t>的要求，通过“信用中国”网站</w:t>
            </w:r>
            <w:r>
              <w:rPr>
                <w:rFonts w:hint="eastAsia"/>
                <w:color w:val="auto"/>
                <w:sz w:val="24"/>
                <w:szCs w:val="24"/>
                <w:highlight w:val="none"/>
              </w:rPr>
              <w:t>（</w:t>
            </w:r>
            <w:r>
              <w:rPr>
                <w:color w:val="auto"/>
                <w:sz w:val="24"/>
                <w:szCs w:val="24"/>
                <w:highlight w:val="none"/>
              </w:rPr>
              <w:t>www.creditchina.gov.cn</w:t>
            </w:r>
            <w:r>
              <w:rPr>
                <w:rFonts w:hint="eastAsia"/>
                <w:color w:val="auto"/>
                <w:sz w:val="24"/>
                <w:szCs w:val="24"/>
                <w:highlight w:val="none"/>
              </w:rPr>
              <w:t>）</w:t>
            </w:r>
            <w:r>
              <w:rPr>
                <w:color w:val="auto"/>
                <w:sz w:val="24"/>
                <w:szCs w:val="24"/>
                <w:highlight w:val="none"/>
              </w:rPr>
              <w:t>、“中国政府采购网”网站</w:t>
            </w:r>
            <w:r>
              <w:rPr>
                <w:rFonts w:hint="eastAsia"/>
                <w:color w:val="auto"/>
                <w:sz w:val="24"/>
                <w:szCs w:val="24"/>
                <w:highlight w:val="none"/>
              </w:rPr>
              <w:t>（</w:t>
            </w:r>
            <w:r>
              <w:rPr>
                <w:color w:val="auto"/>
                <w:sz w:val="24"/>
                <w:szCs w:val="24"/>
                <w:highlight w:val="none"/>
              </w:rPr>
              <w:t>www.ccgp.gov.cn</w:t>
            </w:r>
            <w:r>
              <w:rPr>
                <w:rFonts w:hint="eastAsia"/>
                <w:color w:val="auto"/>
                <w:sz w:val="24"/>
                <w:szCs w:val="24"/>
                <w:highlight w:val="none"/>
              </w:rPr>
              <w:t>）</w:t>
            </w:r>
            <w:r>
              <w:rPr>
                <w:color w:val="auto"/>
                <w:sz w:val="24"/>
                <w:szCs w:val="24"/>
                <w:highlight w:val="none"/>
              </w:rPr>
              <w:t>等渠道查询投标人当天的信用记录，拒绝列入失信被执行人名单、重大税收违法失信主体、政府采购严重违法失信行为记录名单中的</w:t>
            </w:r>
            <w:r>
              <w:rPr>
                <w:rFonts w:hint="eastAsia"/>
                <w:color w:val="auto"/>
                <w:sz w:val="24"/>
                <w:szCs w:val="24"/>
                <w:highlight w:val="none"/>
              </w:rPr>
              <w:t>投标</w:t>
            </w:r>
            <w:r>
              <w:rPr>
                <w:color w:val="auto"/>
                <w:sz w:val="24"/>
                <w:szCs w:val="24"/>
                <w:highlight w:val="none"/>
              </w:rPr>
              <w:t>供应商参加本项目的采购活动。</w:t>
            </w:r>
          </w:p>
          <w:p w14:paraId="3832107D">
            <w:pPr>
              <w:pStyle w:val="20"/>
              <w:spacing w:line="360" w:lineRule="auto"/>
              <w:ind w:left="26" w:right="9"/>
              <w:jc w:val="both"/>
              <w:rPr>
                <w:color w:val="auto"/>
                <w:sz w:val="24"/>
                <w:szCs w:val="24"/>
                <w:highlight w:val="none"/>
              </w:rPr>
            </w:pPr>
            <w:r>
              <w:rPr>
                <w:rFonts w:hint="eastAsia"/>
                <w:color w:val="auto"/>
                <w:sz w:val="24"/>
                <w:szCs w:val="24"/>
                <w:highlight w:val="none"/>
              </w:rPr>
              <w:t>（2）</w:t>
            </w:r>
            <w:r>
              <w:rPr>
                <w:color w:val="auto"/>
                <w:sz w:val="24"/>
                <w:szCs w:val="24"/>
                <w:highlight w:val="none"/>
              </w:rPr>
              <w:t>组成联合体参加政府采购活动的</w:t>
            </w:r>
            <w:r>
              <w:rPr>
                <w:rFonts w:hint="eastAsia"/>
                <w:color w:val="auto"/>
                <w:sz w:val="24"/>
                <w:szCs w:val="24"/>
                <w:highlight w:val="none"/>
              </w:rPr>
              <w:t>，</w:t>
            </w:r>
            <w:r>
              <w:rPr>
                <w:color w:val="auto"/>
                <w:sz w:val="24"/>
                <w:szCs w:val="24"/>
                <w:highlight w:val="none"/>
              </w:rPr>
              <w:t>将对所有联合体成员进行信用记录查询</w:t>
            </w:r>
            <w:r>
              <w:rPr>
                <w:rFonts w:hint="eastAsia"/>
                <w:color w:val="auto"/>
                <w:sz w:val="24"/>
                <w:szCs w:val="24"/>
                <w:highlight w:val="none"/>
              </w:rPr>
              <w:t>，</w:t>
            </w:r>
            <w:r>
              <w:rPr>
                <w:color w:val="auto"/>
                <w:sz w:val="24"/>
                <w:szCs w:val="24"/>
                <w:highlight w:val="none"/>
              </w:rPr>
              <w:t>联合体成员存在不良信用记录的</w:t>
            </w:r>
            <w:r>
              <w:rPr>
                <w:rFonts w:hint="eastAsia"/>
                <w:color w:val="auto"/>
                <w:sz w:val="24"/>
                <w:szCs w:val="24"/>
                <w:highlight w:val="none"/>
              </w:rPr>
              <w:t>，</w:t>
            </w:r>
            <w:r>
              <w:rPr>
                <w:color w:val="auto"/>
                <w:sz w:val="24"/>
                <w:szCs w:val="24"/>
                <w:highlight w:val="none"/>
              </w:rPr>
              <w:t>视同联合体存在不良信用记录。</w:t>
            </w:r>
          </w:p>
          <w:p w14:paraId="26DE0730">
            <w:pPr>
              <w:pStyle w:val="20"/>
              <w:spacing w:line="360" w:lineRule="auto"/>
              <w:ind w:left="26"/>
              <w:jc w:val="both"/>
              <w:rPr>
                <w:color w:val="auto"/>
                <w:sz w:val="24"/>
                <w:szCs w:val="24"/>
                <w:highlight w:val="none"/>
              </w:rPr>
            </w:pPr>
            <w:r>
              <w:rPr>
                <w:rFonts w:hint="eastAsia"/>
                <w:b/>
                <w:color w:val="auto"/>
                <w:sz w:val="24"/>
                <w:szCs w:val="24"/>
                <w:highlight w:val="none"/>
              </w:rPr>
              <w:t>（3）</w:t>
            </w:r>
            <w:r>
              <w:rPr>
                <w:b/>
                <w:color w:val="auto"/>
                <w:sz w:val="24"/>
                <w:szCs w:val="24"/>
                <w:highlight w:val="none"/>
              </w:rPr>
              <w:t>查询及记录方式：</w:t>
            </w:r>
            <w:r>
              <w:rPr>
                <w:rFonts w:hint="eastAsia"/>
                <w:color w:val="auto"/>
                <w:sz w:val="24"/>
                <w:szCs w:val="24"/>
                <w:highlight w:val="none"/>
              </w:rPr>
              <w:t>采购人或代理机构</w:t>
            </w:r>
            <w:r>
              <w:rPr>
                <w:color w:val="auto"/>
                <w:sz w:val="24"/>
                <w:szCs w:val="24"/>
                <w:highlight w:val="none"/>
              </w:rPr>
              <w:t>将查询网页打印、存档备查。投标人不良信用记录以</w:t>
            </w:r>
            <w:r>
              <w:rPr>
                <w:rFonts w:hint="eastAsia"/>
                <w:color w:val="auto"/>
                <w:sz w:val="24"/>
                <w:szCs w:val="24"/>
                <w:highlight w:val="none"/>
              </w:rPr>
              <w:t>采购人或代理机构</w:t>
            </w:r>
            <w:r>
              <w:rPr>
                <w:color w:val="auto"/>
                <w:sz w:val="24"/>
                <w:szCs w:val="24"/>
                <w:highlight w:val="none"/>
              </w:rPr>
              <w:t>查询结果为准，采购人查询之后，网站信息发生的任何变更均不再作为评审依据，投标人自行提供的与网站信息不一致的其他证明材料亦不作为评审依据。</w:t>
            </w:r>
          </w:p>
        </w:tc>
      </w:tr>
      <w:tr w14:paraId="510544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 w:hRule="atLeast"/>
        </w:trPr>
        <w:tc>
          <w:tcPr>
            <w:tcW w:w="935" w:type="dxa"/>
            <w:vAlign w:val="center"/>
          </w:tcPr>
          <w:p w14:paraId="4E19356F">
            <w:pPr>
              <w:pStyle w:val="20"/>
              <w:spacing w:line="360" w:lineRule="auto"/>
              <w:ind w:right="24"/>
              <w:jc w:val="center"/>
              <w:rPr>
                <w:color w:val="auto"/>
                <w:sz w:val="24"/>
                <w:szCs w:val="24"/>
                <w:highlight w:val="none"/>
              </w:rPr>
            </w:pPr>
            <w:r>
              <w:rPr>
                <w:color w:val="auto"/>
                <w:sz w:val="24"/>
                <w:szCs w:val="24"/>
                <w:highlight w:val="none"/>
              </w:rPr>
              <w:t>32.1</w:t>
            </w:r>
          </w:p>
        </w:tc>
        <w:tc>
          <w:tcPr>
            <w:tcW w:w="7895" w:type="dxa"/>
            <w:gridSpan w:val="2"/>
            <w:vAlign w:val="center"/>
          </w:tcPr>
          <w:p w14:paraId="3823D092">
            <w:pPr>
              <w:pStyle w:val="20"/>
              <w:spacing w:line="360" w:lineRule="auto"/>
              <w:ind w:left="26" w:right="9"/>
              <w:jc w:val="both"/>
              <w:rPr>
                <w:color w:val="auto"/>
                <w:sz w:val="24"/>
                <w:szCs w:val="24"/>
                <w:highlight w:val="none"/>
              </w:rPr>
            </w:pPr>
            <w:r>
              <w:rPr>
                <w:color w:val="auto"/>
                <w:sz w:val="24"/>
                <w:szCs w:val="24"/>
                <w:highlight w:val="none"/>
              </w:rPr>
              <w:t>评标委员会由采购人代表和评审专家组成，成员人数为</w:t>
            </w:r>
            <w:r>
              <w:rPr>
                <w:rFonts w:hint="eastAsia"/>
                <w:color w:val="auto"/>
                <w:sz w:val="24"/>
                <w:szCs w:val="24"/>
                <w:highlight w:val="none"/>
              </w:rPr>
              <w:t>5</w:t>
            </w:r>
            <w:r>
              <w:rPr>
                <w:color w:val="auto"/>
                <w:sz w:val="24"/>
                <w:szCs w:val="24"/>
                <w:highlight w:val="none"/>
              </w:rPr>
              <w:t>人，其中评审专家不得少于成员总数的三分之二。</w:t>
            </w:r>
          </w:p>
        </w:tc>
      </w:tr>
      <w:tr w14:paraId="63B6A9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 w:hRule="atLeast"/>
        </w:trPr>
        <w:tc>
          <w:tcPr>
            <w:tcW w:w="935" w:type="dxa"/>
            <w:vAlign w:val="center"/>
          </w:tcPr>
          <w:p w14:paraId="521F3688">
            <w:pPr>
              <w:pStyle w:val="20"/>
              <w:spacing w:line="360" w:lineRule="auto"/>
              <w:ind w:right="24"/>
              <w:jc w:val="center"/>
              <w:rPr>
                <w:color w:val="auto"/>
                <w:sz w:val="24"/>
                <w:szCs w:val="24"/>
                <w:highlight w:val="none"/>
              </w:rPr>
            </w:pPr>
            <w:r>
              <w:rPr>
                <w:color w:val="auto"/>
                <w:sz w:val="24"/>
                <w:szCs w:val="24"/>
                <w:highlight w:val="none"/>
              </w:rPr>
              <w:t>35.4</w:t>
            </w:r>
          </w:p>
        </w:tc>
        <w:tc>
          <w:tcPr>
            <w:tcW w:w="7895" w:type="dxa"/>
            <w:gridSpan w:val="2"/>
          </w:tcPr>
          <w:p w14:paraId="127BE1F1">
            <w:pPr>
              <w:pStyle w:val="20"/>
              <w:spacing w:line="360" w:lineRule="auto"/>
              <w:ind w:left="26"/>
              <w:jc w:val="both"/>
              <w:rPr>
                <w:color w:val="auto"/>
                <w:sz w:val="24"/>
                <w:szCs w:val="24"/>
                <w:highlight w:val="none"/>
              </w:rPr>
            </w:pPr>
            <w:r>
              <w:rPr>
                <w:color w:val="auto"/>
                <w:sz w:val="24"/>
                <w:szCs w:val="24"/>
                <w:highlight w:val="none"/>
              </w:rPr>
              <w:t>节能环保政策</w:t>
            </w:r>
          </w:p>
          <w:p w14:paraId="3597888F">
            <w:pPr>
              <w:pStyle w:val="20"/>
              <w:numPr>
                <w:ilvl w:val="0"/>
                <w:numId w:val="2"/>
              </w:numPr>
              <w:spacing w:line="360" w:lineRule="auto"/>
              <w:ind w:right="10" w:firstLine="0"/>
              <w:jc w:val="both"/>
              <w:rPr>
                <w:color w:val="auto"/>
                <w:sz w:val="24"/>
                <w:szCs w:val="24"/>
                <w:highlight w:val="none"/>
              </w:rPr>
            </w:pPr>
            <w:r>
              <w:rPr>
                <w:color w:val="auto"/>
                <w:sz w:val="24"/>
                <w:szCs w:val="24"/>
                <w:highlight w:val="none"/>
              </w:rPr>
              <w:t>本项目若含有节能产品政府采购品目清单内政府强制采购产品，投标人须选用</w:t>
            </w:r>
            <w:r>
              <w:rPr>
                <w:b/>
                <w:bCs/>
                <w:color w:val="auto"/>
                <w:sz w:val="24"/>
                <w:szCs w:val="24"/>
                <w:highlight w:val="none"/>
              </w:rPr>
              <w:t>国家确定的认证机构认证的处于有效期之内</w:t>
            </w:r>
            <w:r>
              <w:rPr>
                <w:color w:val="auto"/>
                <w:sz w:val="24"/>
                <w:szCs w:val="24"/>
                <w:highlight w:val="none"/>
              </w:rPr>
              <w:t>的政府强制采购节能产品。</w:t>
            </w:r>
          </w:p>
          <w:p w14:paraId="115E9DA9">
            <w:pPr>
              <w:pStyle w:val="20"/>
              <w:numPr>
                <w:ilvl w:val="0"/>
                <w:numId w:val="2"/>
              </w:numPr>
              <w:spacing w:line="360" w:lineRule="auto"/>
              <w:ind w:right="9" w:firstLine="0"/>
              <w:jc w:val="both"/>
              <w:rPr>
                <w:color w:val="auto"/>
                <w:sz w:val="24"/>
                <w:szCs w:val="24"/>
                <w:highlight w:val="none"/>
              </w:rPr>
            </w:pPr>
            <w:r>
              <w:rPr>
                <w:color w:val="auto"/>
                <w:sz w:val="24"/>
                <w:szCs w:val="24"/>
                <w:highlight w:val="none"/>
              </w:rPr>
              <w:t>本项目若含有节能产品、环境标志产品政府采购品目清单内政府优先采购产品，对选用国家确定的认证机构认证的处于有效期之内的政府优先采购节能产品（政府强制采购产品除外）、环境标志产品的，</w:t>
            </w:r>
            <w:r>
              <w:rPr>
                <w:b/>
                <w:bCs/>
                <w:color w:val="auto"/>
                <w:sz w:val="24"/>
                <w:szCs w:val="24"/>
                <w:highlight w:val="none"/>
              </w:rPr>
              <w:t>在评标时予以优先采购</w:t>
            </w:r>
            <w:r>
              <w:rPr>
                <w:color w:val="auto"/>
                <w:sz w:val="24"/>
                <w:szCs w:val="24"/>
                <w:highlight w:val="none"/>
              </w:rPr>
              <w:t>。</w:t>
            </w:r>
          </w:p>
          <w:p w14:paraId="3C1A9AEF">
            <w:pPr>
              <w:pStyle w:val="20"/>
              <w:numPr>
                <w:ilvl w:val="0"/>
                <w:numId w:val="2"/>
              </w:numPr>
              <w:spacing w:line="360" w:lineRule="auto"/>
              <w:ind w:left="0" w:firstLine="0"/>
              <w:jc w:val="both"/>
              <w:rPr>
                <w:color w:val="auto"/>
                <w:sz w:val="24"/>
                <w:szCs w:val="24"/>
                <w:highlight w:val="none"/>
              </w:rPr>
            </w:pPr>
            <w:r>
              <w:rPr>
                <w:color w:val="auto"/>
                <w:sz w:val="24"/>
                <w:szCs w:val="24"/>
                <w:highlight w:val="none"/>
              </w:rPr>
              <w:t>投标人应提供国家确定的认证机构出具的处于有效期之内的节能产品、环境标志产品认证证书。</w:t>
            </w:r>
          </w:p>
        </w:tc>
      </w:tr>
      <w:tr w14:paraId="4FC62E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 w:hRule="atLeast"/>
        </w:trPr>
        <w:tc>
          <w:tcPr>
            <w:tcW w:w="935" w:type="dxa"/>
            <w:vAlign w:val="center"/>
          </w:tcPr>
          <w:p w14:paraId="7193612F">
            <w:pPr>
              <w:pStyle w:val="20"/>
              <w:spacing w:line="360" w:lineRule="auto"/>
              <w:ind w:right="24"/>
              <w:jc w:val="center"/>
              <w:rPr>
                <w:color w:val="auto"/>
                <w:sz w:val="24"/>
                <w:szCs w:val="24"/>
                <w:highlight w:val="none"/>
              </w:rPr>
            </w:pPr>
            <w:r>
              <w:rPr>
                <w:color w:val="auto"/>
                <w:sz w:val="24"/>
                <w:szCs w:val="24"/>
                <w:highlight w:val="none"/>
              </w:rPr>
              <w:t>35.6</w:t>
            </w:r>
          </w:p>
        </w:tc>
        <w:tc>
          <w:tcPr>
            <w:tcW w:w="7895" w:type="dxa"/>
            <w:gridSpan w:val="2"/>
          </w:tcPr>
          <w:p w14:paraId="4286FDDF">
            <w:pPr>
              <w:pStyle w:val="20"/>
              <w:spacing w:line="360" w:lineRule="auto"/>
              <w:ind w:left="26" w:right="9"/>
              <w:jc w:val="both"/>
              <w:rPr>
                <w:color w:val="auto"/>
                <w:sz w:val="24"/>
                <w:szCs w:val="24"/>
                <w:highlight w:val="none"/>
              </w:rPr>
            </w:pPr>
            <w:r>
              <w:rPr>
                <w:color w:val="auto"/>
                <w:sz w:val="24"/>
                <w:szCs w:val="24"/>
                <w:highlight w:val="none"/>
              </w:rPr>
              <w:t>投标人承诺商品包装符合《商品包装政府采购需求标准（试行）》，快递包装符合《快递包装政府采购需求标准（试行）》的，在评标时优先采购。</w:t>
            </w:r>
          </w:p>
        </w:tc>
      </w:tr>
      <w:tr w14:paraId="6BFD6E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 w:hRule="atLeast"/>
        </w:trPr>
        <w:tc>
          <w:tcPr>
            <w:tcW w:w="935" w:type="dxa"/>
            <w:shd w:val="clear" w:color="auto" w:fill="auto"/>
            <w:vAlign w:val="center"/>
          </w:tcPr>
          <w:p w14:paraId="00FF3431">
            <w:pPr>
              <w:spacing w:line="360" w:lineRule="auto"/>
              <w:jc w:val="center"/>
              <w:rPr>
                <w:color w:val="auto"/>
                <w:sz w:val="24"/>
                <w:szCs w:val="24"/>
                <w:highlight w:val="none"/>
              </w:rPr>
            </w:pPr>
            <w:r>
              <w:rPr>
                <w:rFonts w:hint="eastAsia"/>
                <w:color w:val="auto"/>
                <w:sz w:val="24"/>
                <w:szCs w:val="24"/>
                <w:highlight w:val="none"/>
              </w:rPr>
              <w:t>35.8</w:t>
            </w:r>
          </w:p>
        </w:tc>
        <w:tc>
          <w:tcPr>
            <w:tcW w:w="7895" w:type="dxa"/>
            <w:gridSpan w:val="2"/>
            <w:shd w:val="clear" w:color="auto" w:fill="auto"/>
            <w:vAlign w:val="center"/>
          </w:tcPr>
          <w:p w14:paraId="5981DF9E">
            <w:pPr>
              <w:pStyle w:val="20"/>
              <w:spacing w:line="360" w:lineRule="auto"/>
              <w:ind w:left="26" w:right="-130"/>
              <w:jc w:val="both"/>
              <w:rPr>
                <w:color w:val="auto"/>
                <w:sz w:val="24"/>
                <w:szCs w:val="24"/>
                <w:highlight w:val="none"/>
              </w:rPr>
            </w:pPr>
            <w:r>
              <w:rPr>
                <w:rFonts w:hint="eastAsia"/>
                <w:color w:val="auto"/>
                <w:sz w:val="24"/>
                <w:szCs w:val="24"/>
                <w:highlight w:val="none"/>
              </w:rPr>
              <w:t xml:space="preserve">支持本国产品标准及相关政策 </w:t>
            </w:r>
            <w:r>
              <w:rPr>
                <w:color w:val="auto"/>
                <w:sz w:val="24"/>
                <w:szCs w:val="24"/>
                <w:highlight w:val="none"/>
              </w:rPr>
              <w:t xml:space="preserve">  </w:t>
            </w:r>
            <w:r>
              <w:rPr>
                <w:rFonts w:hint="eastAsia"/>
                <w:color w:val="auto"/>
                <w:sz w:val="24"/>
                <w:szCs w:val="24"/>
                <w:highlight w:val="none"/>
              </w:rPr>
              <w:t>☑是</w:t>
            </w:r>
            <w:r>
              <w:rPr>
                <w:color w:val="auto"/>
                <w:sz w:val="24"/>
                <w:szCs w:val="24"/>
                <w:highlight w:val="none"/>
              </w:rPr>
              <w:t xml:space="preserve"> □否</w:t>
            </w:r>
          </w:p>
          <w:p w14:paraId="18312568">
            <w:pPr>
              <w:pStyle w:val="12"/>
              <w:spacing w:before="120" w:beforeAutospacing="0" w:after="120" w:afterAutospacing="0" w:line="360" w:lineRule="auto"/>
              <w:ind w:left="100" w:right="150" w:firstLine="420"/>
              <w:textAlignment w:val="baseline"/>
              <w:rPr>
                <w:rFonts w:ascii="仿宋" w:hAnsi="仿宋"/>
                <w:color w:val="auto"/>
                <w:szCs w:val="24"/>
                <w:highlight w:val="none"/>
              </w:rPr>
            </w:pPr>
            <w:r>
              <w:rPr>
                <w:rFonts w:hint="eastAsia" w:ascii="仿宋" w:hAnsi="仿宋"/>
                <w:color w:val="auto"/>
                <w:szCs w:val="24"/>
                <w:highlight w:val="none"/>
              </w:rPr>
              <w:t>政府采购活动中既有本国产品又有非本国产品参与竞争的，依法对本国产品给予价格评审优惠，对本国产品的报价给予20%的价格扣除，用扣除后的价格参与评审。</w:t>
            </w:r>
          </w:p>
          <w:p w14:paraId="023FB7F7">
            <w:pPr>
              <w:pStyle w:val="12"/>
              <w:spacing w:before="120" w:beforeAutospacing="0" w:after="120" w:afterAutospacing="0" w:line="360" w:lineRule="auto"/>
              <w:ind w:left="100" w:right="150" w:firstLine="420"/>
              <w:textAlignment w:val="baseline"/>
              <w:rPr>
                <w:rFonts w:ascii="仿宋" w:hAnsi="仿宋"/>
                <w:color w:val="auto"/>
                <w:szCs w:val="24"/>
                <w:highlight w:val="none"/>
              </w:rPr>
            </w:pPr>
            <w:r>
              <w:rPr>
                <w:rFonts w:hint="eastAsia" w:ascii="仿宋" w:hAnsi="仿宋"/>
                <w:color w:val="auto"/>
                <w:szCs w:val="24"/>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666C837E">
            <w:pPr>
              <w:pStyle w:val="20"/>
              <w:spacing w:line="360" w:lineRule="auto"/>
              <w:ind w:left="26" w:right="-130" w:firstLine="480" w:firstLineChars="200"/>
              <w:jc w:val="both"/>
              <w:rPr>
                <w:color w:val="auto"/>
                <w:sz w:val="24"/>
                <w:szCs w:val="24"/>
                <w:highlight w:val="none"/>
              </w:rPr>
            </w:pPr>
            <w:r>
              <w:rPr>
                <w:rFonts w:hint="eastAsia"/>
                <w:color w:val="auto"/>
                <w:sz w:val="24"/>
                <w:szCs w:val="24"/>
                <w:highlight w:val="none"/>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tc>
      </w:tr>
      <w:tr w14:paraId="5230B4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 w:hRule="atLeast"/>
        </w:trPr>
        <w:tc>
          <w:tcPr>
            <w:tcW w:w="935" w:type="dxa"/>
            <w:vAlign w:val="center"/>
          </w:tcPr>
          <w:p w14:paraId="7495B1D2">
            <w:pPr>
              <w:pStyle w:val="20"/>
              <w:spacing w:line="360" w:lineRule="auto"/>
              <w:ind w:right="24"/>
              <w:jc w:val="center"/>
              <w:rPr>
                <w:color w:val="auto"/>
                <w:sz w:val="24"/>
                <w:szCs w:val="24"/>
                <w:highlight w:val="none"/>
              </w:rPr>
            </w:pPr>
            <w:r>
              <w:rPr>
                <w:color w:val="auto"/>
                <w:sz w:val="24"/>
                <w:szCs w:val="24"/>
                <w:highlight w:val="none"/>
              </w:rPr>
              <w:t>36.1</w:t>
            </w:r>
          </w:p>
        </w:tc>
        <w:tc>
          <w:tcPr>
            <w:tcW w:w="7895" w:type="dxa"/>
            <w:gridSpan w:val="2"/>
          </w:tcPr>
          <w:p w14:paraId="7C602C57">
            <w:pPr>
              <w:pStyle w:val="20"/>
              <w:spacing w:line="360" w:lineRule="auto"/>
              <w:ind w:left="26" w:right="-130"/>
              <w:jc w:val="both"/>
              <w:rPr>
                <w:b/>
                <w:color w:val="auto"/>
                <w:sz w:val="24"/>
                <w:szCs w:val="24"/>
                <w:highlight w:val="none"/>
              </w:rPr>
            </w:pPr>
            <w:r>
              <w:rPr>
                <w:b/>
                <w:color w:val="auto"/>
                <w:sz w:val="24"/>
                <w:szCs w:val="24"/>
                <w:highlight w:val="none"/>
              </w:rPr>
              <w:t>中小企业扶持：</w:t>
            </w:r>
            <w:r>
              <w:rPr>
                <w:color w:val="auto"/>
                <w:sz w:val="24"/>
                <w:szCs w:val="24"/>
                <w:highlight w:val="none"/>
              </w:rPr>
              <w:t xml:space="preserve"> </w:t>
            </w:r>
          </w:p>
          <w:p w14:paraId="2CBFED64">
            <w:pPr>
              <w:spacing w:line="360" w:lineRule="auto"/>
              <w:ind w:firstLine="482" w:firstLineChars="200"/>
              <w:jc w:val="both"/>
              <w:rPr>
                <w:b/>
                <w:bCs/>
                <w:color w:val="auto"/>
                <w:sz w:val="24"/>
                <w:szCs w:val="24"/>
                <w:highlight w:val="none"/>
              </w:rPr>
            </w:pPr>
            <w:r>
              <w:rPr>
                <w:rFonts w:hint="eastAsia"/>
                <w:b/>
                <w:color w:val="auto"/>
                <w:sz w:val="24"/>
                <w:szCs w:val="24"/>
                <w:highlight w:val="none"/>
              </w:rPr>
              <w:t>本项目专门面向中小企业采购。</w:t>
            </w:r>
            <w:r>
              <w:rPr>
                <w:color w:val="auto"/>
                <w:sz w:val="24"/>
                <w:szCs w:val="24"/>
                <w:highlight w:val="none"/>
              </w:rPr>
              <w:t>提供的货物全部由符合政策要求的</w:t>
            </w:r>
            <w:r>
              <w:rPr>
                <w:rFonts w:hint="eastAsia"/>
                <w:color w:val="auto"/>
                <w:sz w:val="24"/>
                <w:szCs w:val="24"/>
                <w:highlight w:val="none"/>
              </w:rPr>
              <w:t>中小微企业制造，投标人须提供</w:t>
            </w:r>
            <w:r>
              <w:rPr>
                <w:color w:val="auto"/>
                <w:sz w:val="24"/>
                <w:szCs w:val="24"/>
                <w:highlight w:val="none"/>
              </w:rPr>
              <w:t>《中小企业声明函》</w:t>
            </w:r>
            <w:r>
              <w:rPr>
                <w:rFonts w:hint="eastAsia"/>
                <w:color w:val="auto"/>
                <w:sz w:val="24"/>
                <w:szCs w:val="24"/>
                <w:highlight w:val="none"/>
              </w:rPr>
              <w:t>（</w:t>
            </w:r>
            <w:r>
              <w:rPr>
                <w:color w:val="auto"/>
                <w:sz w:val="24"/>
                <w:szCs w:val="24"/>
                <w:highlight w:val="none"/>
              </w:rPr>
              <w:t>第五章 投标文件格式</w:t>
            </w:r>
            <w:r>
              <w:rPr>
                <w:rFonts w:hint="eastAsia"/>
                <w:color w:val="auto"/>
                <w:sz w:val="24"/>
                <w:szCs w:val="24"/>
                <w:highlight w:val="none"/>
              </w:rPr>
              <w:t>），</w:t>
            </w:r>
            <w:r>
              <w:rPr>
                <w:rFonts w:hint="eastAsia"/>
                <w:b/>
                <w:bCs/>
                <w:color w:val="auto"/>
                <w:sz w:val="24"/>
                <w:szCs w:val="24"/>
                <w:highlight w:val="none"/>
              </w:rPr>
              <w:t>投标人报价不再进行价格扣除。（本项目不适用）</w:t>
            </w:r>
          </w:p>
          <w:p w14:paraId="138D6E73">
            <w:pPr>
              <w:spacing w:line="360" w:lineRule="auto"/>
              <w:ind w:firstLine="482" w:firstLineChars="200"/>
              <w:jc w:val="both"/>
              <w:rPr>
                <w:b/>
                <w:color w:val="auto"/>
                <w:sz w:val="24"/>
                <w:szCs w:val="24"/>
                <w:highlight w:val="none"/>
              </w:rPr>
            </w:pPr>
            <w:r>
              <w:rPr>
                <w:b/>
                <w:color w:val="auto"/>
                <w:sz w:val="24"/>
                <w:szCs w:val="24"/>
                <w:highlight w:val="none"/>
              </w:rPr>
              <w:t>本项目非专门面向中小企业采购。</w:t>
            </w:r>
          </w:p>
          <w:p w14:paraId="5A02CD39">
            <w:pPr>
              <w:spacing w:line="360" w:lineRule="auto"/>
              <w:ind w:firstLine="480" w:firstLineChars="200"/>
              <w:jc w:val="both"/>
              <w:rPr>
                <w:color w:val="auto"/>
                <w:sz w:val="24"/>
                <w:szCs w:val="24"/>
                <w:highlight w:val="none"/>
              </w:rPr>
            </w:pPr>
            <w:r>
              <w:rPr>
                <w:color w:val="auto"/>
                <w:sz w:val="24"/>
                <w:szCs w:val="24"/>
                <w:highlight w:val="none"/>
              </w:rPr>
              <w:t>对</w:t>
            </w:r>
            <w:r>
              <w:rPr>
                <w:rFonts w:hint="eastAsia"/>
                <w:color w:val="auto"/>
                <w:sz w:val="24"/>
                <w:szCs w:val="24"/>
                <w:highlight w:val="none"/>
              </w:rPr>
              <w:t>符合政策要求的</w:t>
            </w:r>
            <w:r>
              <w:rPr>
                <w:color w:val="auto"/>
                <w:sz w:val="24"/>
                <w:szCs w:val="24"/>
                <w:highlight w:val="none"/>
              </w:rPr>
              <w:t>小型或微型企业的投标人报价给予</w:t>
            </w:r>
            <w:r>
              <w:rPr>
                <w:color w:val="auto"/>
                <w:sz w:val="24"/>
                <w:szCs w:val="24"/>
                <w:highlight w:val="none"/>
                <w:u w:val="single"/>
              </w:rPr>
              <w:t>10</w:t>
            </w:r>
            <w:r>
              <w:rPr>
                <w:color w:val="auto"/>
                <w:sz w:val="24"/>
                <w:szCs w:val="24"/>
                <w:highlight w:val="none"/>
              </w:rPr>
              <w:t>%的扣除，用扣除后的价格参与评审。小型和微型企业的认定根据投标人提供的《中小企业声明函》（第五章 投标文件格式）进行。监狱企业视同小型、微型企业，投标人应提供省级及以上监狱管理局、戒毒管理局（含新疆生产建设兵团）出具的属于监狱企业的证明文件</w:t>
            </w:r>
            <w:r>
              <w:rPr>
                <w:rFonts w:hint="eastAsia"/>
                <w:color w:val="auto"/>
                <w:sz w:val="24"/>
                <w:szCs w:val="24"/>
                <w:highlight w:val="none"/>
              </w:rPr>
              <w:t>及《监狱企业声明函》；</w:t>
            </w:r>
            <w:r>
              <w:rPr>
                <w:color w:val="auto"/>
                <w:sz w:val="24"/>
                <w:szCs w:val="24"/>
                <w:highlight w:val="none"/>
              </w:rPr>
              <w:t>残疾人福利性单位视同小型、微型企业，残疾人福利性单位须符合《财政部民政部中国残疾人联合会关于促进残疾人就业政府采购政策的通知》（财库〔2017〕141号）要求，提供《残疾人福利性单位声明函》。</w:t>
            </w:r>
          </w:p>
          <w:p w14:paraId="3887F0E1">
            <w:pPr>
              <w:pStyle w:val="6"/>
              <w:spacing w:line="360" w:lineRule="auto"/>
              <w:jc w:val="both"/>
              <w:rPr>
                <w:color w:val="auto"/>
                <w:sz w:val="24"/>
                <w:szCs w:val="24"/>
                <w:highlight w:val="none"/>
              </w:rPr>
            </w:pPr>
            <w:r>
              <w:rPr>
                <w:b/>
                <w:color w:val="auto"/>
                <w:sz w:val="24"/>
                <w:szCs w:val="24"/>
                <w:highlight w:val="none"/>
              </w:rPr>
              <w:t>本采购项目所属行业：</w:t>
            </w:r>
            <w:r>
              <w:rPr>
                <w:rFonts w:hint="eastAsia"/>
                <w:b/>
                <w:color w:val="auto"/>
                <w:sz w:val="24"/>
                <w:szCs w:val="24"/>
                <w:highlight w:val="none"/>
              </w:rPr>
              <w:t>工业</w:t>
            </w:r>
            <w:r>
              <w:rPr>
                <w:rFonts w:hint="eastAsia"/>
                <w:color w:val="auto"/>
                <w:sz w:val="24"/>
                <w:szCs w:val="24"/>
                <w:highlight w:val="none"/>
                <w:lang w:val="zh-CN"/>
              </w:rPr>
              <w:t>（按采购标的对应的中小企业划分标准所属行业划分）</w:t>
            </w:r>
          </w:p>
        </w:tc>
      </w:tr>
      <w:tr w14:paraId="120E4D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 w:hRule="atLeast"/>
        </w:trPr>
        <w:tc>
          <w:tcPr>
            <w:tcW w:w="935" w:type="dxa"/>
            <w:vAlign w:val="center"/>
          </w:tcPr>
          <w:p w14:paraId="317C9397">
            <w:pPr>
              <w:pStyle w:val="20"/>
              <w:spacing w:line="360" w:lineRule="auto"/>
              <w:ind w:right="24"/>
              <w:jc w:val="center"/>
              <w:rPr>
                <w:color w:val="auto"/>
                <w:sz w:val="24"/>
                <w:szCs w:val="24"/>
                <w:highlight w:val="none"/>
              </w:rPr>
            </w:pPr>
            <w:r>
              <w:rPr>
                <w:color w:val="auto"/>
                <w:sz w:val="24"/>
                <w:szCs w:val="24"/>
                <w:highlight w:val="none"/>
              </w:rPr>
              <w:t>37.1</w:t>
            </w:r>
          </w:p>
        </w:tc>
        <w:tc>
          <w:tcPr>
            <w:tcW w:w="7895" w:type="dxa"/>
            <w:gridSpan w:val="2"/>
          </w:tcPr>
          <w:p w14:paraId="1336C3A7">
            <w:pPr>
              <w:pStyle w:val="20"/>
              <w:spacing w:line="360" w:lineRule="auto"/>
              <w:ind w:left="26"/>
              <w:jc w:val="both"/>
              <w:rPr>
                <w:b/>
                <w:color w:val="auto"/>
                <w:sz w:val="24"/>
                <w:szCs w:val="24"/>
                <w:highlight w:val="none"/>
              </w:rPr>
            </w:pPr>
            <w:r>
              <w:rPr>
                <w:b/>
                <w:color w:val="auto"/>
                <w:sz w:val="24"/>
                <w:szCs w:val="24"/>
                <w:highlight w:val="none"/>
              </w:rPr>
              <w:t>评标方法：综合评分法</w:t>
            </w:r>
            <w:r>
              <w:rPr>
                <w:rFonts w:hint="eastAsia"/>
                <w:b/>
                <w:color w:val="auto"/>
                <w:sz w:val="24"/>
                <w:szCs w:val="24"/>
                <w:highlight w:val="none"/>
              </w:rPr>
              <w:t>，详见第七章评标方法。</w:t>
            </w:r>
          </w:p>
          <w:p w14:paraId="36FC8F32">
            <w:pPr>
              <w:pStyle w:val="20"/>
              <w:spacing w:line="360" w:lineRule="auto"/>
              <w:ind w:left="26" w:right="12"/>
              <w:jc w:val="both"/>
              <w:rPr>
                <w:color w:val="auto"/>
                <w:sz w:val="24"/>
                <w:szCs w:val="24"/>
                <w:highlight w:val="none"/>
              </w:rPr>
            </w:pPr>
            <w:r>
              <w:rPr>
                <w:color w:val="auto"/>
                <w:sz w:val="24"/>
                <w:szCs w:val="24"/>
                <w:highlight w:val="none"/>
              </w:rPr>
              <w:t>评标委员会对满足招标文件全部实质性要求的投标文件，按照招标文件规定的评审因素的量化指标进行评审打分，以评审得分从高到低顺序确定中标候选人。（如评审得分相同的，按投标报价由低到高顺序排列。评审得分且投标报价相同的并列）</w:t>
            </w:r>
          </w:p>
        </w:tc>
      </w:tr>
      <w:tr w14:paraId="25B6D1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 w:hRule="atLeast"/>
        </w:trPr>
        <w:tc>
          <w:tcPr>
            <w:tcW w:w="935" w:type="dxa"/>
            <w:vAlign w:val="center"/>
          </w:tcPr>
          <w:p w14:paraId="49BF12C4">
            <w:pPr>
              <w:pStyle w:val="20"/>
              <w:spacing w:line="360" w:lineRule="auto"/>
              <w:jc w:val="center"/>
              <w:rPr>
                <w:color w:val="auto"/>
                <w:sz w:val="24"/>
                <w:szCs w:val="24"/>
                <w:highlight w:val="none"/>
              </w:rPr>
            </w:pPr>
            <w:r>
              <w:rPr>
                <w:color w:val="auto"/>
                <w:sz w:val="24"/>
                <w:szCs w:val="24"/>
                <w:highlight w:val="none"/>
              </w:rPr>
              <w:t>38</w:t>
            </w:r>
          </w:p>
        </w:tc>
        <w:tc>
          <w:tcPr>
            <w:tcW w:w="7895" w:type="dxa"/>
            <w:gridSpan w:val="2"/>
            <w:vAlign w:val="center"/>
          </w:tcPr>
          <w:p w14:paraId="423FD40D">
            <w:pPr>
              <w:pStyle w:val="20"/>
              <w:spacing w:line="360" w:lineRule="auto"/>
              <w:jc w:val="both"/>
              <w:rPr>
                <w:b/>
                <w:color w:val="auto"/>
                <w:sz w:val="24"/>
                <w:szCs w:val="24"/>
                <w:highlight w:val="none"/>
              </w:rPr>
            </w:pPr>
            <w:r>
              <w:rPr>
                <w:b/>
                <w:color w:val="auto"/>
                <w:sz w:val="24"/>
                <w:szCs w:val="24"/>
                <w:highlight w:val="none"/>
              </w:rPr>
              <w:t>推荐中标候选人的数量：3 名</w:t>
            </w:r>
          </w:p>
        </w:tc>
      </w:tr>
      <w:tr w14:paraId="2D5AF0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 w:hRule="atLeast"/>
        </w:trPr>
        <w:tc>
          <w:tcPr>
            <w:tcW w:w="935" w:type="dxa"/>
            <w:vAlign w:val="center"/>
          </w:tcPr>
          <w:p w14:paraId="7188B4B0">
            <w:pPr>
              <w:pStyle w:val="20"/>
              <w:spacing w:line="360" w:lineRule="auto"/>
              <w:jc w:val="center"/>
              <w:rPr>
                <w:color w:val="auto"/>
                <w:sz w:val="24"/>
                <w:szCs w:val="24"/>
                <w:highlight w:val="none"/>
              </w:rPr>
            </w:pPr>
            <w:r>
              <w:rPr>
                <w:color w:val="auto"/>
                <w:sz w:val="24"/>
                <w:szCs w:val="24"/>
                <w:highlight w:val="none"/>
              </w:rPr>
              <w:t>41.1</w:t>
            </w:r>
          </w:p>
        </w:tc>
        <w:tc>
          <w:tcPr>
            <w:tcW w:w="7895" w:type="dxa"/>
            <w:gridSpan w:val="2"/>
            <w:vAlign w:val="center"/>
          </w:tcPr>
          <w:p w14:paraId="2488C0D8">
            <w:pPr>
              <w:pStyle w:val="20"/>
              <w:spacing w:line="360" w:lineRule="auto"/>
              <w:jc w:val="both"/>
              <w:rPr>
                <w:color w:val="auto"/>
                <w:sz w:val="24"/>
                <w:szCs w:val="24"/>
                <w:highlight w:val="none"/>
              </w:rPr>
            </w:pPr>
            <w:r>
              <w:rPr>
                <w:color w:val="auto"/>
                <w:sz w:val="24"/>
                <w:szCs w:val="24"/>
                <w:highlight w:val="none"/>
              </w:rPr>
              <w:t>中标结果公告媒介：</w:t>
            </w:r>
            <w:r>
              <w:rPr>
                <w:rFonts w:hint="eastAsia"/>
                <w:color w:val="auto"/>
                <w:sz w:val="24"/>
                <w:szCs w:val="24"/>
                <w:highlight w:val="none"/>
              </w:rPr>
              <w:t>同招标公告发布媒介</w:t>
            </w:r>
          </w:p>
        </w:tc>
      </w:tr>
      <w:tr w14:paraId="298951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 w:hRule="atLeast"/>
        </w:trPr>
        <w:tc>
          <w:tcPr>
            <w:tcW w:w="935" w:type="dxa"/>
            <w:vAlign w:val="center"/>
          </w:tcPr>
          <w:p w14:paraId="14C9CDD3">
            <w:pPr>
              <w:pStyle w:val="20"/>
              <w:spacing w:line="360" w:lineRule="auto"/>
              <w:ind w:right="26"/>
              <w:jc w:val="center"/>
              <w:rPr>
                <w:color w:val="auto"/>
                <w:sz w:val="24"/>
                <w:szCs w:val="24"/>
                <w:highlight w:val="none"/>
              </w:rPr>
            </w:pPr>
            <w:r>
              <w:rPr>
                <w:color w:val="auto"/>
                <w:sz w:val="24"/>
                <w:szCs w:val="24"/>
                <w:highlight w:val="none"/>
              </w:rPr>
              <w:t>44</w:t>
            </w:r>
          </w:p>
        </w:tc>
        <w:tc>
          <w:tcPr>
            <w:tcW w:w="7895" w:type="dxa"/>
            <w:gridSpan w:val="2"/>
          </w:tcPr>
          <w:p w14:paraId="510E380E">
            <w:pPr>
              <w:pStyle w:val="20"/>
              <w:spacing w:line="360" w:lineRule="auto"/>
              <w:ind w:left="26"/>
              <w:jc w:val="both"/>
              <w:rPr>
                <w:color w:val="auto"/>
                <w:sz w:val="24"/>
                <w:szCs w:val="24"/>
                <w:highlight w:val="none"/>
              </w:rPr>
            </w:pPr>
            <w:r>
              <w:rPr>
                <w:color w:val="auto"/>
                <w:sz w:val="24"/>
                <w:szCs w:val="24"/>
                <w:highlight w:val="none"/>
              </w:rPr>
              <w:t>数量调整范围：采购人需追加与合同标的相同的货物的，在不改变合同</w:t>
            </w:r>
            <w:r>
              <w:rPr>
                <w:rFonts w:hint="eastAsia"/>
                <w:color w:val="auto"/>
                <w:sz w:val="24"/>
                <w:szCs w:val="24"/>
                <w:highlight w:val="none"/>
              </w:rPr>
              <w:t>其他</w:t>
            </w:r>
            <w:r>
              <w:rPr>
                <w:color w:val="auto"/>
                <w:sz w:val="24"/>
                <w:szCs w:val="24"/>
                <w:highlight w:val="none"/>
              </w:rPr>
              <w:t>条款的前提下，可以与投标人签订补充合同，但所有补充合同的采购金额不得超过原合同金额的百分之十。</w:t>
            </w:r>
          </w:p>
        </w:tc>
      </w:tr>
      <w:tr w14:paraId="7528AC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 w:hRule="atLeast"/>
        </w:trPr>
        <w:tc>
          <w:tcPr>
            <w:tcW w:w="935" w:type="dxa"/>
            <w:vAlign w:val="center"/>
          </w:tcPr>
          <w:p w14:paraId="1414ABE0">
            <w:pPr>
              <w:pStyle w:val="20"/>
              <w:spacing w:line="360" w:lineRule="auto"/>
              <w:ind w:right="24"/>
              <w:jc w:val="center"/>
              <w:rPr>
                <w:color w:val="auto"/>
                <w:sz w:val="24"/>
                <w:szCs w:val="24"/>
                <w:highlight w:val="none"/>
              </w:rPr>
            </w:pPr>
            <w:r>
              <w:rPr>
                <w:color w:val="auto"/>
                <w:sz w:val="24"/>
                <w:szCs w:val="24"/>
                <w:highlight w:val="none"/>
              </w:rPr>
              <w:t>46</w:t>
            </w:r>
          </w:p>
        </w:tc>
        <w:tc>
          <w:tcPr>
            <w:tcW w:w="7895" w:type="dxa"/>
            <w:gridSpan w:val="2"/>
            <w:vAlign w:val="center"/>
          </w:tcPr>
          <w:p w14:paraId="781267E5">
            <w:pPr>
              <w:pStyle w:val="20"/>
              <w:spacing w:line="360" w:lineRule="auto"/>
              <w:ind w:left="28"/>
              <w:jc w:val="both"/>
              <w:rPr>
                <w:color w:val="auto"/>
                <w:sz w:val="24"/>
                <w:szCs w:val="24"/>
                <w:highlight w:val="none"/>
              </w:rPr>
            </w:pPr>
            <w:r>
              <w:rPr>
                <w:color w:val="auto"/>
                <w:sz w:val="24"/>
                <w:szCs w:val="24"/>
                <w:highlight w:val="none"/>
              </w:rPr>
              <w:t>履约保证金：</w:t>
            </w:r>
            <w:r>
              <w:rPr>
                <w:rFonts w:hint="eastAsia"/>
                <w:color w:val="auto"/>
                <w:sz w:val="24"/>
                <w:szCs w:val="24"/>
                <w:highlight w:val="none"/>
              </w:rPr>
              <w:t>详见招标文件“合同条款及格式”</w:t>
            </w:r>
          </w:p>
        </w:tc>
      </w:tr>
      <w:tr w14:paraId="1331F5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 w:hRule="atLeast"/>
        </w:trPr>
        <w:tc>
          <w:tcPr>
            <w:tcW w:w="935" w:type="dxa"/>
            <w:vAlign w:val="center"/>
          </w:tcPr>
          <w:p w14:paraId="347D3B22">
            <w:pPr>
              <w:pStyle w:val="20"/>
              <w:spacing w:line="360" w:lineRule="auto"/>
              <w:ind w:left="40" w:right="24"/>
              <w:jc w:val="center"/>
              <w:rPr>
                <w:color w:val="auto"/>
                <w:sz w:val="24"/>
                <w:szCs w:val="24"/>
                <w:highlight w:val="none"/>
              </w:rPr>
            </w:pPr>
            <w:r>
              <w:rPr>
                <w:rFonts w:hint="eastAsia"/>
                <w:color w:val="auto"/>
                <w:sz w:val="24"/>
                <w:szCs w:val="24"/>
                <w:highlight w:val="none"/>
              </w:rPr>
              <w:t>49</w:t>
            </w:r>
          </w:p>
        </w:tc>
        <w:tc>
          <w:tcPr>
            <w:tcW w:w="7895" w:type="dxa"/>
            <w:gridSpan w:val="2"/>
          </w:tcPr>
          <w:p w14:paraId="34512D6E">
            <w:pPr>
              <w:widowControl/>
              <w:spacing w:line="360" w:lineRule="auto"/>
              <w:rPr>
                <w:color w:val="auto"/>
                <w:sz w:val="24"/>
                <w:szCs w:val="24"/>
                <w:highlight w:val="none"/>
                <w:lang w:val="zh-CN"/>
              </w:rPr>
            </w:pPr>
            <w:r>
              <w:rPr>
                <w:color w:val="auto"/>
                <w:sz w:val="24"/>
                <w:szCs w:val="24"/>
                <w:highlight w:val="none"/>
              </w:rPr>
              <w:t>招标代理费：</w:t>
            </w:r>
            <w:r>
              <w:rPr>
                <w:rFonts w:hint="eastAsia"/>
                <w:color w:val="auto"/>
                <w:sz w:val="24"/>
                <w:szCs w:val="24"/>
                <w:highlight w:val="none"/>
                <w:lang w:val="zh-CN"/>
              </w:rPr>
              <w:t>参照《河南省招标代理服务收费指导意见》豫招协〔2023〕2号文的规定向中标（成交）供应商收取中标（成交）服务费。以项目的</w:t>
            </w:r>
            <w:r>
              <w:rPr>
                <w:rFonts w:hint="eastAsia"/>
                <w:color w:val="auto"/>
                <w:sz w:val="24"/>
                <w:szCs w:val="24"/>
                <w:highlight w:val="none"/>
              </w:rPr>
              <w:t>中标</w:t>
            </w:r>
            <w:r>
              <w:rPr>
                <w:rFonts w:hint="eastAsia"/>
                <w:color w:val="auto"/>
                <w:sz w:val="24"/>
                <w:szCs w:val="24"/>
                <w:highlight w:val="none"/>
                <w:lang w:val="zh-CN"/>
              </w:rPr>
              <w:t>金额作为收费基数，不足五千按五千计取。中标（成交）供应商在领取中标（成交）通知书时须将代理服务费转账至以下账户：</w:t>
            </w:r>
          </w:p>
          <w:p w14:paraId="6181B116">
            <w:pPr>
              <w:widowControl/>
              <w:spacing w:line="360" w:lineRule="auto"/>
              <w:rPr>
                <w:color w:val="auto"/>
                <w:sz w:val="24"/>
                <w:szCs w:val="24"/>
                <w:highlight w:val="none"/>
                <w:lang w:val="zh-CN"/>
              </w:rPr>
            </w:pPr>
            <w:r>
              <w:rPr>
                <w:rFonts w:hint="eastAsia"/>
                <w:color w:val="auto"/>
                <w:sz w:val="24"/>
                <w:szCs w:val="24"/>
                <w:highlight w:val="none"/>
                <w:lang w:val="zh-CN"/>
              </w:rPr>
              <w:t>名称：中鼎誉润工程咨询有限公司</w:t>
            </w:r>
          </w:p>
          <w:p w14:paraId="60ACA3D7">
            <w:pPr>
              <w:widowControl/>
              <w:spacing w:line="360" w:lineRule="auto"/>
              <w:rPr>
                <w:color w:val="auto"/>
                <w:sz w:val="24"/>
                <w:szCs w:val="24"/>
                <w:highlight w:val="none"/>
                <w:lang w:val="zh-CN"/>
              </w:rPr>
            </w:pPr>
            <w:r>
              <w:rPr>
                <w:rFonts w:hint="eastAsia"/>
                <w:color w:val="auto"/>
                <w:sz w:val="24"/>
                <w:szCs w:val="24"/>
                <w:highlight w:val="none"/>
                <w:lang w:val="zh-CN"/>
              </w:rPr>
              <w:t>开户行：交通银行郑州百花路支行</w:t>
            </w:r>
          </w:p>
          <w:p w14:paraId="34FC3CDF">
            <w:pPr>
              <w:widowControl/>
              <w:spacing w:line="360" w:lineRule="auto"/>
              <w:rPr>
                <w:color w:val="auto"/>
                <w:sz w:val="24"/>
                <w:szCs w:val="24"/>
                <w:highlight w:val="none"/>
                <w:lang w:val="zh-CN"/>
              </w:rPr>
            </w:pPr>
            <w:r>
              <w:rPr>
                <w:rFonts w:hint="eastAsia"/>
                <w:color w:val="auto"/>
                <w:sz w:val="24"/>
                <w:szCs w:val="24"/>
                <w:highlight w:val="none"/>
                <w:lang w:val="zh-CN"/>
              </w:rPr>
              <w:t>账户：4110 6040 0018 1704 55025</w:t>
            </w:r>
          </w:p>
          <w:p w14:paraId="0E83AA05">
            <w:pPr>
              <w:widowControl/>
              <w:spacing w:line="360" w:lineRule="auto"/>
              <w:rPr>
                <w:bCs/>
                <w:color w:val="auto"/>
                <w:sz w:val="24"/>
                <w:szCs w:val="24"/>
                <w:highlight w:val="none"/>
              </w:rPr>
            </w:pPr>
            <w:r>
              <w:rPr>
                <w:rFonts w:hint="eastAsia"/>
                <w:color w:val="auto"/>
                <w:sz w:val="24"/>
                <w:szCs w:val="24"/>
                <w:highlight w:val="none"/>
                <w:lang w:val="zh-CN"/>
              </w:rPr>
              <w:t>电汇备注：“豫财招标采购-2026-998代理服务费”</w:t>
            </w:r>
          </w:p>
        </w:tc>
      </w:tr>
      <w:tr w14:paraId="404AA0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 w:hRule="atLeast"/>
        </w:trPr>
        <w:tc>
          <w:tcPr>
            <w:tcW w:w="935" w:type="dxa"/>
            <w:vAlign w:val="center"/>
          </w:tcPr>
          <w:p w14:paraId="7EA43C83">
            <w:pPr>
              <w:pStyle w:val="20"/>
              <w:spacing w:line="360" w:lineRule="auto"/>
              <w:ind w:right="24"/>
              <w:jc w:val="center"/>
              <w:rPr>
                <w:color w:val="auto"/>
                <w:sz w:val="24"/>
                <w:szCs w:val="24"/>
                <w:highlight w:val="none"/>
              </w:rPr>
            </w:pPr>
            <w:r>
              <w:rPr>
                <w:rFonts w:hint="eastAsia"/>
                <w:color w:val="auto"/>
                <w:sz w:val="24"/>
                <w:szCs w:val="24"/>
                <w:highlight w:val="none"/>
              </w:rPr>
              <w:t>50</w:t>
            </w:r>
            <w:r>
              <w:rPr>
                <w:color w:val="auto"/>
                <w:sz w:val="24"/>
                <w:szCs w:val="24"/>
                <w:highlight w:val="none"/>
              </w:rPr>
              <w:t>.2</w:t>
            </w:r>
          </w:p>
        </w:tc>
        <w:tc>
          <w:tcPr>
            <w:tcW w:w="7895" w:type="dxa"/>
            <w:gridSpan w:val="2"/>
          </w:tcPr>
          <w:p w14:paraId="7DB267F2">
            <w:pPr>
              <w:pStyle w:val="20"/>
              <w:spacing w:line="360" w:lineRule="auto"/>
              <w:ind w:left="26" w:right="274"/>
              <w:jc w:val="both"/>
              <w:rPr>
                <w:b/>
                <w:color w:val="auto"/>
                <w:sz w:val="24"/>
                <w:szCs w:val="24"/>
                <w:highlight w:val="none"/>
              </w:rPr>
            </w:pPr>
            <w:r>
              <w:rPr>
                <w:color w:val="auto"/>
                <w:sz w:val="24"/>
                <w:szCs w:val="24"/>
                <w:highlight w:val="none"/>
              </w:rPr>
              <w:t>投标人应在法定质疑期内针对同一采购程序环节的质疑次数：</w:t>
            </w:r>
            <w:r>
              <w:rPr>
                <w:b/>
                <w:color w:val="auto"/>
                <w:sz w:val="24"/>
                <w:szCs w:val="24"/>
                <w:highlight w:val="none"/>
              </w:rPr>
              <w:t>一次性提出</w:t>
            </w:r>
            <w:r>
              <w:rPr>
                <w:rFonts w:hint="eastAsia"/>
                <w:color w:val="auto"/>
                <w:sz w:val="24"/>
                <w:szCs w:val="24"/>
                <w:highlight w:val="none"/>
                <w:lang w:val="zh-CN"/>
              </w:rPr>
              <w:t>（采购程序环节分为：采购文件、采购过程、</w:t>
            </w:r>
            <w:r>
              <w:rPr>
                <w:rFonts w:hint="eastAsia"/>
                <w:color w:val="auto"/>
                <w:sz w:val="24"/>
                <w:szCs w:val="24"/>
                <w:highlight w:val="none"/>
              </w:rPr>
              <w:t>中标/</w:t>
            </w:r>
            <w:r>
              <w:rPr>
                <w:rFonts w:hint="eastAsia"/>
                <w:color w:val="auto"/>
                <w:sz w:val="24"/>
                <w:szCs w:val="24"/>
                <w:highlight w:val="none"/>
                <w:lang w:val="zh-CN"/>
              </w:rPr>
              <w:t>成交结果）</w:t>
            </w:r>
          </w:p>
        </w:tc>
      </w:tr>
      <w:tr w14:paraId="1C9DB9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 w:hRule="atLeast"/>
        </w:trPr>
        <w:tc>
          <w:tcPr>
            <w:tcW w:w="935" w:type="dxa"/>
            <w:vAlign w:val="center"/>
          </w:tcPr>
          <w:p w14:paraId="09FF3CBD">
            <w:pPr>
              <w:pStyle w:val="20"/>
              <w:spacing w:line="360" w:lineRule="auto"/>
              <w:ind w:right="24"/>
              <w:jc w:val="center"/>
              <w:rPr>
                <w:color w:val="auto"/>
                <w:sz w:val="24"/>
                <w:szCs w:val="24"/>
                <w:highlight w:val="none"/>
              </w:rPr>
            </w:pPr>
            <w:r>
              <w:rPr>
                <w:color w:val="auto"/>
                <w:sz w:val="24"/>
                <w:szCs w:val="24"/>
                <w:highlight w:val="none"/>
              </w:rPr>
              <w:t>5</w:t>
            </w:r>
            <w:r>
              <w:rPr>
                <w:rFonts w:hint="eastAsia"/>
                <w:color w:val="auto"/>
                <w:sz w:val="24"/>
                <w:szCs w:val="24"/>
                <w:highlight w:val="none"/>
              </w:rPr>
              <w:t>2</w:t>
            </w:r>
          </w:p>
        </w:tc>
        <w:tc>
          <w:tcPr>
            <w:tcW w:w="7895" w:type="dxa"/>
            <w:gridSpan w:val="2"/>
            <w:vAlign w:val="center"/>
          </w:tcPr>
          <w:p w14:paraId="1FC9D283">
            <w:pPr>
              <w:pStyle w:val="20"/>
              <w:spacing w:line="360" w:lineRule="auto"/>
              <w:ind w:left="14"/>
              <w:jc w:val="both"/>
              <w:rPr>
                <w:color w:val="auto"/>
                <w:sz w:val="24"/>
                <w:szCs w:val="24"/>
                <w:highlight w:val="none"/>
              </w:rPr>
            </w:pPr>
            <w:r>
              <w:rPr>
                <w:b/>
                <w:bCs/>
                <w:color w:val="auto"/>
                <w:sz w:val="24"/>
                <w:szCs w:val="24"/>
                <w:highlight w:val="none"/>
              </w:rPr>
              <w:t>需要补充的其他内容</w:t>
            </w:r>
          </w:p>
        </w:tc>
      </w:tr>
      <w:tr w14:paraId="38DBBE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 w:hRule="atLeast"/>
        </w:trPr>
        <w:tc>
          <w:tcPr>
            <w:tcW w:w="935" w:type="dxa"/>
            <w:vAlign w:val="center"/>
          </w:tcPr>
          <w:p w14:paraId="69EB72CE">
            <w:pPr>
              <w:pStyle w:val="20"/>
              <w:spacing w:line="360" w:lineRule="auto"/>
              <w:jc w:val="center"/>
              <w:rPr>
                <w:color w:val="auto"/>
                <w:sz w:val="24"/>
                <w:szCs w:val="24"/>
                <w:highlight w:val="none"/>
              </w:rPr>
            </w:pPr>
            <w:r>
              <w:rPr>
                <w:color w:val="auto"/>
                <w:sz w:val="24"/>
                <w:szCs w:val="24"/>
                <w:highlight w:val="none"/>
              </w:rPr>
              <w:t>5</w:t>
            </w:r>
            <w:r>
              <w:rPr>
                <w:rFonts w:hint="eastAsia"/>
                <w:color w:val="auto"/>
                <w:sz w:val="24"/>
                <w:szCs w:val="24"/>
                <w:highlight w:val="none"/>
              </w:rPr>
              <w:t>2</w:t>
            </w:r>
            <w:r>
              <w:rPr>
                <w:color w:val="auto"/>
                <w:sz w:val="24"/>
                <w:szCs w:val="24"/>
                <w:highlight w:val="none"/>
              </w:rPr>
              <w:t>.</w:t>
            </w:r>
            <w:r>
              <w:rPr>
                <w:rFonts w:hint="eastAsia"/>
                <w:color w:val="auto"/>
                <w:sz w:val="24"/>
                <w:szCs w:val="24"/>
                <w:highlight w:val="none"/>
              </w:rPr>
              <w:t>1</w:t>
            </w:r>
          </w:p>
        </w:tc>
        <w:tc>
          <w:tcPr>
            <w:tcW w:w="7895" w:type="dxa"/>
            <w:gridSpan w:val="2"/>
          </w:tcPr>
          <w:p w14:paraId="08A03F4D">
            <w:pPr>
              <w:pStyle w:val="20"/>
              <w:numPr>
                <w:ilvl w:val="0"/>
                <w:numId w:val="3"/>
              </w:numPr>
              <w:tabs>
                <w:tab w:val="left" w:pos="743"/>
              </w:tabs>
              <w:spacing w:line="360" w:lineRule="auto"/>
              <w:ind w:left="0" w:firstLine="0"/>
              <w:jc w:val="both"/>
              <w:rPr>
                <w:color w:val="auto"/>
                <w:sz w:val="24"/>
                <w:szCs w:val="24"/>
                <w:highlight w:val="none"/>
              </w:rPr>
            </w:pPr>
            <w:r>
              <w:rPr>
                <w:color w:val="auto"/>
                <w:sz w:val="24"/>
                <w:szCs w:val="24"/>
                <w:highlight w:val="none"/>
              </w:rPr>
              <w:t>如果为单一产品采购项目，提供相同品牌产品且通过资格审查、符合性审查的不同投标人参加同一合同项下投标的，按一家投标人计算，评审后得分最高的同品牌投标人获得中标人推荐资格；评审得分相同的，报价得分最高的获得中标人推荐资格，其他同品牌投标人不作为中标候选人。</w:t>
            </w:r>
          </w:p>
          <w:p w14:paraId="224E81F1">
            <w:pPr>
              <w:pStyle w:val="20"/>
              <w:tabs>
                <w:tab w:val="left" w:pos="743"/>
              </w:tabs>
              <w:spacing w:line="360" w:lineRule="auto"/>
              <w:jc w:val="both"/>
              <w:rPr>
                <w:b/>
                <w:color w:val="auto"/>
                <w:sz w:val="24"/>
                <w:szCs w:val="24"/>
                <w:highlight w:val="none"/>
              </w:rPr>
            </w:pPr>
            <w:r>
              <w:rPr>
                <w:rFonts w:hint="eastAsia"/>
                <w:color w:val="auto"/>
                <w:sz w:val="24"/>
                <w:szCs w:val="24"/>
                <w:highlight w:val="none"/>
              </w:rPr>
              <w:t>（2）</w:t>
            </w:r>
            <w:r>
              <w:rPr>
                <w:color w:val="auto"/>
                <w:sz w:val="24"/>
                <w:szCs w:val="24"/>
                <w:highlight w:val="none"/>
              </w:rPr>
              <w:t>非单一产品采购项目，将在招标文件中载明核心产品。多家投标人提供的</w:t>
            </w:r>
            <w:r>
              <w:rPr>
                <w:b/>
                <w:bCs/>
                <w:color w:val="auto"/>
                <w:sz w:val="24"/>
                <w:szCs w:val="24"/>
                <w:highlight w:val="none"/>
              </w:rPr>
              <w:t>核心产品</w:t>
            </w:r>
            <w:r>
              <w:rPr>
                <w:color w:val="auto"/>
                <w:sz w:val="24"/>
                <w:szCs w:val="24"/>
                <w:highlight w:val="none"/>
              </w:rPr>
              <w:t>品牌相同的，按（1）“单一产品采购项目”规定处理。</w:t>
            </w:r>
          </w:p>
        </w:tc>
      </w:tr>
      <w:tr w14:paraId="06AA71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 w:hRule="atLeast"/>
        </w:trPr>
        <w:tc>
          <w:tcPr>
            <w:tcW w:w="935" w:type="dxa"/>
            <w:vAlign w:val="center"/>
          </w:tcPr>
          <w:p w14:paraId="612597E4">
            <w:pPr>
              <w:pStyle w:val="20"/>
              <w:spacing w:line="360" w:lineRule="auto"/>
              <w:jc w:val="center"/>
              <w:rPr>
                <w:color w:val="auto"/>
                <w:sz w:val="24"/>
                <w:szCs w:val="24"/>
                <w:highlight w:val="none"/>
              </w:rPr>
            </w:pPr>
            <w:r>
              <w:rPr>
                <w:color w:val="auto"/>
                <w:sz w:val="24"/>
                <w:szCs w:val="24"/>
                <w:highlight w:val="none"/>
              </w:rPr>
              <w:t>5</w:t>
            </w:r>
            <w:r>
              <w:rPr>
                <w:rFonts w:hint="eastAsia"/>
                <w:color w:val="auto"/>
                <w:sz w:val="24"/>
                <w:szCs w:val="24"/>
                <w:highlight w:val="none"/>
              </w:rPr>
              <w:t>2</w:t>
            </w:r>
            <w:r>
              <w:rPr>
                <w:color w:val="auto"/>
                <w:sz w:val="24"/>
                <w:szCs w:val="24"/>
                <w:highlight w:val="none"/>
              </w:rPr>
              <w:t>.</w:t>
            </w:r>
            <w:r>
              <w:rPr>
                <w:rFonts w:hint="eastAsia"/>
                <w:color w:val="auto"/>
                <w:sz w:val="24"/>
                <w:szCs w:val="24"/>
                <w:highlight w:val="none"/>
              </w:rPr>
              <w:t>2</w:t>
            </w:r>
          </w:p>
        </w:tc>
        <w:tc>
          <w:tcPr>
            <w:tcW w:w="7895" w:type="dxa"/>
            <w:gridSpan w:val="2"/>
          </w:tcPr>
          <w:p w14:paraId="7A40F16C">
            <w:pPr>
              <w:pStyle w:val="19"/>
              <w:tabs>
                <w:tab w:val="left" w:pos="1592"/>
              </w:tabs>
              <w:spacing w:line="360" w:lineRule="auto"/>
              <w:ind w:left="0"/>
              <w:jc w:val="both"/>
              <w:rPr>
                <w:color w:val="auto"/>
                <w:sz w:val="24"/>
                <w:szCs w:val="24"/>
                <w:highlight w:val="none"/>
              </w:rPr>
            </w:pPr>
            <w:r>
              <w:rPr>
                <w:rFonts w:hint="eastAsia"/>
                <w:color w:val="auto"/>
                <w:sz w:val="24"/>
                <w:szCs w:val="24"/>
                <w:highlight w:val="none"/>
              </w:rPr>
              <w:t>（1）</w:t>
            </w:r>
            <w:r>
              <w:rPr>
                <w:color w:val="auto"/>
                <w:sz w:val="24"/>
                <w:szCs w:val="24"/>
                <w:highlight w:val="none"/>
              </w:rPr>
              <w:t>投标人提供的所有货物和服务，必须是合法生产、合法来源，符合国家有关标准要求，并满足招标文件规定的规格、参数、质量、价格、有效期、售后服务及投标人须承担的运输、安装、技术支持、培训和招标文件规定的其他伴随服务等要求。</w:t>
            </w:r>
          </w:p>
          <w:p w14:paraId="287AB625">
            <w:pPr>
              <w:pStyle w:val="19"/>
              <w:tabs>
                <w:tab w:val="left" w:pos="1592"/>
              </w:tabs>
              <w:spacing w:line="360" w:lineRule="auto"/>
              <w:ind w:left="0"/>
              <w:jc w:val="both"/>
              <w:rPr>
                <w:b/>
                <w:color w:val="auto"/>
                <w:sz w:val="24"/>
                <w:szCs w:val="24"/>
                <w:highlight w:val="none"/>
              </w:rPr>
            </w:pPr>
            <w:r>
              <w:rPr>
                <w:rFonts w:hint="eastAsia"/>
                <w:color w:val="auto"/>
                <w:sz w:val="24"/>
                <w:szCs w:val="24"/>
                <w:highlight w:val="none"/>
              </w:rPr>
              <w:t>（2）</w:t>
            </w:r>
            <w:r>
              <w:rPr>
                <w:color w:val="auto"/>
                <w:sz w:val="24"/>
                <w:szCs w:val="24"/>
                <w:highlight w:val="none"/>
              </w:rPr>
              <w:t>招标人有权拒绝接受任何不合格的货物和服务，由此产生的费用及相关后果均由投标人自行承担。</w:t>
            </w:r>
          </w:p>
        </w:tc>
      </w:tr>
      <w:tr w14:paraId="7F28CF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 w:hRule="atLeast"/>
        </w:trPr>
        <w:tc>
          <w:tcPr>
            <w:tcW w:w="935" w:type="dxa"/>
            <w:vAlign w:val="center"/>
          </w:tcPr>
          <w:p w14:paraId="2A19D452">
            <w:pPr>
              <w:pStyle w:val="20"/>
              <w:spacing w:line="360" w:lineRule="auto"/>
              <w:jc w:val="center"/>
              <w:rPr>
                <w:color w:val="auto"/>
                <w:sz w:val="24"/>
                <w:szCs w:val="24"/>
                <w:highlight w:val="none"/>
              </w:rPr>
            </w:pPr>
            <w:r>
              <w:rPr>
                <w:rFonts w:hint="eastAsia"/>
                <w:color w:val="auto"/>
                <w:sz w:val="24"/>
                <w:szCs w:val="24"/>
                <w:highlight w:val="none"/>
              </w:rPr>
              <w:t>52.3</w:t>
            </w:r>
          </w:p>
        </w:tc>
        <w:tc>
          <w:tcPr>
            <w:tcW w:w="7895" w:type="dxa"/>
            <w:gridSpan w:val="2"/>
          </w:tcPr>
          <w:p w14:paraId="3BF3144C">
            <w:pPr>
              <w:pStyle w:val="20"/>
              <w:spacing w:line="360" w:lineRule="auto"/>
              <w:ind w:left="26" w:right="-130"/>
              <w:jc w:val="both"/>
              <w:rPr>
                <w:color w:val="auto"/>
                <w:sz w:val="24"/>
                <w:szCs w:val="24"/>
                <w:highlight w:val="none"/>
              </w:rPr>
            </w:pPr>
            <w:r>
              <w:rPr>
                <w:rFonts w:hint="eastAsia"/>
                <w:color w:val="auto"/>
                <w:sz w:val="24"/>
                <w:szCs w:val="24"/>
                <w:highlight w:val="none"/>
              </w:rPr>
              <w:t>是否需要提供样品：□是</w:t>
            </w:r>
            <w:r>
              <w:rPr>
                <w:color w:val="auto"/>
                <w:sz w:val="24"/>
                <w:szCs w:val="24"/>
                <w:highlight w:val="none"/>
              </w:rPr>
              <w:t xml:space="preserve"> </w:t>
            </w:r>
            <w:r>
              <w:rPr>
                <w:rFonts w:hint="eastAsia"/>
                <w:color w:val="auto"/>
                <w:sz w:val="24"/>
                <w:szCs w:val="24"/>
                <w:highlight w:val="none"/>
              </w:rPr>
              <w:t>☑</w:t>
            </w:r>
            <w:r>
              <w:rPr>
                <w:color w:val="auto"/>
                <w:sz w:val="24"/>
                <w:szCs w:val="24"/>
                <w:highlight w:val="none"/>
              </w:rPr>
              <w:t>否</w:t>
            </w:r>
          </w:p>
          <w:p w14:paraId="775E7E86">
            <w:pPr>
              <w:pStyle w:val="20"/>
              <w:spacing w:line="360" w:lineRule="auto"/>
              <w:jc w:val="both"/>
              <w:rPr>
                <w:color w:val="auto"/>
                <w:sz w:val="24"/>
                <w:szCs w:val="24"/>
                <w:highlight w:val="none"/>
              </w:rPr>
            </w:pPr>
            <w:r>
              <w:rPr>
                <w:rFonts w:hint="eastAsia"/>
                <w:color w:val="auto"/>
                <w:sz w:val="24"/>
                <w:szCs w:val="24"/>
                <w:highlight w:val="none"/>
              </w:rPr>
              <w:t>原则上采购人、采购代理机构不要求投标人提供样品。除仅凭书面方式不能准确描述采购需求，或者需要对样品进行主观判断以确认是否满足采购需求等特殊情况除外。</w:t>
            </w:r>
          </w:p>
        </w:tc>
      </w:tr>
      <w:tr w14:paraId="3639BC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 w:hRule="atLeast"/>
        </w:trPr>
        <w:tc>
          <w:tcPr>
            <w:tcW w:w="935" w:type="dxa"/>
            <w:vAlign w:val="center"/>
          </w:tcPr>
          <w:p w14:paraId="5BACF581">
            <w:pPr>
              <w:pStyle w:val="20"/>
              <w:spacing w:line="360" w:lineRule="auto"/>
              <w:jc w:val="center"/>
              <w:rPr>
                <w:color w:val="auto"/>
                <w:sz w:val="24"/>
                <w:szCs w:val="24"/>
                <w:highlight w:val="none"/>
              </w:rPr>
            </w:pPr>
            <w:r>
              <w:rPr>
                <w:color w:val="auto"/>
                <w:sz w:val="24"/>
                <w:szCs w:val="24"/>
                <w:highlight w:val="none"/>
              </w:rPr>
              <w:t>5</w:t>
            </w:r>
            <w:r>
              <w:rPr>
                <w:rFonts w:hint="eastAsia"/>
                <w:color w:val="auto"/>
                <w:sz w:val="24"/>
                <w:szCs w:val="24"/>
                <w:highlight w:val="none"/>
              </w:rPr>
              <w:t>2.4</w:t>
            </w:r>
          </w:p>
        </w:tc>
        <w:tc>
          <w:tcPr>
            <w:tcW w:w="7895" w:type="dxa"/>
            <w:gridSpan w:val="2"/>
          </w:tcPr>
          <w:p w14:paraId="155342E3">
            <w:pPr>
              <w:pStyle w:val="20"/>
              <w:spacing w:line="360" w:lineRule="auto"/>
              <w:jc w:val="both"/>
              <w:rPr>
                <w:color w:val="auto"/>
                <w:sz w:val="24"/>
                <w:szCs w:val="24"/>
                <w:highlight w:val="none"/>
              </w:rPr>
            </w:pPr>
            <w:r>
              <w:rPr>
                <w:b/>
                <w:color w:val="auto"/>
                <w:sz w:val="24"/>
                <w:szCs w:val="24"/>
                <w:highlight w:val="none"/>
              </w:rPr>
              <w:t>“一号咨询”服务：</w:t>
            </w:r>
            <w:r>
              <w:rPr>
                <w:color w:val="auto"/>
                <w:sz w:val="24"/>
                <w:szCs w:val="24"/>
                <w:highlight w:val="none"/>
              </w:rPr>
              <w:t>市场主体拨打 0371-61335566 即可咨询河南省公共资源交易中心业务的相关问题。</w:t>
            </w:r>
          </w:p>
        </w:tc>
      </w:tr>
    </w:tbl>
    <w:p w14:paraId="6012C936">
      <w:pPr>
        <w:pStyle w:val="7"/>
        <w:spacing w:line="360" w:lineRule="auto"/>
        <w:rPr>
          <w:color w:val="auto"/>
          <w:highlight w:val="none"/>
        </w:rPr>
      </w:pPr>
      <w:bookmarkStart w:id="15" w:name="第三章_投标人须知"/>
      <w:bookmarkEnd w:id="15"/>
    </w:p>
    <w:p w14:paraId="24F9185E">
      <w:pPr>
        <w:rPr>
          <w:color w:val="auto"/>
          <w:highlight w:val="none"/>
        </w:rPr>
      </w:pPr>
      <w:r>
        <w:rPr>
          <w:color w:val="auto"/>
          <w:highlight w:val="none"/>
        </w:rPr>
        <w:br w:type="page"/>
      </w:r>
    </w:p>
    <w:p w14:paraId="03288F7D">
      <w:pPr>
        <w:pStyle w:val="2"/>
        <w:spacing w:line="360" w:lineRule="auto"/>
        <w:ind w:right="100"/>
        <w:rPr>
          <w:color w:val="auto"/>
          <w:highlight w:val="none"/>
        </w:rPr>
      </w:pPr>
      <w:bookmarkStart w:id="16" w:name="_Toc10452"/>
      <w:r>
        <w:rPr>
          <w:color w:val="auto"/>
          <w:highlight w:val="none"/>
        </w:rPr>
        <w:t>第三章 投标人须知</w:t>
      </w:r>
      <w:bookmarkEnd w:id="16"/>
    </w:p>
    <w:p w14:paraId="461570DF">
      <w:pPr>
        <w:pStyle w:val="19"/>
        <w:spacing w:before="120" w:beforeLines="50" w:after="120" w:afterLines="50" w:line="360" w:lineRule="auto"/>
        <w:ind w:left="0"/>
        <w:rPr>
          <w:rFonts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一、总则</w:t>
      </w:r>
    </w:p>
    <w:p w14:paraId="3F97F946">
      <w:pPr>
        <w:pStyle w:val="5"/>
        <w:numPr>
          <w:ilvl w:val="0"/>
          <w:numId w:val="4"/>
        </w:numPr>
        <w:spacing w:line="360" w:lineRule="auto"/>
        <w:ind w:left="0" w:firstLine="562" w:firstLineChars="200"/>
        <w:rPr>
          <w:color w:val="auto"/>
          <w:highlight w:val="none"/>
        </w:rPr>
      </w:pPr>
      <w:r>
        <w:rPr>
          <w:color w:val="auto"/>
          <w:highlight w:val="none"/>
        </w:rPr>
        <w:t>适用范围</w:t>
      </w:r>
    </w:p>
    <w:p w14:paraId="4442D03D">
      <w:pPr>
        <w:pStyle w:val="19"/>
        <w:numPr>
          <w:ilvl w:val="1"/>
          <w:numId w:val="4"/>
        </w:numPr>
        <w:tabs>
          <w:tab w:val="left" w:pos="928"/>
        </w:tabs>
        <w:spacing w:line="360" w:lineRule="auto"/>
        <w:ind w:left="0" w:firstLine="560" w:firstLineChars="200"/>
        <w:rPr>
          <w:color w:val="auto"/>
          <w:sz w:val="28"/>
          <w:highlight w:val="none"/>
        </w:rPr>
      </w:pPr>
      <w:bookmarkStart w:id="17" w:name="一、说__明"/>
      <w:bookmarkEnd w:id="17"/>
      <w:r>
        <w:rPr>
          <w:color w:val="auto"/>
          <w:sz w:val="28"/>
          <w:highlight w:val="none"/>
        </w:rPr>
        <w:t>本招标文件仅适用于本次公开招标所述的货物。</w:t>
      </w:r>
    </w:p>
    <w:p w14:paraId="523B9DE2">
      <w:pPr>
        <w:pStyle w:val="19"/>
        <w:numPr>
          <w:ilvl w:val="1"/>
          <w:numId w:val="4"/>
        </w:numPr>
        <w:tabs>
          <w:tab w:val="left" w:pos="928"/>
        </w:tabs>
        <w:spacing w:line="360" w:lineRule="auto"/>
        <w:ind w:left="0" w:firstLine="560" w:firstLineChars="200"/>
        <w:rPr>
          <w:color w:val="auto"/>
          <w:sz w:val="28"/>
          <w:highlight w:val="none"/>
        </w:rPr>
      </w:pPr>
      <w:r>
        <w:rPr>
          <w:color w:val="auto"/>
          <w:sz w:val="28"/>
          <w:highlight w:val="none"/>
        </w:rPr>
        <w:t>项目名称：见“投标人须知前附表”。</w:t>
      </w:r>
    </w:p>
    <w:p w14:paraId="5424CC41">
      <w:pPr>
        <w:pStyle w:val="19"/>
        <w:numPr>
          <w:ilvl w:val="1"/>
          <w:numId w:val="4"/>
        </w:numPr>
        <w:tabs>
          <w:tab w:val="left" w:pos="928"/>
        </w:tabs>
        <w:spacing w:line="360" w:lineRule="auto"/>
        <w:ind w:left="0" w:firstLine="560" w:firstLineChars="200"/>
        <w:rPr>
          <w:color w:val="auto"/>
          <w:sz w:val="28"/>
          <w:highlight w:val="none"/>
        </w:rPr>
      </w:pPr>
      <w:r>
        <w:rPr>
          <w:color w:val="auto"/>
          <w:sz w:val="28"/>
          <w:highlight w:val="none"/>
        </w:rPr>
        <w:t>项目编号：见“投标人须知前附表”。</w:t>
      </w:r>
    </w:p>
    <w:p w14:paraId="22BCBBB2">
      <w:pPr>
        <w:pStyle w:val="19"/>
        <w:numPr>
          <w:ilvl w:val="1"/>
          <w:numId w:val="4"/>
        </w:numPr>
        <w:tabs>
          <w:tab w:val="left" w:pos="928"/>
        </w:tabs>
        <w:spacing w:line="360" w:lineRule="auto"/>
        <w:ind w:left="0" w:firstLine="560" w:firstLineChars="200"/>
        <w:rPr>
          <w:color w:val="auto"/>
          <w:sz w:val="28"/>
          <w:highlight w:val="none"/>
        </w:rPr>
      </w:pPr>
      <w:r>
        <w:rPr>
          <w:color w:val="auto"/>
          <w:sz w:val="28"/>
          <w:highlight w:val="none"/>
        </w:rPr>
        <w:t>项目简要说明：见“投标人须知前附表”。</w:t>
      </w:r>
    </w:p>
    <w:p w14:paraId="3D796C96">
      <w:pPr>
        <w:pStyle w:val="5"/>
        <w:numPr>
          <w:ilvl w:val="0"/>
          <w:numId w:val="4"/>
        </w:numPr>
        <w:spacing w:line="360" w:lineRule="auto"/>
        <w:ind w:left="0" w:firstLine="562" w:firstLineChars="200"/>
        <w:rPr>
          <w:color w:val="auto"/>
          <w:highlight w:val="none"/>
        </w:rPr>
      </w:pPr>
      <w:r>
        <w:rPr>
          <w:color w:val="auto"/>
          <w:highlight w:val="none"/>
        </w:rPr>
        <w:t>定义</w:t>
      </w:r>
    </w:p>
    <w:p w14:paraId="764796EC">
      <w:pPr>
        <w:pStyle w:val="19"/>
        <w:numPr>
          <w:ilvl w:val="1"/>
          <w:numId w:val="4"/>
        </w:numPr>
        <w:tabs>
          <w:tab w:val="left" w:pos="928"/>
        </w:tabs>
        <w:spacing w:line="360" w:lineRule="auto"/>
        <w:ind w:left="0" w:firstLine="560" w:firstLineChars="200"/>
        <w:rPr>
          <w:color w:val="auto"/>
          <w:sz w:val="28"/>
          <w:highlight w:val="none"/>
        </w:rPr>
      </w:pPr>
      <w:r>
        <w:rPr>
          <w:color w:val="auto"/>
          <w:sz w:val="28"/>
          <w:highlight w:val="none"/>
        </w:rPr>
        <w:t>政府采购监督管理部门：河南省财政厅。</w:t>
      </w:r>
    </w:p>
    <w:p w14:paraId="3375D32C">
      <w:pPr>
        <w:pStyle w:val="19"/>
        <w:numPr>
          <w:ilvl w:val="1"/>
          <w:numId w:val="4"/>
        </w:numPr>
        <w:tabs>
          <w:tab w:val="left" w:pos="928"/>
        </w:tabs>
        <w:spacing w:line="360" w:lineRule="auto"/>
        <w:ind w:left="0" w:firstLine="560" w:firstLineChars="200"/>
        <w:rPr>
          <w:color w:val="auto"/>
          <w:sz w:val="28"/>
          <w:highlight w:val="none"/>
        </w:rPr>
      </w:pPr>
      <w:r>
        <w:rPr>
          <w:color w:val="auto"/>
          <w:sz w:val="28"/>
          <w:highlight w:val="none"/>
        </w:rPr>
        <w:t>采购人：是指依法进行政府采购的国家机关、事业单位、团体组织。本项目的采购人见投标人须知前附表。</w:t>
      </w:r>
    </w:p>
    <w:p w14:paraId="4A330724">
      <w:pPr>
        <w:pStyle w:val="19"/>
        <w:numPr>
          <w:ilvl w:val="1"/>
          <w:numId w:val="4"/>
        </w:numPr>
        <w:tabs>
          <w:tab w:val="left" w:pos="928"/>
        </w:tabs>
        <w:spacing w:line="360" w:lineRule="auto"/>
        <w:ind w:left="0" w:firstLine="560" w:firstLineChars="200"/>
        <w:rPr>
          <w:color w:val="auto"/>
          <w:sz w:val="28"/>
          <w:highlight w:val="none"/>
        </w:rPr>
      </w:pPr>
      <w:r>
        <w:rPr>
          <w:color w:val="auto"/>
          <w:sz w:val="28"/>
          <w:highlight w:val="none"/>
        </w:rPr>
        <w:t>采购</w:t>
      </w:r>
      <w:r>
        <w:rPr>
          <w:rFonts w:hint="eastAsia"/>
          <w:color w:val="auto"/>
          <w:sz w:val="28"/>
          <w:highlight w:val="none"/>
        </w:rPr>
        <w:t>代理</w:t>
      </w:r>
      <w:r>
        <w:rPr>
          <w:color w:val="auto"/>
          <w:sz w:val="28"/>
          <w:highlight w:val="none"/>
        </w:rPr>
        <w:t>机构：</w:t>
      </w:r>
      <w:r>
        <w:rPr>
          <w:rFonts w:hint="eastAsia"/>
          <w:color w:val="auto"/>
          <w:sz w:val="28"/>
          <w:highlight w:val="none"/>
          <w:lang w:eastAsia="zh-CN"/>
        </w:rPr>
        <w:t>中鼎誉润工程咨询有限公司</w:t>
      </w:r>
      <w:r>
        <w:rPr>
          <w:rFonts w:hint="eastAsia"/>
          <w:color w:val="auto"/>
          <w:sz w:val="28"/>
          <w:highlight w:val="none"/>
        </w:rPr>
        <w:t>。</w:t>
      </w:r>
    </w:p>
    <w:p w14:paraId="22A5C6D9">
      <w:pPr>
        <w:pStyle w:val="19"/>
        <w:numPr>
          <w:ilvl w:val="1"/>
          <w:numId w:val="4"/>
        </w:numPr>
        <w:tabs>
          <w:tab w:val="left" w:pos="928"/>
        </w:tabs>
        <w:spacing w:line="360" w:lineRule="auto"/>
        <w:ind w:left="0" w:firstLine="560" w:firstLineChars="200"/>
        <w:rPr>
          <w:color w:val="auto"/>
          <w:sz w:val="28"/>
          <w:highlight w:val="none"/>
        </w:rPr>
      </w:pPr>
      <w:r>
        <w:rPr>
          <w:color w:val="auto"/>
          <w:sz w:val="28"/>
          <w:highlight w:val="none"/>
        </w:rPr>
        <w:t>投标人：是指参加政府采购活动，向采购人提供货物、工程或者服务的法人、其他组织或者自然人。</w:t>
      </w:r>
    </w:p>
    <w:p w14:paraId="4CCA3358">
      <w:pPr>
        <w:pStyle w:val="19"/>
        <w:numPr>
          <w:ilvl w:val="2"/>
          <w:numId w:val="4"/>
        </w:numPr>
        <w:tabs>
          <w:tab w:val="left" w:pos="1208"/>
        </w:tabs>
        <w:spacing w:line="360" w:lineRule="auto"/>
        <w:ind w:left="0" w:firstLine="560" w:firstLineChars="200"/>
        <w:rPr>
          <w:color w:val="auto"/>
          <w:sz w:val="28"/>
          <w:highlight w:val="none"/>
        </w:rPr>
      </w:pPr>
      <w:r>
        <w:rPr>
          <w:color w:val="auto"/>
          <w:sz w:val="28"/>
          <w:highlight w:val="none"/>
        </w:rPr>
        <w:t>若投标人须知前附表中写明专门面向中小企业采购的，如投标人为非中小企业，其投标无效。</w:t>
      </w:r>
    </w:p>
    <w:p w14:paraId="04209FDF">
      <w:pPr>
        <w:pStyle w:val="19"/>
        <w:numPr>
          <w:ilvl w:val="2"/>
          <w:numId w:val="4"/>
        </w:numPr>
        <w:tabs>
          <w:tab w:val="left" w:pos="1208"/>
        </w:tabs>
        <w:spacing w:line="360" w:lineRule="auto"/>
        <w:ind w:left="0" w:firstLine="560" w:firstLineChars="200"/>
        <w:rPr>
          <w:color w:val="auto"/>
          <w:sz w:val="28"/>
          <w:highlight w:val="none"/>
        </w:rPr>
      </w:pPr>
      <w:r>
        <w:rPr>
          <w:color w:val="auto"/>
          <w:sz w:val="28"/>
          <w:highlight w:val="none"/>
        </w:rPr>
        <w:t>若投标人须知前附表中写明允许采购进口产品，但不限制满足招标文件要求的国内产品参与采购活动，投标人应保证所投产品可履行合法报通关手续进入中国关境内。若投标人须知前附表中未写明允许采购进口产品，如投标人提供产品为进口产品，其投标无效。</w:t>
      </w:r>
    </w:p>
    <w:p w14:paraId="72A1ECE0">
      <w:pPr>
        <w:pStyle w:val="19"/>
        <w:numPr>
          <w:ilvl w:val="1"/>
          <w:numId w:val="4"/>
        </w:numPr>
        <w:tabs>
          <w:tab w:val="left" w:pos="928"/>
        </w:tabs>
        <w:spacing w:line="360" w:lineRule="auto"/>
        <w:ind w:left="0" w:firstLine="560" w:firstLineChars="200"/>
        <w:rPr>
          <w:color w:val="auto"/>
          <w:sz w:val="28"/>
          <w:highlight w:val="none"/>
        </w:rPr>
      </w:pPr>
      <w:r>
        <w:rPr>
          <w:color w:val="auto"/>
          <w:sz w:val="28"/>
          <w:highlight w:val="none"/>
        </w:rPr>
        <w:t>投标文件：指投标人根据招标文件提交的所有文件。</w:t>
      </w:r>
    </w:p>
    <w:p w14:paraId="4909366D">
      <w:pPr>
        <w:pStyle w:val="19"/>
        <w:numPr>
          <w:ilvl w:val="1"/>
          <w:numId w:val="4"/>
        </w:numPr>
        <w:tabs>
          <w:tab w:val="left" w:pos="928"/>
        </w:tabs>
        <w:spacing w:line="360" w:lineRule="auto"/>
        <w:ind w:left="0" w:firstLine="560" w:firstLineChars="200"/>
        <w:rPr>
          <w:color w:val="auto"/>
          <w:sz w:val="28"/>
          <w:highlight w:val="none"/>
        </w:rPr>
      </w:pPr>
      <w:r>
        <w:rPr>
          <w:color w:val="auto"/>
          <w:sz w:val="28"/>
          <w:highlight w:val="none"/>
        </w:rPr>
        <w:t>货物及相关服务：按项目需求及有关要求提供的全部货物及相关服务。</w:t>
      </w:r>
    </w:p>
    <w:p w14:paraId="0179C08E">
      <w:pPr>
        <w:pStyle w:val="5"/>
        <w:numPr>
          <w:ilvl w:val="0"/>
          <w:numId w:val="4"/>
        </w:numPr>
        <w:spacing w:line="360" w:lineRule="auto"/>
        <w:ind w:left="0" w:firstLine="562" w:firstLineChars="200"/>
        <w:jc w:val="both"/>
        <w:rPr>
          <w:color w:val="auto"/>
          <w:highlight w:val="none"/>
        </w:rPr>
      </w:pPr>
      <w:r>
        <w:rPr>
          <w:color w:val="auto"/>
          <w:highlight w:val="none"/>
        </w:rPr>
        <w:t>投标费用</w:t>
      </w:r>
    </w:p>
    <w:p w14:paraId="36DCA99B">
      <w:pPr>
        <w:pStyle w:val="7"/>
        <w:spacing w:line="360" w:lineRule="auto"/>
        <w:ind w:firstLine="560" w:firstLineChars="200"/>
        <w:jc w:val="both"/>
        <w:rPr>
          <w:color w:val="auto"/>
          <w:highlight w:val="none"/>
        </w:rPr>
      </w:pPr>
      <w:r>
        <w:rPr>
          <w:color w:val="auto"/>
          <w:highlight w:val="none"/>
        </w:rPr>
        <w:t>投标人须自行承担所有与参加投标有关的费用，无论投标的结果如何，采购人和采购</w:t>
      </w:r>
      <w:r>
        <w:rPr>
          <w:rFonts w:hint="eastAsia"/>
          <w:color w:val="auto"/>
          <w:highlight w:val="none"/>
        </w:rPr>
        <w:t>代理</w:t>
      </w:r>
      <w:r>
        <w:rPr>
          <w:color w:val="auto"/>
          <w:highlight w:val="none"/>
        </w:rPr>
        <w:t>机构在任何情况下均无义务和责任承担这些费用。</w:t>
      </w:r>
    </w:p>
    <w:p w14:paraId="4A63649E">
      <w:pPr>
        <w:pStyle w:val="5"/>
        <w:numPr>
          <w:ilvl w:val="0"/>
          <w:numId w:val="4"/>
        </w:numPr>
        <w:spacing w:line="360" w:lineRule="auto"/>
        <w:ind w:left="0" w:firstLine="562" w:firstLineChars="200"/>
        <w:jc w:val="both"/>
        <w:rPr>
          <w:color w:val="auto"/>
          <w:highlight w:val="none"/>
        </w:rPr>
      </w:pPr>
      <w:r>
        <w:rPr>
          <w:color w:val="auto"/>
          <w:highlight w:val="none"/>
        </w:rPr>
        <w:t>踏勘现场</w:t>
      </w:r>
    </w:p>
    <w:p w14:paraId="6217E760">
      <w:pPr>
        <w:pStyle w:val="19"/>
        <w:numPr>
          <w:ilvl w:val="1"/>
          <w:numId w:val="4"/>
        </w:numPr>
        <w:spacing w:line="360" w:lineRule="auto"/>
        <w:ind w:left="0" w:firstLine="560" w:firstLineChars="200"/>
        <w:jc w:val="both"/>
        <w:rPr>
          <w:color w:val="auto"/>
          <w:sz w:val="28"/>
          <w:highlight w:val="none"/>
        </w:rPr>
      </w:pPr>
      <w:r>
        <w:rPr>
          <w:color w:val="auto"/>
          <w:sz w:val="28"/>
          <w:highlight w:val="none"/>
        </w:rPr>
        <w:t>“投标人须知前附表”规定组织踏勘现场的，采购人按“投标人须知前附表”规定的时间、地点组织投标人踏勘项目现场。</w:t>
      </w:r>
    </w:p>
    <w:p w14:paraId="4A142FE2">
      <w:pPr>
        <w:pStyle w:val="19"/>
        <w:numPr>
          <w:ilvl w:val="1"/>
          <w:numId w:val="4"/>
        </w:numPr>
        <w:spacing w:line="360" w:lineRule="auto"/>
        <w:ind w:left="0" w:firstLine="560" w:firstLineChars="200"/>
        <w:jc w:val="both"/>
        <w:rPr>
          <w:color w:val="auto"/>
          <w:sz w:val="28"/>
          <w:highlight w:val="none"/>
        </w:rPr>
      </w:pPr>
      <w:r>
        <w:rPr>
          <w:color w:val="auto"/>
          <w:sz w:val="28"/>
          <w:highlight w:val="none"/>
        </w:rPr>
        <w:t>投标人踏勘现场发生的费用自理。</w:t>
      </w:r>
    </w:p>
    <w:p w14:paraId="037DBB0F">
      <w:pPr>
        <w:pStyle w:val="19"/>
        <w:numPr>
          <w:ilvl w:val="1"/>
          <w:numId w:val="4"/>
        </w:numPr>
        <w:spacing w:line="360" w:lineRule="auto"/>
        <w:ind w:left="0" w:firstLine="560" w:firstLineChars="200"/>
        <w:jc w:val="both"/>
        <w:rPr>
          <w:color w:val="auto"/>
          <w:sz w:val="28"/>
          <w:highlight w:val="none"/>
        </w:rPr>
      </w:pPr>
      <w:r>
        <w:rPr>
          <w:color w:val="auto"/>
          <w:sz w:val="28"/>
          <w:highlight w:val="none"/>
        </w:rPr>
        <w:t>除采购人的原因外，投标人自行负责在踏勘现场中所发生的人员伤亡和财产损失。</w:t>
      </w:r>
    </w:p>
    <w:p w14:paraId="097DECA5">
      <w:pPr>
        <w:pStyle w:val="19"/>
        <w:numPr>
          <w:ilvl w:val="1"/>
          <w:numId w:val="4"/>
        </w:numPr>
        <w:spacing w:line="360" w:lineRule="auto"/>
        <w:ind w:left="0" w:firstLine="560" w:firstLineChars="200"/>
        <w:jc w:val="both"/>
        <w:rPr>
          <w:color w:val="auto"/>
          <w:sz w:val="28"/>
          <w:highlight w:val="none"/>
        </w:rPr>
      </w:pPr>
      <w:r>
        <w:rPr>
          <w:color w:val="auto"/>
          <w:sz w:val="28"/>
          <w:highlight w:val="none"/>
        </w:rPr>
        <w:t>采购人在踏勘现场中介绍的项目现场和相关的周边环境情况，供投标人在编制投标文件时参考，采购人不对投标人据此作出的判断和决策负责。</w:t>
      </w:r>
    </w:p>
    <w:p w14:paraId="3EEC2047">
      <w:pPr>
        <w:pStyle w:val="5"/>
        <w:numPr>
          <w:ilvl w:val="0"/>
          <w:numId w:val="4"/>
        </w:numPr>
        <w:spacing w:line="360" w:lineRule="auto"/>
        <w:ind w:left="0" w:firstLine="562" w:firstLineChars="200"/>
        <w:jc w:val="both"/>
        <w:rPr>
          <w:color w:val="auto"/>
          <w:highlight w:val="none"/>
        </w:rPr>
      </w:pPr>
      <w:r>
        <w:rPr>
          <w:color w:val="auto"/>
          <w:highlight w:val="none"/>
        </w:rPr>
        <w:t>知识产权</w:t>
      </w:r>
    </w:p>
    <w:p w14:paraId="039F0F53">
      <w:pPr>
        <w:pStyle w:val="7"/>
        <w:spacing w:line="360" w:lineRule="auto"/>
        <w:ind w:firstLine="560" w:firstLineChars="200"/>
        <w:jc w:val="both"/>
        <w:rPr>
          <w:color w:val="auto"/>
          <w:highlight w:val="none"/>
        </w:rPr>
      </w:pPr>
      <w:r>
        <w:rPr>
          <w:color w:val="auto"/>
          <w:highlight w:val="none"/>
        </w:rPr>
        <w:t>所有涉及知识产权的成果，投标人必须确保采购人拥有其合法的、不受限制的无偿使用权，并免受任何侵权诉讼或索偿，否则，由此产生的一切经济损失和法律责任由投标人承担。</w:t>
      </w:r>
    </w:p>
    <w:p w14:paraId="081B9A3A">
      <w:pPr>
        <w:pStyle w:val="5"/>
        <w:numPr>
          <w:ilvl w:val="0"/>
          <w:numId w:val="4"/>
        </w:numPr>
        <w:spacing w:line="360" w:lineRule="auto"/>
        <w:ind w:left="0" w:firstLine="562" w:firstLineChars="200"/>
        <w:jc w:val="both"/>
        <w:rPr>
          <w:color w:val="auto"/>
          <w:highlight w:val="none"/>
        </w:rPr>
      </w:pPr>
      <w:r>
        <w:rPr>
          <w:color w:val="auto"/>
          <w:highlight w:val="none"/>
        </w:rPr>
        <w:t>联合体投标</w:t>
      </w:r>
    </w:p>
    <w:p w14:paraId="25F869F4">
      <w:pPr>
        <w:pStyle w:val="19"/>
        <w:numPr>
          <w:ilvl w:val="1"/>
          <w:numId w:val="4"/>
        </w:numPr>
        <w:tabs>
          <w:tab w:val="left" w:pos="928"/>
        </w:tabs>
        <w:spacing w:line="360" w:lineRule="auto"/>
        <w:ind w:left="0" w:firstLine="560" w:firstLineChars="200"/>
        <w:jc w:val="both"/>
        <w:rPr>
          <w:color w:val="auto"/>
          <w:sz w:val="28"/>
          <w:highlight w:val="none"/>
        </w:rPr>
      </w:pPr>
      <w:r>
        <w:rPr>
          <w:color w:val="auto"/>
          <w:sz w:val="28"/>
          <w:highlight w:val="none"/>
        </w:rPr>
        <w:t>除非本项目明确要求不接受联合体形式投标外，两个或两个以上投标人可以组成一个联合体，以一个投标人的身份共同参加投标。</w:t>
      </w:r>
    </w:p>
    <w:p w14:paraId="5D66FE7A">
      <w:pPr>
        <w:pStyle w:val="19"/>
        <w:numPr>
          <w:ilvl w:val="1"/>
          <w:numId w:val="4"/>
        </w:numPr>
        <w:tabs>
          <w:tab w:val="left" w:pos="928"/>
        </w:tabs>
        <w:spacing w:line="360" w:lineRule="auto"/>
        <w:ind w:left="0" w:firstLine="560" w:firstLineChars="200"/>
        <w:jc w:val="both"/>
        <w:rPr>
          <w:color w:val="auto"/>
          <w:sz w:val="28"/>
          <w:highlight w:val="none"/>
        </w:rPr>
      </w:pPr>
      <w:r>
        <w:rPr>
          <w:color w:val="auto"/>
          <w:sz w:val="28"/>
          <w:highlight w:val="none"/>
        </w:rPr>
        <w:t>以联合体形式参加投标的，联合体各方均应当符合</w:t>
      </w:r>
      <w:r>
        <w:rPr>
          <w:rFonts w:hint="eastAsia"/>
          <w:color w:val="auto"/>
          <w:sz w:val="28"/>
          <w:highlight w:val="none"/>
        </w:rPr>
        <w:t>《中华人民共和国政府采购法》</w:t>
      </w:r>
      <w:r>
        <w:rPr>
          <w:color w:val="auto"/>
          <w:sz w:val="28"/>
          <w:highlight w:val="none"/>
        </w:rPr>
        <w:t>第二十二条</w:t>
      </w:r>
      <w:r>
        <w:rPr>
          <w:rFonts w:hint="eastAsia"/>
          <w:color w:val="auto"/>
          <w:sz w:val="28"/>
          <w:highlight w:val="none"/>
        </w:rPr>
        <w:t>的规定</w:t>
      </w:r>
      <w:r>
        <w:rPr>
          <w:color w:val="auto"/>
          <w:sz w:val="28"/>
          <w:highlight w:val="none"/>
        </w:rPr>
        <w:t>的条件，并应当向采购人提交联合协议，载明联合体各方承担的工作和义务。根据采购项目的特殊要求规定投标人特定条件的，联合体各方中至少应当有一方符合。</w:t>
      </w:r>
    </w:p>
    <w:p w14:paraId="533D70DA">
      <w:pPr>
        <w:pStyle w:val="19"/>
        <w:numPr>
          <w:ilvl w:val="1"/>
          <w:numId w:val="4"/>
        </w:numPr>
        <w:tabs>
          <w:tab w:val="left" w:pos="928"/>
        </w:tabs>
        <w:spacing w:line="360" w:lineRule="auto"/>
        <w:ind w:left="0" w:firstLine="560" w:firstLineChars="200"/>
        <w:jc w:val="both"/>
        <w:rPr>
          <w:color w:val="auto"/>
          <w:sz w:val="28"/>
          <w:highlight w:val="none"/>
        </w:rPr>
      </w:pPr>
      <w:r>
        <w:rPr>
          <w:color w:val="auto"/>
          <w:sz w:val="28"/>
          <w:highlight w:val="none"/>
        </w:rPr>
        <w:t>联合体中有同类资质的投标人按照联合体分工承担相同工作的，应当按照资质等级较低的投标人确定资质等级。联合体各方按照联合体协议分工承担不同工作的，应具备其所承担的工作相应资质（资格）条件。</w:t>
      </w:r>
    </w:p>
    <w:p w14:paraId="02709563">
      <w:pPr>
        <w:pStyle w:val="19"/>
        <w:numPr>
          <w:ilvl w:val="1"/>
          <w:numId w:val="4"/>
        </w:numPr>
        <w:tabs>
          <w:tab w:val="left" w:pos="928"/>
        </w:tabs>
        <w:spacing w:line="360" w:lineRule="auto"/>
        <w:ind w:left="0" w:firstLine="560" w:firstLineChars="200"/>
        <w:jc w:val="both"/>
        <w:rPr>
          <w:color w:val="auto"/>
          <w:sz w:val="28"/>
          <w:highlight w:val="none"/>
        </w:rPr>
      </w:pPr>
      <w:r>
        <w:rPr>
          <w:color w:val="auto"/>
          <w:sz w:val="28"/>
          <w:highlight w:val="none"/>
        </w:rPr>
        <w:t>联合体投标的，可以由联合体中的牵头人或者共同提交投标承诺</w:t>
      </w:r>
      <w:r>
        <w:rPr>
          <w:rFonts w:hint="eastAsia"/>
          <w:color w:val="auto"/>
          <w:sz w:val="28"/>
          <w:highlight w:val="none"/>
        </w:rPr>
        <w:t>。</w:t>
      </w:r>
      <w:r>
        <w:rPr>
          <w:color w:val="auto"/>
          <w:sz w:val="28"/>
          <w:highlight w:val="none"/>
        </w:rPr>
        <w:t>函，以牵头人名义提交投标承诺函的，对联合体各方均具有约束力。</w:t>
      </w:r>
    </w:p>
    <w:p w14:paraId="341FA3FF">
      <w:pPr>
        <w:pStyle w:val="19"/>
        <w:numPr>
          <w:ilvl w:val="1"/>
          <w:numId w:val="4"/>
        </w:numPr>
        <w:tabs>
          <w:tab w:val="left" w:pos="928"/>
        </w:tabs>
        <w:spacing w:line="360" w:lineRule="auto"/>
        <w:ind w:left="0" w:firstLine="560" w:firstLineChars="200"/>
        <w:jc w:val="both"/>
        <w:rPr>
          <w:color w:val="auto"/>
          <w:sz w:val="28"/>
          <w:highlight w:val="none"/>
        </w:rPr>
      </w:pPr>
      <w:r>
        <w:rPr>
          <w:color w:val="auto"/>
          <w:sz w:val="28"/>
          <w:highlight w:val="none"/>
        </w:rPr>
        <w:t>以联合体形式参加政府采购活动的，联合体各方不得再单独参加或者与其他投标人另外组成联合体参加同一合同项下的政府采购活动。</w:t>
      </w:r>
    </w:p>
    <w:p w14:paraId="3CE34DD9">
      <w:pPr>
        <w:pStyle w:val="19"/>
        <w:numPr>
          <w:ilvl w:val="1"/>
          <w:numId w:val="4"/>
        </w:numPr>
        <w:tabs>
          <w:tab w:val="left" w:pos="928"/>
        </w:tabs>
        <w:spacing w:line="360" w:lineRule="auto"/>
        <w:ind w:left="0" w:firstLine="560" w:firstLineChars="200"/>
        <w:jc w:val="both"/>
        <w:rPr>
          <w:color w:val="auto"/>
          <w:sz w:val="28"/>
          <w:highlight w:val="none"/>
        </w:rPr>
      </w:pPr>
      <w:r>
        <w:rPr>
          <w:color w:val="auto"/>
          <w:sz w:val="28"/>
          <w:highlight w:val="none"/>
        </w:rPr>
        <w:t>是否允许联合体投标见投标人须知前附表。</w:t>
      </w:r>
    </w:p>
    <w:p w14:paraId="772E5100">
      <w:pPr>
        <w:pStyle w:val="5"/>
        <w:numPr>
          <w:ilvl w:val="0"/>
          <w:numId w:val="4"/>
        </w:numPr>
        <w:spacing w:line="360" w:lineRule="auto"/>
        <w:ind w:left="0" w:firstLine="562" w:firstLineChars="200"/>
        <w:jc w:val="both"/>
        <w:rPr>
          <w:color w:val="auto"/>
          <w:highlight w:val="none"/>
        </w:rPr>
      </w:pPr>
      <w:r>
        <w:rPr>
          <w:color w:val="auto"/>
          <w:highlight w:val="none"/>
        </w:rPr>
        <w:t>保密</w:t>
      </w:r>
    </w:p>
    <w:p w14:paraId="46E65EAB">
      <w:pPr>
        <w:pStyle w:val="7"/>
        <w:spacing w:line="360" w:lineRule="auto"/>
        <w:ind w:firstLine="560" w:firstLineChars="200"/>
        <w:jc w:val="both"/>
        <w:rPr>
          <w:color w:val="auto"/>
          <w:highlight w:val="none"/>
        </w:rPr>
      </w:pPr>
      <w:r>
        <w:rPr>
          <w:color w:val="auto"/>
          <w:highlight w:val="none"/>
        </w:rPr>
        <w:t>参与招标投标活动的各方应对招标文件和投标文件中的商业和技术等秘密保密，违者应对由此造成的后果承担法律责任。</w:t>
      </w:r>
    </w:p>
    <w:p w14:paraId="0ECA8EBB">
      <w:pPr>
        <w:pStyle w:val="5"/>
        <w:numPr>
          <w:ilvl w:val="0"/>
          <w:numId w:val="4"/>
        </w:numPr>
        <w:spacing w:line="360" w:lineRule="auto"/>
        <w:ind w:left="0" w:firstLine="562" w:firstLineChars="200"/>
        <w:jc w:val="both"/>
        <w:rPr>
          <w:color w:val="auto"/>
          <w:highlight w:val="none"/>
        </w:rPr>
      </w:pPr>
      <w:r>
        <w:rPr>
          <w:color w:val="auto"/>
          <w:highlight w:val="none"/>
        </w:rPr>
        <w:t>市场主体信息库</w:t>
      </w:r>
    </w:p>
    <w:p w14:paraId="0BD24FCA">
      <w:pPr>
        <w:pStyle w:val="19"/>
        <w:numPr>
          <w:ilvl w:val="0"/>
          <w:numId w:val="5"/>
        </w:numPr>
        <w:tabs>
          <w:tab w:val="left" w:pos="1142"/>
        </w:tabs>
        <w:spacing w:line="360" w:lineRule="auto"/>
        <w:ind w:left="0" w:firstLine="560" w:firstLineChars="200"/>
        <w:jc w:val="both"/>
        <w:rPr>
          <w:color w:val="auto"/>
          <w:sz w:val="28"/>
          <w:highlight w:val="none"/>
        </w:rPr>
      </w:pPr>
      <w:r>
        <w:rPr>
          <w:color w:val="auto"/>
          <w:sz w:val="28"/>
          <w:highlight w:val="none"/>
        </w:rPr>
        <w:t>投标人应及时对入库信息进行补充、更新，若投标人提供虚假信息或未及时对入库信息进行补充、更新，由投标人承担全部责任。</w:t>
      </w:r>
    </w:p>
    <w:p w14:paraId="1E4BA02C">
      <w:pPr>
        <w:pStyle w:val="19"/>
        <w:numPr>
          <w:ilvl w:val="0"/>
          <w:numId w:val="5"/>
        </w:numPr>
        <w:tabs>
          <w:tab w:val="left" w:pos="1142"/>
        </w:tabs>
        <w:spacing w:line="360" w:lineRule="auto"/>
        <w:ind w:left="0" w:firstLine="560" w:firstLineChars="200"/>
        <w:jc w:val="both"/>
        <w:rPr>
          <w:color w:val="auto"/>
          <w:sz w:val="28"/>
          <w:highlight w:val="none"/>
        </w:rPr>
      </w:pPr>
      <w:r>
        <w:rPr>
          <w:color w:val="auto"/>
          <w:sz w:val="28"/>
          <w:highlight w:val="none"/>
        </w:rPr>
        <w:t>投标人可将本项目评审</w:t>
      </w:r>
      <w:r>
        <w:rPr>
          <w:rFonts w:hint="eastAsia"/>
          <w:color w:val="auto"/>
          <w:sz w:val="28"/>
          <w:highlight w:val="none"/>
        </w:rPr>
        <w:t>涉及</w:t>
      </w:r>
      <w:r>
        <w:rPr>
          <w:color w:val="auto"/>
          <w:sz w:val="28"/>
          <w:highlight w:val="none"/>
        </w:rPr>
        <w:t>的资质、业绩、人员、获奖、证书、纳税、社保等信息补充到其市场主体信息库中。</w:t>
      </w:r>
    </w:p>
    <w:p w14:paraId="564C7CC4">
      <w:pPr>
        <w:pStyle w:val="19"/>
        <w:numPr>
          <w:ilvl w:val="0"/>
          <w:numId w:val="5"/>
        </w:numPr>
        <w:tabs>
          <w:tab w:val="left" w:pos="1142"/>
        </w:tabs>
        <w:spacing w:line="360" w:lineRule="auto"/>
        <w:ind w:left="0" w:firstLine="560" w:firstLineChars="200"/>
        <w:jc w:val="both"/>
        <w:rPr>
          <w:color w:val="auto"/>
          <w:sz w:val="28"/>
          <w:highlight w:val="none"/>
        </w:rPr>
      </w:pPr>
      <w:r>
        <w:rPr>
          <w:color w:val="auto"/>
          <w:sz w:val="28"/>
          <w:highlight w:val="none"/>
        </w:rPr>
        <w:t>投标人应当按照招标文件的要求编制投标文件，并予以提交。投标人的入库信息不作为评审的依据。</w:t>
      </w:r>
    </w:p>
    <w:p w14:paraId="4F5B61AA">
      <w:pPr>
        <w:pStyle w:val="5"/>
        <w:numPr>
          <w:ilvl w:val="0"/>
          <w:numId w:val="4"/>
        </w:numPr>
        <w:spacing w:line="360" w:lineRule="auto"/>
        <w:ind w:left="0" w:firstLine="562" w:firstLineChars="200"/>
        <w:jc w:val="both"/>
        <w:rPr>
          <w:color w:val="auto"/>
          <w:highlight w:val="none"/>
        </w:rPr>
      </w:pPr>
      <w:r>
        <w:rPr>
          <w:color w:val="auto"/>
          <w:highlight w:val="none"/>
        </w:rPr>
        <w:t>采购信息的发布</w:t>
      </w:r>
    </w:p>
    <w:p w14:paraId="7FBE9743">
      <w:pPr>
        <w:pStyle w:val="7"/>
        <w:spacing w:line="360" w:lineRule="auto"/>
        <w:ind w:firstLine="560" w:firstLineChars="200"/>
        <w:jc w:val="both"/>
        <w:rPr>
          <w:color w:val="auto"/>
          <w:highlight w:val="none"/>
        </w:rPr>
      </w:pPr>
      <w:r>
        <w:rPr>
          <w:color w:val="auto"/>
          <w:highlight w:val="none"/>
        </w:rPr>
        <w:t>与本次采购活动相关的信息，在《河南省政府采购网》《河南省公共资源交易中心网》</w:t>
      </w:r>
      <w:r>
        <w:rPr>
          <w:rFonts w:hint="eastAsia"/>
          <w:color w:val="auto"/>
          <w:highlight w:val="none"/>
        </w:rPr>
        <w:t>《河南理工大学网》</w:t>
      </w:r>
      <w:r>
        <w:rPr>
          <w:color w:val="auto"/>
          <w:highlight w:val="none"/>
        </w:rPr>
        <w:t>上及时发布。</w:t>
      </w:r>
    </w:p>
    <w:p w14:paraId="4DBDE3BE">
      <w:pPr>
        <w:pStyle w:val="19"/>
        <w:spacing w:before="120" w:beforeLines="50" w:after="120" w:afterLines="50" w:line="360" w:lineRule="auto"/>
        <w:ind w:left="0"/>
        <w:rPr>
          <w:rFonts w:ascii="宋体" w:hAnsi="宋体" w:eastAsia="宋体" w:cs="宋体"/>
          <w:b/>
          <w:bCs/>
          <w:color w:val="auto"/>
          <w:sz w:val="30"/>
          <w:szCs w:val="30"/>
          <w:highlight w:val="none"/>
        </w:rPr>
      </w:pPr>
      <w:bookmarkStart w:id="18" w:name="二、招标文件"/>
      <w:bookmarkEnd w:id="18"/>
      <w:r>
        <w:rPr>
          <w:rFonts w:hint="eastAsia" w:ascii="宋体" w:hAnsi="宋体" w:eastAsia="宋体" w:cs="宋体"/>
          <w:b/>
          <w:bCs/>
          <w:color w:val="auto"/>
          <w:sz w:val="30"/>
          <w:szCs w:val="30"/>
          <w:highlight w:val="none"/>
        </w:rPr>
        <w:t>二、招标文件</w:t>
      </w:r>
    </w:p>
    <w:p w14:paraId="08D6DA5A">
      <w:pPr>
        <w:pStyle w:val="5"/>
        <w:numPr>
          <w:ilvl w:val="0"/>
          <w:numId w:val="4"/>
        </w:numPr>
        <w:spacing w:line="360" w:lineRule="auto"/>
        <w:ind w:left="0" w:firstLine="562" w:firstLineChars="200"/>
        <w:jc w:val="both"/>
        <w:rPr>
          <w:color w:val="auto"/>
          <w:highlight w:val="none"/>
        </w:rPr>
      </w:pPr>
      <w:bookmarkStart w:id="19" w:name="_Hlk229324528"/>
      <w:r>
        <w:rPr>
          <w:color w:val="auto"/>
          <w:highlight w:val="none"/>
        </w:rPr>
        <w:t>招标文件的组成</w:t>
      </w:r>
    </w:p>
    <w:bookmarkEnd w:id="19"/>
    <w:p w14:paraId="35835882">
      <w:pPr>
        <w:numPr>
          <w:ilvl w:val="1"/>
          <w:numId w:val="4"/>
        </w:numPr>
        <w:spacing w:line="360" w:lineRule="auto"/>
        <w:ind w:left="0" w:firstLine="560" w:firstLineChars="200"/>
        <w:jc w:val="both"/>
        <w:rPr>
          <w:color w:val="auto"/>
          <w:sz w:val="28"/>
          <w:highlight w:val="none"/>
        </w:rPr>
      </w:pPr>
      <w:r>
        <w:rPr>
          <w:color w:val="auto"/>
          <w:sz w:val="28"/>
          <w:highlight w:val="none"/>
        </w:rPr>
        <w:t>招标文件共八章，构成如下：</w:t>
      </w:r>
    </w:p>
    <w:p w14:paraId="0AE73458">
      <w:pPr>
        <w:spacing w:line="360" w:lineRule="auto"/>
        <w:ind w:firstLine="560" w:firstLineChars="200"/>
        <w:jc w:val="both"/>
        <w:rPr>
          <w:color w:val="auto"/>
          <w:sz w:val="28"/>
          <w:highlight w:val="none"/>
        </w:rPr>
      </w:pPr>
      <w:r>
        <w:rPr>
          <w:color w:val="auto"/>
          <w:sz w:val="28"/>
          <w:highlight w:val="none"/>
        </w:rPr>
        <w:t xml:space="preserve">第一章 </w:t>
      </w:r>
      <w:r>
        <w:rPr>
          <w:rFonts w:hint="eastAsia"/>
          <w:color w:val="auto"/>
          <w:sz w:val="28"/>
          <w:highlight w:val="none"/>
        </w:rPr>
        <w:t>招标公告</w:t>
      </w:r>
    </w:p>
    <w:p w14:paraId="62CFC186">
      <w:pPr>
        <w:spacing w:line="360" w:lineRule="auto"/>
        <w:ind w:firstLine="560" w:firstLineChars="200"/>
        <w:jc w:val="both"/>
        <w:rPr>
          <w:color w:val="auto"/>
          <w:sz w:val="28"/>
          <w:highlight w:val="none"/>
        </w:rPr>
      </w:pPr>
      <w:r>
        <w:rPr>
          <w:color w:val="auto"/>
          <w:sz w:val="28"/>
          <w:highlight w:val="none"/>
        </w:rPr>
        <w:t>第二章 投标人须知前附表</w:t>
      </w:r>
    </w:p>
    <w:p w14:paraId="57401C4D">
      <w:pPr>
        <w:spacing w:line="360" w:lineRule="auto"/>
        <w:ind w:firstLine="560" w:firstLineChars="200"/>
        <w:jc w:val="both"/>
        <w:rPr>
          <w:color w:val="auto"/>
          <w:sz w:val="28"/>
          <w:highlight w:val="none"/>
        </w:rPr>
      </w:pPr>
      <w:r>
        <w:rPr>
          <w:color w:val="auto"/>
          <w:sz w:val="28"/>
          <w:highlight w:val="none"/>
        </w:rPr>
        <w:t>第三章 投标人须知</w:t>
      </w:r>
    </w:p>
    <w:p w14:paraId="518AA205">
      <w:pPr>
        <w:spacing w:line="360" w:lineRule="auto"/>
        <w:ind w:firstLine="560" w:firstLineChars="200"/>
        <w:jc w:val="both"/>
        <w:rPr>
          <w:color w:val="auto"/>
          <w:sz w:val="28"/>
          <w:highlight w:val="none"/>
        </w:rPr>
      </w:pPr>
      <w:r>
        <w:rPr>
          <w:color w:val="auto"/>
          <w:sz w:val="28"/>
          <w:highlight w:val="none"/>
        </w:rPr>
        <w:t>第四章 资格证明文件格式</w:t>
      </w:r>
    </w:p>
    <w:p w14:paraId="4E7670CF">
      <w:pPr>
        <w:spacing w:line="360" w:lineRule="auto"/>
        <w:ind w:firstLine="560" w:firstLineChars="200"/>
        <w:jc w:val="both"/>
        <w:rPr>
          <w:color w:val="auto"/>
          <w:sz w:val="28"/>
          <w:highlight w:val="none"/>
        </w:rPr>
      </w:pPr>
      <w:r>
        <w:rPr>
          <w:color w:val="auto"/>
          <w:sz w:val="28"/>
          <w:highlight w:val="none"/>
        </w:rPr>
        <w:t>第五章 投标文件格式</w:t>
      </w:r>
    </w:p>
    <w:p w14:paraId="30D28A9E">
      <w:pPr>
        <w:spacing w:line="360" w:lineRule="auto"/>
        <w:ind w:firstLine="560" w:firstLineChars="200"/>
        <w:jc w:val="both"/>
        <w:rPr>
          <w:color w:val="auto"/>
          <w:sz w:val="28"/>
          <w:highlight w:val="none"/>
        </w:rPr>
      </w:pPr>
      <w:r>
        <w:rPr>
          <w:rFonts w:hint="eastAsia"/>
          <w:color w:val="auto"/>
          <w:sz w:val="28"/>
          <w:highlight w:val="none"/>
        </w:rPr>
        <w:t>第六章 采购需求</w:t>
      </w:r>
    </w:p>
    <w:p w14:paraId="181CABF0">
      <w:pPr>
        <w:spacing w:line="360" w:lineRule="auto"/>
        <w:ind w:firstLine="560" w:firstLineChars="200"/>
        <w:jc w:val="both"/>
        <w:rPr>
          <w:color w:val="auto"/>
          <w:sz w:val="28"/>
          <w:highlight w:val="none"/>
        </w:rPr>
      </w:pPr>
      <w:r>
        <w:rPr>
          <w:color w:val="auto"/>
          <w:sz w:val="28"/>
          <w:highlight w:val="none"/>
        </w:rPr>
        <w:t>第七</w:t>
      </w:r>
      <w:r>
        <w:rPr>
          <w:rFonts w:hint="eastAsia"/>
          <w:color w:val="auto"/>
          <w:sz w:val="28"/>
          <w:highlight w:val="none"/>
        </w:rPr>
        <w:t>章 评标方法和标准</w:t>
      </w:r>
    </w:p>
    <w:p w14:paraId="1EFCD62E">
      <w:pPr>
        <w:spacing w:line="360" w:lineRule="auto"/>
        <w:ind w:firstLine="560" w:firstLineChars="200"/>
        <w:jc w:val="both"/>
        <w:rPr>
          <w:color w:val="auto"/>
          <w:sz w:val="28"/>
          <w:highlight w:val="none"/>
        </w:rPr>
      </w:pPr>
      <w:r>
        <w:rPr>
          <w:rFonts w:hint="eastAsia"/>
          <w:color w:val="auto"/>
          <w:sz w:val="28"/>
          <w:highlight w:val="none"/>
        </w:rPr>
        <w:t>第八章 合同条款及格式</w:t>
      </w:r>
    </w:p>
    <w:p w14:paraId="64B15AD5">
      <w:pPr>
        <w:pStyle w:val="19"/>
        <w:numPr>
          <w:ilvl w:val="1"/>
          <w:numId w:val="4"/>
        </w:numPr>
        <w:spacing w:line="360" w:lineRule="auto"/>
        <w:ind w:left="0" w:firstLine="560" w:firstLineChars="200"/>
        <w:jc w:val="both"/>
        <w:rPr>
          <w:color w:val="auto"/>
          <w:sz w:val="28"/>
          <w:highlight w:val="none"/>
        </w:rPr>
      </w:pPr>
      <w:r>
        <w:rPr>
          <w:color w:val="auto"/>
          <w:sz w:val="28"/>
          <w:highlight w:val="none"/>
        </w:rPr>
        <w:t>招标文件中有不一致的，有澄清的部分以最终的澄清更正内容为准；未澄清的，以投标人须知前附表为准；投标</w:t>
      </w:r>
      <w:r>
        <w:rPr>
          <w:rFonts w:hint="eastAsia"/>
          <w:color w:val="auto"/>
          <w:sz w:val="28"/>
          <w:highlight w:val="none"/>
        </w:rPr>
        <w:t>人</w:t>
      </w:r>
      <w:r>
        <w:rPr>
          <w:color w:val="auto"/>
          <w:sz w:val="28"/>
          <w:highlight w:val="none"/>
        </w:rPr>
        <w:t>须知前</w:t>
      </w:r>
      <w:r>
        <w:rPr>
          <w:rFonts w:hint="eastAsia"/>
          <w:color w:val="auto"/>
          <w:sz w:val="28"/>
          <w:highlight w:val="none"/>
        </w:rPr>
        <w:t>附</w:t>
      </w:r>
      <w:r>
        <w:rPr>
          <w:color w:val="auto"/>
          <w:sz w:val="28"/>
          <w:highlight w:val="none"/>
        </w:rPr>
        <w:t>表不涉及的内容，以编排在后的描述为准。</w:t>
      </w:r>
    </w:p>
    <w:p w14:paraId="02F67918">
      <w:pPr>
        <w:pStyle w:val="19"/>
        <w:numPr>
          <w:ilvl w:val="1"/>
          <w:numId w:val="4"/>
        </w:numPr>
        <w:spacing w:line="360" w:lineRule="auto"/>
        <w:ind w:left="0" w:firstLine="560" w:firstLineChars="200"/>
        <w:jc w:val="both"/>
        <w:rPr>
          <w:color w:val="auto"/>
          <w:sz w:val="28"/>
          <w:highlight w:val="none"/>
        </w:rPr>
      </w:pPr>
      <w:r>
        <w:rPr>
          <w:color w:val="auto"/>
          <w:sz w:val="28"/>
          <w:highlight w:val="none"/>
        </w:rPr>
        <w:t>投标人应认真阅读招标文件所有的事项、格式、条款和技术规范等。</w:t>
      </w:r>
      <w:r>
        <w:rPr>
          <w:b/>
          <w:bCs/>
          <w:color w:val="auto"/>
          <w:sz w:val="28"/>
          <w:highlight w:val="none"/>
        </w:rPr>
        <w:t>如投标人没有按照招标文件要求提交全部资料，或者投标文件没有对招标文件的实质性要求做出响应，其投标被认定为投标无效。</w:t>
      </w:r>
    </w:p>
    <w:p w14:paraId="44904DC8">
      <w:pPr>
        <w:pStyle w:val="5"/>
        <w:numPr>
          <w:ilvl w:val="0"/>
          <w:numId w:val="4"/>
        </w:numPr>
        <w:spacing w:line="360" w:lineRule="auto"/>
        <w:ind w:left="0" w:firstLine="562" w:firstLineChars="200"/>
        <w:jc w:val="both"/>
        <w:rPr>
          <w:b w:val="0"/>
          <w:color w:val="auto"/>
          <w:highlight w:val="none"/>
        </w:rPr>
      </w:pPr>
      <w:r>
        <w:rPr>
          <w:color w:val="auto"/>
          <w:highlight w:val="none"/>
        </w:rPr>
        <w:t>招标文件的澄清与修改</w:t>
      </w:r>
    </w:p>
    <w:p w14:paraId="6F04D71C">
      <w:pPr>
        <w:pStyle w:val="19"/>
        <w:numPr>
          <w:ilvl w:val="1"/>
          <w:numId w:val="4"/>
        </w:numPr>
        <w:spacing w:line="360" w:lineRule="auto"/>
        <w:ind w:left="0" w:firstLine="560" w:firstLineChars="200"/>
        <w:jc w:val="both"/>
        <w:rPr>
          <w:color w:val="auto"/>
          <w:sz w:val="28"/>
          <w:highlight w:val="none"/>
        </w:rPr>
      </w:pPr>
      <w:r>
        <w:rPr>
          <w:color w:val="auto"/>
          <w:sz w:val="28"/>
          <w:highlight w:val="none"/>
        </w:rPr>
        <w:t>投标人应仔细阅读和检查招标文件的全部内容。如有疑问，应及时向采购人或采购</w:t>
      </w:r>
      <w:r>
        <w:rPr>
          <w:rFonts w:hint="eastAsia"/>
          <w:color w:val="auto"/>
          <w:sz w:val="28"/>
          <w:highlight w:val="none"/>
        </w:rPr>
        <w:t>代理</w:t>
      </w:r>
      <w:r>
        <w:rPr>
          <w:color w:val="auto"/>
          <w:sz w:val="28"/>
          <w:highlight w:val="none"/>
        </w:rPr>
        <w:t>机构提出。</w:t>
      </w:r>
    </w:p>
    <w:p w14:paraId="27BD3BC5">
      <w:pPr>
        <w:pStyle w:val="19"/>
        <w:numPr>
          <w:ilvl w:val="1"/>
          <w:numId w:val="4"/>
        </w:numPr>
        <w:spacing w:line="360" w:lineRule="auto"/>
        <w:ind w:left="0" w:firstLine="560" w:firstLineChars="200"/>
        <w:jc w:val="both"/>
        <w:rPr>
          <w:color w:val="auto"/>
          <w:sz w:val="28"/>
          <w:szCs w:val="28"/>
          <w:highlight w:val="none"/>
        </w:rPr>
      </w:pPr>
      <w:r>
        <w:rPr>
          <w:color w:val="auto"/>
          <w:sz w:val="28"/>
          <w:highlight w:val="none"/>
        </w:rPr>
        <w:t>采购人或采购</w:t>
      </w:r>
      <w:r>
        <w:rPr>
          <w:rFonts w:hint="eastAsia"/>
          <w:color w:val="auto"/>
          <w:sz w:val="28"/>
          <w:highlight w:val="none"/>
        </w:rPr>
        <w:t>代理</w:t>
      </w:r>
      <w:r>
        <w:rPr>
          <w:color w:val="auto"/>
          <w:sz w:val="28"/>
          <w:highlight w:val="none"/>
        </w:rPr>
        <w:t>机构可主动地或在解答投标人提出的澄清问题时对招标文件进行澄清（更正）或修</w:t>
      </w:r>
      <w:r>
        <w:rPr>
          <w:color w:val="auto"/>
          <w:sz w:val="28"/>
          <w:szCs w:val="28"/>
          <w:highlight w:val="none"/>
        </w:rPr>
        <w:t>改，但不得修改采购标的和资格条件。</w:t>
      </w:r>
      <w:r>
        <w:rPr>
          <w:color w:val="auto"/>
          <w:sz w:val="28"/>
          <w:highlight w:val="none"/>
        </w:rPr>
        <w:t>将以发布澄清（更正）公告的方式，澄清（更正）或修改招标文件，澄清（更</w:t>
      </w:r>
      <w:r>
        <w:rPr>
          <w:color w:val="auto"/>
          <w:sz w:val="28"/>
          <w:szCs w:val="28"/>
          <w:highlight w:val="none"/>
        </w:rPr>
        <w:t>正）或修改的内容作为招标文件的组成部分。澄清（更正）或者修改的内容可能影响投标文件编制的，将在投标截止时间15日前，在原公告发布媒体上发布变更（更正）公告（或澄清公告），不足 15 日的将顺延递交投标文件的截止时间。</w:t>
      </w:r>
    </w:p>
    <w:p w14:paraId="21AAABF1">
      <w:pPr>
        <w:pStyle w:val="19"/>
        <w:numPr>
          <w:ilvl w:val="1"/>
          <w:numId w:val="4"/>
        </w:numPr>
        <w:spacing w:line="360" w:lineRule="auto"/>
        <w:ind w:left="0" w:firstLine="560" w:firstLineChars="200"/>
        <w:jc w:val="both"/>
        <w:rPr>
          <w:color w:val="auto"/>
          <w:sz w:val="28"/>
          <w:highlight w:val="none"/>
        </w:rPr>
      </w:pPr>
      <w:r>
        <w:rPr>
          <w:color w:val="auto"/>
          <w:sz w:val="28"/>
          <w:highlight w:val="none"/>
        </w:rPr>
        <w:t>招标文件的澄清（更正）或修改在交易平台上公布给投标人，但不指明澄清问题的来源。</w:t>
      </w:r>
    </w:p>
    <w:p w14:paraId="2B92F8F2">
      <w:pPr>
        <w:pStyle w:val="19"/>
        <w:numPr>
          <w:ilvl w:val="1"/>
          <w:numId w:val="4"/>
        </w:numPr>
        <w:spacing w:line="360" w:lineRule="auto"/>
        <w:ind w:left="0" w:firstLine="560" w:firstLineChars="200"/>
        <w:jc w:val="both"/>
        <w:rPr>
          <w:color w:val="auto"/>
          <w:sz w:val="28"/>
          <w:szCs w:val="28"/>
          <w:highlight w:val="none"/>
        </w:rPr>
      </w:pPr>
      <w:r>
        <w:rPr>
          <w:color w:val="auto"/>
          <w:sz w:val="28"/>
          <w:highlight w:val="none"/>
        </w:rPr>
        <w:t>对已发出的招标文件进行的澄清、更正或修改，澄清、更正或修改的内容将作为招标文件的组成部分。通过河南省政府采购网</w:t>
      </w:r>
      <w:r>
        <w:rPr>
          <w:color w:val="auto"/>
          <w:sz w:val="28"/>
          <w:szCs w:val="28"/>
          <w:highlight w:val="none"/>
        </w:rPr>
        <w:t>（zfcg.henan.gov.cn）、河南省公共资源交易网（hnsggzyjy.henan.</w:t>
      </w:r>
      <w:r>
        <w:rPr>
          <w:rFonts w:hint="eastAsia"/>
          <w:color w:val="auto"/>
          <w:sz w:val="28"/>
          <w:szCs w:val="28"/>
          <w:highlight w:val="none"/>
        </w:rPr>
        <w:t xml:space="preserve"> </w:t>
      </w:r>
      <w:r>
        <w:rPr>
          <w:color w:val="auto"/>
          <w:sz w:val="28"/>
          <w:szCs w:val="28"/>
          <w:highlight w:val="none"/>
        </w:rPr>
        <w:t>gov.cn）网站“变更（澄清或更正）公告”和系统内部“答疑文件”告知投标人，各投标人重新下载最新的答疑、变更（澄清或更正）文件，以此编制投标文件。</w:t>
      </w:r>
    </w:p>
    <w:p w14:paraId="40651ED3">
      <w:pPr>
        <w:pStyle w:val="19"/>
        <w:numPr>
          <w:ilvl w:val="1"/>
          <w:numId w:val="4"/>
        </w:numPr>
        <w:spacing w:line="360" w:lineRule="auto"/>
        <w:ind w:left="0" w:firstLine="560" w:firstLineChars="200"/>
        <w:jc w:val="both"/>
        <w:rPr>
          <w:color w:val="auto"/>
          <w:sz w:val="28"/>
          <w:highlight w:val="none"/>
        </w:rPr>
      </w:pPr>
      <w:r>
        <w:rPr>
          <w:color w:val="auto"/>
          <w:sz w:val="28"/>
          <w:highlight w:val="none"/>
        </w:rPr>
        <w:t>河南省公共资源交易中心交易平台内投标人信息在投标截止时间前具有保密性，投标人在投标截止时间前应当及时查看项目进展、答疑、变更（澄清或更正）通知、澄清及回复。</w:t>
      </w:r>
    </w:p>
    <w:p w14:paraId="025C665D">
      <w:pPr>
        <w:pStyle w:val="5"/>
        <w:numPr>
          <w:ilvl w:val="0"/>
          <w:numId w:val="4"/>
        </w:numPr>
        <w:spacing w:line="360" w:lineRule="auto"/>
        <w:ind w:left="0" w:firstLine="562" w:firstLineChars="200"/>
        <w:jc w:val="both"/>
        <w:rPr>
          <w:color w:val="auto"/>
          <w:highlight w:val="none"/>
        </w:rPr>
      </w:pPr>
      <w:r>
        <w:rPr>
          <w:color w:val="auto"/>
          <w:highlight w:val="none"/>
        </w:rPr>
        <w:t>投标截止时间的顺延</w:t>
      </w:r>
    </w:p>
    <w:p w14:paraId="2DCFABDE">
      <w:pPr>
        <w:pStyle w:val="7"/>
        <w:spacing w:line="360" w:lineRule="auto"/>
        <w:ind w:firstLine="560" w:firstLineChars="200"/>
        <w:jc w:val="both"/>
        <w:rPr>
          <w:color w:val="auto"/>
          <w:highlight w:val="none"/>
        </w:rPr>
      </w:pPr>
      <w:r>
        <w:rPr>
          <w:color w:val="auto"/>
          <w:highlight w:val="none"/>
        </w:rPr>
        <w:t>为使投标人有足够的时间对招标文件的澄清或者修改部分进行研究而准备投标或因其他原因，采购人将依法决定是否顺延投标截止时间。</w:t>
      </w:r>
    </w:p>
    <w:p w14:paraId="13013254">
      <w:pPr>
        <w:pStyle w:val="19"/>
        <w:spacing w:before="120" w:beforeLines="50" w:after="120" w:afterLines="50" w:line="360" w:lineRule="auto"/>
        <w:ind w:left="0"/>
        <w:rPr>
          <w:rFonts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三、投标文件的编制</w:t>
      </w:r>
    </w:p>
    <w:p w14:paraId="2FF4805B">
      <w:pPr>
        <w:pStyle w:val="5"/>
        <w:numPr>
          <w:ilvl w:val="0"/>
          <w:numId w:val="4"/>
        </w:numPr>
        <w:spacing w:line="360" w:lineRule="auto"/>
        <w:ind w:left="0" w:firstLine="562" w:firstLineChars="200"/>
        <w:jc w:val="both"/>
        <w:rPr>
          <w:color w:val="auto"/>
          <w:highlight w:val="none"/>
        </w:rPr>
      </w:pPr>
      <w:r>
        <w:rPr>
          <w:color w:val="auto"/>
          <w:highlight w:val="none"/>
        </w:rPr>
        <w:t>投标语言</w:t>
      </w:r>
    </w:p>
    <w:p w14:paraId="51ECF39B">
      <w:pPr>
        <w:pStyle w:val="7"/>
        <w:spacing w:before="186" w:line="364" w:lineRule="auto"/>
        <w:ind w:left="340" w:right="349" w:firstLine="552" w:firstLineChars="200"/>
        <w:jc w:val="both"/>
        <w:rPr>
          <w:color w:val="auto"/>
          <w:highlight w:val="none"/>
        </w:rPr>
      </w:pPr>
      <w:bookmarkStart w:id="20" w:name="三、投标文件的编制"/>
      <w:bookmarkEnd w:id="20"/>
      <w:r>
        <w:rPr>
          <w:color w:val="auto"/>
          <w:spacing w:val="-2"/>
          <w:highlight w:val="none"/>
        </w:rPr>
        <w:t>投标文件以及投标人所有与采购人及采购</w:t>
      </w:r>
      <w:r>
        <w:rPr>
          <w:rFonts w:hint="eastAsia"/>
          <w:color w:val="auto"/>
          <w:spacing w:val="-2"/>
          <w:highlight w:val="none"/>
        </w:rPr>
        <w:t>代理</w:t>
      </w:r>
      <w:r>
        <w:rPr>
          <w:color w:val="auto"/>
          <w:spacing w:val="-2"/>
          <w:highlight w:val="none"/>
        </w:rPr>
        <w:t>机构就投标来往的函电均使用中文。投标人提供的外文资料应附有相应的中文译本，并以中文译本为准。</w:t>
      </w:r>
      <w:r>
        <w:rPr>
          <w:color w:val="auto"/>
          <w:highlight w:val="none"/>
        </w:rPr>
        <w:t>没有提供中文译本的，视为没有提供相应的材料。</w:t>
      </w:r>
    </w:p>
    <w:p w14:paraId="0A4A6544">
      <w:pPr>
        <w:pStyle w:val="5"/>
        <w:numPr>
          <w:ilvl w:val="0"/>
          <w:numId w:val="4"/>
        </w:numPr>
        <w:spacing w:line="360" w:lineRule="auto"/>
        <w:ind w:left="0" w:firstLine="562" w:firstLineChars="200"/>
        <w:jc w:val="both"/>
        <w:rPr>
          <w:color w:val="auto"/>
          <w:highlight w:val="none"/>
        </w:rPr>
      </w:pPr>
      <w:r>
        <w:rPr>
          <w:color w:val="auto"/>
          <w:highlight w:val="none"/>
        </w:rPr>
        <w:t>投标文件计量单位</w:t>
      </w:r>
    </w:p>
    <w:p w14:paraId="631BA104">
      <w:pPr>
        <w:pStyle w:val="7"/>
        <w:spacing w:line="360" w:lineRule="auto"/>
        <w:ind w:firstLine="560" w:firstLineChars="200"/>
        <w:jc w:val="both"/>
        <w:rPr>
          <w:color w:val="auto"/>
          <w:highlight w:val="none"/>
        </w:rPr>
      </w:pPr>
      <w:r>
        <w:rPr>
          <w:color w:val="auto"/>
          <w:highlight w:val="none"/>
        </w:rPr>
        <w:t>除招标文件中有特殊要求外，投标文件中所使用的计量单位，应采用中华人民共和国法定计量单位。</w:t>
      </w:r>
    </w:p>
    <w:p w14:paraId="35FD02F3">
      <w:pPr>
        <w:pStyle w:val="5"/>
        <w:numPr>
          <w:ilvl w:val="0"/>
          <w:numId w:val="4"/>
        </w:numPr>
        <w:spacing w:line="360" w:lineRule="auto"/>
        <w:ind w:left="0" w:firstLine="562" w:firstLineChars="200"/>
        <w:jc w:val="both"/>
        <w:rPr>
          <w:color w:val="auto"/>
          <w:highlight w:val="none"/>
        </w:rPr>
      </w:pPr>
      <w:r>
        <w:rPr>
          <w:color w:val="auto"/>
          <w:highlight w:val="none"/>
        </w:rPr>
        <w:t>投标文件的组成</w:t>
      </w:r>
    </w:p>
    <w:p w14:paraId="4666FEB7">
      <w:pPr>
        <w:pStyle w:val="7"/>
        <w:spacing w:line="360" w:lineRule="auto"/>
        <w:ind w:firstLine="560" w:firstLineChars="200"/>
        <w:jc w:val="both"/>
        <w:rPr>
          <w:b/>
          <w:bCs/>
          <w:color w:val="auto"/>
          <w:highlight w:val="none"/>
        </w:rPr>
      </w:pPr>
      <w:r>
        <w:rPr>
          <w:color w:val="auto"/>
          <w:highlight w:val="none"/>
        </w:rPr>
        <w:t>投标人应完整地按照招标文件提供的投标文件格式及要求编写投标文件，并对其提交的投标文件的真实性、合法性承担法律责任。</w:t>
      </w:r>
      <w:r>
        <w:rPr>
          <w:b/>
          <w:bCs/>
          <w:color w:val="auto"/>
          <w:highlight w:val="none"/>
        </w:rPr>
        <w:t>投标文件中资格审查和符合性审查涉及的事项不满足招标文件要求的，其投标将被认定为投标无效。</w:t>
      </w:r>
    </w:p>
    <w:p w14:paraId="78469588">
      <w:pPr>
        <w:pStyle w:val="19"/>
        <w:numPr>
          <w:ilvl w:val="0"/>
          <w:numId w:val="4"/>
        </w:numPr>
        <w:spacing w:line="360" w:lineRule="auto"/>
        <w:ind w:left="0" w:firstLine="560" w:firstLineChars="200"/>
        <w:jc w:val="both"/>
        <w:rPr>
          <w:color w:val="auto"/>
          <w:sz w:val="28"/>
          <w:highlight w:val="none"/>
        </w:rPr>
      </w:pPr>
      <w:r>
        <w:rPr>
          <w:color w:val="auto"/>
          <w:sz w:val="28"/>
          <w:highlight w:val="none"/>
        </w:rPr>
        <w:t>招标文件中的每个分包，是项目招标不可拆分的最小投标单元。投标人必须按各包</w:t>
      </w:r>
      <w:r>
        <w:rPr>
          <w:rFonts w:hint="eastAsia"/>
          <w:color w:val="auto"/>
          <w:sz w:val="28"/>
          <w:highlight w:val="none"/>
        </w:rPr>
        <w:t>要求</w:t>
      </w:r>
      <w:r>
        <w:rPr>
          <w:color w:val="auto"/>
          <w:sz w:val="28"/>
          <w:highlight w:val="none"/>
        </w:rPr>
        <w:t>分别编制各包的投标文件，并按各包</w:t>
      </w:r>
      <w:r>
        <w:rPr>
          <w:rFonts w:hint="eastAsia"/>
          <w:color w:val="auto"/>
          <w:sz w:val="28"/>
          <w:highlight w:val="none"/>
        </w:rPr>
        <w:t>要求</w:t>
      </w:r>
      <w:r>
        <w:rPr>
          <w:color w:val="auto"/>
          <w:sz w:val="28"/>
          <w:highlight w:val="none"/>
        </w:rPr>
        <w:t>分别提交相应的文件资料，拆包投标将视为漏项或非实质性响应，其投标将被认定为投标无效。</w:t>
      </w:r>
    </w:p>
    <w:p w14:paraId="46E3878E">
      <w:pPr>
        <w:pStyle w:val="5"/>
        <w:numPr>
          <w:ilvl w:val="0"/>
          <w:numId w:val="4"/>
        </w:numPr>
        <w:spacing w:line="360" w:lineRule="auto"/>
        <w:ind w:left="0" w:firstLine="562" w:firstLineChars="200"/>
        <w:jc w:val="both"/>
        <w:rPr>
          <w:color w:val="auto"/>
          <w:highlight w:val="none"/>
        </w:rPr>
      </w:pPr>
      <w:r>
        <w:rPr>
          <w:color w:val="auto"/>
          <w:highlight w:val="none"/>
        </w:rPr>
        <w:t>投标文件编制</w:t>
      </w:r>
    </w:p>
    <w:p w14:paraId="21D423E3">
      <w:pPr>
        <w:pStyle w:val="19"/>
        <w:spacing w:line="360" w:lineRule="auto"/>
        <w:ind w:left="0" w:firstLine="560" w:firstLineChars="200"/>
        <w:jc w:val="both"/>
        <w:rPr>
          <w:rFonts w:ascii="仿宋_GB2312" w:eastAsia="仿宋_GB2312"/>
          <w:color w:val="auto"/>
          <w:sz w:val="28"/>
          <w:highlight w:val="none"/>
        </w:rPr>
      </w:pPr>
      <w:r>
        <w:rPr>
          <w:rFonts w:hint="eastAsia" w:ascii="仿宋_GB2312" w:eastAsia="仿宋_GB2312"/>
          <w:color w:val="auto"/>
          <w:sz w:val="28"/>
          <w:highlight w:val="none"/>
        </w:rPr>
        <w:t>17.1投标文件应按招标文件要求的内容编制投标文件，应当对招标文件提出的实质性要求和条件做出响应。在满足招标文件实质性要求的基础上，可以提出比招标文件要求更有利于招标人的承诺。</w:t>
      </w:r>
    </w:p>
    <w:p w14:paraId="62717203">
      <w:pPr>
        <w:pStyle w:val="19"/>
        <w:spacing w:line="360" w:lineRule="auto"/>
        <w:ind w:left="0" w:firstLine="560" w:firstLineChars="200"/>
        <w:jc w:val="both"/>
        <w:rPr>
          <w:rFonts w:ascii="仿宋_GB2312" w:eastAsia="仿宋_GB2312"/>
          <w:color w:val="auto"/>
          <w:sz w:val="28"/>
          <w:highlight w:val="none"/>
        </w:rPr>
      </w:pPr>
      <w:r>
        <w:rPr>
          <w:rFonts w:hint="eastAsia" w:ascii="仿宋_GB2312" w:eastAsia="仿宋_GB2312"/>
          <w:color w:val="auto"/>
          <w:sz w:val="28"/>
          <w:highlight w:val="none"/>
        </w:rPr>
        <w:t>17.2投标人在编制投标文件时，涉及投标前附表中要求的资格审查内容，须上传到“资格审查材料”中。</w:t>
      </w:r>
    </w:p>
    <w:p w14:paraId="352FBFEC">
      <w:pPr>
        <w:pStyle w:val="5"/>
        <w:numPr>
          <w:ilvl w:val="0"/>
          <w:numId w:val="4"/>
        </w:numPr>
        <w:spacing w:line="360" w:lineRule="auto"/>
        <w:ind w:left="0" w:firstLine="562" w:firstLineChars="200"/>
        <w:jc w:val="both"/>
        <w:rPr>
          <w:color w:val="auto"/>
          <w:highlight w:val="none"/>
        </w:rPr>
      </w:pPr>
      <w:r>
        <w:rPr>
          <w:color w:val="auto"/>
          <w:highlight w:val="none"/>
        </w:rPr>
        <w:t>投标报价</w:t>
      </w:r>
    </w:p>
    <w:p w14:paraId="03E28A9E">
      <w:pPr>
        <w:pStyle w:val="19"/>
        <w:numPr>
          <w:ilvl w:val="1"/>
          <w:numId w:val="4"/>
        </w:numPr>
        <w:spacing w:line="360" w:lineRule="auto"/>
        <w:ind w:left="0" w:firstLine="560" w:firstLineChars="200"/>
        <w:jc w:val="both"/>
        <w:rPr>
          <w:color w:val="auto"/>
          <w:sz w:val="28"/>
          <w:highlight w:val="none"/>
        </w:rPr>
      </w:pPr>
      <w:r>
        <w:rPr>
          <w:color w:val="auto"/>
          <w:sz w:val="28"/>
          <w:highlight w:val="none"/>
        </w:rPr>
        <w:t>投标人报价超过招标文件规定的最高限价的，其投标将被认定为</w:t>
      </w:r>
      <w:r>
        <w:rPr>
          <w:b/>
          <w:bCs/>
          <w:color w:val="auto"/>
          <w:sz w:val="28"/>
          <w:highlight w:val="none"/>
        </w:rPr>
        <w:t>投标无效</w:t>
      </w:r>
      <w:r>
        <w:rPr>
          <w:color w:val="auto"/>
          <w:sz w:val="28"/>
          <w:highlight w:val="none"/>
        </w:rPr>
        <w:t>。</w:t>
      </w:r>
    </w:p>
    <w:p w14:paraId="24EC869F">
      <w:pPr>
        <w:pStyle w:val="19"/>
        <w:numPr>
          <w:ilvl w:val="1"/>
          <w:numId w:val="4"/>
        </w:numPr>
        <w:spacing w:line="360" w:lineRule="auto"/>
        <w:ind w:left="0" w:firstLine="560" w:firstLineChars="200"/>
        <w:jc w:val="both"/>
        <w:rPr>
          <w:color w:val="auto"/>
          <w:sz w:val="28"/>
          <w:highlight w:val="none"/>
        </w:rPr>
      </w:pPr>
      <w:r>
        <w:rPr>
          <w:rFonts w:hint="eastAsia"/>
          <w:color w:val="auto"/>
          <w:sz w:val="28"/>
          <w:highlight w:val="none"/>
        </w:rPr>
        <w:t>投标人应当按照招标文件提供的报价表格式如实填写各项货物及伴随的服务的单价、分项总价和投标总报价。投标文件中若有漏项、漏报，采购人视为该部分的报价已包含在投标总报价中，风险由投标人自行承担，采购人将不再给予调整。</w:t>
      </w:r>
    </w:p>
    <w:p w14:paraId="20F55695">
      <w:pPr>
        <w:pStyle w:val="19"/>
        <w:numPr>
          <w:ilvl w:val="1"/>
          <w:numId w:val="4"/>
        </w:numPr>
        <w:spacing w:line="360" w:lineRule="auto"/>
        <w:ind w:left="0" w:firstLine="560" w:firstLineChars="200"/>
        <w:jc w:val="both"/>
        <w:rPr>
          <w:color w:val="auto"/>
          <w:sz w:val="28"/>
          <w:highlight w:val="none"/>
        </w:rPr>
      </w:pPr>
      <w:r>
        <w:rPr>
          <w:rFonts w:hint="eastAsia"/>
          <w:color w:val="auto"/>
          <w:sz w:val="28"/>
          <w:highlight w:val="none"/>
        </w:rPr>
        <w:t>投标人</w:t>
      </w:r>
      <w:r>
        <w:rPr>
          <w:color w:val="auto"/>
          <w:sz w:val="28"/>
          <w:highlight w:val="none"/>
        </w:rPr>
        <w:t>的报价应包括为完成本项目所发生的一切费用和税费，采购人将不再支付报价以外的任何费用</w:t>
      </w:r>
      <w:r>
        <w:rPr>
          <w:rFonts w:hint="eastAsia"/>
          <w:color w:val="auto"/>
          <w:sz w:val="28"/>
          <w:highlight w:val="none"/>
        </w:rPr>
        <w:t>。</w:t>
      </w:r>
      <w:r>
        <w:rPr>
          <w:b/>
          <w:bCs/>
          <w:color w:val="auto"/>
          <w:sz w:val="28"/>
          <w:highlight w:val="none"/>
        </w:rPr>
        <w:t>投标人所报的各分项投标单价在合同履行过程中是固定不变的，不得以任何理由予以变更。任何包含价格调整要求的投标，其投标将被认定为投标无效。</w:t>
      </w:r>
    </w:p>
    <w:p w14:paraId="7F075D47">
      <w:pPr>
        <w:pStyle w:val="19"/>
        <w:numPr>
          <w:ilvl w:val="1"/>
          <w:numId w:val="4"/>
        </w:numPr>
        <w:spacing w:line="360" w:lineRule="auto"/>
        <w:ind w:left="0" w:firstLine="560" w:firstLineChars="200"/>
        <w:jc w:val="both"/>
        <w:rPr>
          <w:color w:val="auto"/>
          <w:sz w:val="28"/>
          <w:highlight w:val="none"/>
        </w:rPr>
      </w:pPr>
      <w:bookmarkStart w:id="21" w:name="OLE_LINK34"/>
      <w:bookmarkStart w:id="22" w:name="OLE_LINK33"/>
      <w:r>
        <w:rPr>
          <w:rFonts w:hint="eastAsia" w:ascii="宋体" w:hAnsi="宋体"/>
          <w:color w:val="auto"/>
          <w:sz w:val="28"/>
          <w:szCs w:val="28"/>
          <w:highlight w:val="none"/>
        </w:rPr>
        <w:t>投标人的投标总报价应当包括：</w:t>
      </w:r>
      <w:bookmarkEnd w:id="21"/>
      <w:bookmarkEnd w:id="22"/>
      <w:r>
        <w:rPr>
          <w:rFonts w:hint="eastAsia" w:ascii="宋体" w:hAnsi="宋体"/>
          <w:b/>
          <w:bCs/>
          <w:color w:val="auto"/>
          <w:sz w:val="28"/>
          <w:szCs w:val="28"/>
          <w:highlight w:val="none"/>
        </w:rPr>
        <w:t>所提供货物</w:t>
      </w:r>
      <w:r>
        <w:rPr>
          <w:rFonts w:hint="eastAsia" w:ascii="宋体" w:hAnsi="宋体"/>
          <w:color w:val="auto"/>
          <w:sz w:val="28"/>
          <w:szCs w:val="28"/>
          <w:highlight w:val="none"/>
        </w:rPr>
        <w:t>（包括备品备件、专用工具等）和伴随服务需要缴纳的所有税费的价格（包括已在中国国内的进口货物完税后的仓库交货价、展室交货价或货架交货价），所提供货物的运输（含保险）、装卸、安装（如有）、调试、检验、技术服务、售后服务、培训、税费和招标文件要求提供的所有伴随服务、代理服务费等费用及交付采购人使用前发生的其他费用。</w:t>
      </w:r>
    </w:p>
    <w:p w14:paraId="5892741D">
      <w:pPr>
        <w:pStyle w:val="19"/>
        <w:numPr>
          <w:ilvl w:val="1"/>
          <w:numId w:val="4"/>
        </w:numPr>
        <w:spacing w:line="360" w:lineRule="auto"/>
        <w:ind w:left="0" w:firstLine="560" w:firstLineChars="200"/>
        <w:jc w:val="both"/>
        <w:rPr>
          <w:color w:val="auto"/>
          <w:sz w:val="28"/>
          <w:highlight w:val="none"/>
        </w:rPr>
      </w:pPr>
      <w:r>
        <w:rPr>
          <w:color w:val="auto"/>
          <w:sz w:val="28"/>
          <w:highlight w:val="none"/>
        </w:rPr>
        <w:t>每种货物只能有一个投标报价。采购人不接受具有附加条件的报</w:t>
      </w:r>
      <w:r>
        <w:rPr>
          <w:color w:val="auto"/>
          <w:sz w:val="28"/>
          <w:szCs w:val="28"/>
          <w:highlight w:val="none"/>
        </w:rPr>
        <w:t>价</w:t>
      </w:r>
      <w:r>
        <w:rPr>
          <w:rFonts w:hint="eastAsia"/>
          <w:color w:val="auto"/>
          <w:sz w:val="28"/>
          <w:szCs w:val="28"/>
          <w:highlight w:val="none"/>
        </w:rPr>
        <w:t>，</w:t>
      </w:r>
      <w:r>
        <w:rPr>
          <w:rFonts w:hint="eastAsia" w:ascii="宋体" w:hAnsi="宋体"/>
          <w:snapToGrid w:val="0"/>
          <w:color w:val="auto"/>
          <w:sz w:val="28"/>
          <w:szCs w:val="28"/>
          <w:highlight w:val="none"/>
        </w:rPr>
        <w:t>任何有选择的投标总报价或替代方案将导致</w:t>
      </w:r>
      <w:r>
        <w:rPr>
          <w:rFonts w:hint="eastAsia" w:ascii="宋体" w:hAnsi="宋体"/>
          <w:b/>
          <w:bCs/>
          <w:snapToGrid w:val="0"/>
          <w:color w:val="auto"/>
          <w:sz w:val="28"/>
          <w:szCs w:val="28"/>
          <w:highlight w:val="none"/>
        </w:rPr>
        <w:t>投标文件无效。</w:t>
      </w:r>
    </w:p>
    <w:p w14:paraId="057D582D">
      <w:pPr>
        <w:pStyle w:val="5"/>
        <w:numPr>
          <w:ilvl w:val="0"/>
          <w:numId w:val="4"/>
        </w:numPr>
        <w:spacing w:line="360" w:lineRule="auto"/>
        <w:ind w:left="0" w:firstLine="562" w:firstLineChars="200"/>
        <w:jc w:val="both"/>
        <w:rPr>
          <w:color w:val="auto"/>
          <w:highlight w:val="none"/>
        </w:rPr>
      </w:pPr>
      <w:r>
        <w:rPr>
          <w:color w:val="auto"/>
          <w:highlight w:val="none"/>
        </w:rPr>
        <w:t>投标货币</w:t>
      </w:r>
    </w:p>
    <w:p w14:paraId="34AC6F72">
      <w:pPr>
        <w:pStyle w:val="7"/>
        <w:spacing w:line="360" w:lineRule="auto"/>
        <w:ind w:firstLine="560" w:firstLineChars="200"/>
        <w:jc w:val="both"/>
        <w:rPr>
          <w:color w:val="auto"/>
          <w:highlight w:val="none"/>
        </w:rPr>
      </w:pPr>
      <w:r>
        <w:rPr>
          <w:color w:val="auto"/>
          <w:highlight w:val="none"/>
        </w:rPr>
        <w:t>除非“投标人须知前附表”另有规定，投标人提供的所有货物及相关服务用人民币报价。</w:t>
      </w:r>
    </w:p>
    <w:p w14:paraId="563C2BA0">
      <w:pPr>
        <w:pStyle w:val="5"/>
        <w:spacing w:line="360" w:lineRule="auto"/>
        <w:ind w:left="0" w:firstLine="562" w:firstLineChars="200"/>
        <w:jc w:val="both"/>
        <w:rPr>
          <w:color w:val="auto"/>
          <w:highlight w:val="none"/>
        </w:rPr>
      </w:pPr>
      <w:r>
        <w:rPr>
          <w:rFonts w:hint="eastAsia"/>
          <w:color w:val="auto"/>
          <w:highlight w:val="none"/>
        </w:rPr>
        <w:t>20.</w:t>
      </w:r>
      <w:r>
        <w:rPr>
          <w:color w:val="auto"/>
          <w:highlight w:val="none"/>
        </w:rPr>
        <w:t>投标人资格证明文件</w:t>
      </w:r>
    </w:p>
    <w:p w14:paraId="5D627057">
      <w:pPr>
        <w:pStyle w:val="7"/>
        <w:spacing w:line="360" w:lineRule="auto"/>
        <w:ind w:firstLine="560" w:firstLineChars="200"/>
        <w:jc w:val="both"/>
        <w:rPr>
          <w:color w:val="auto"/>
          <w:highlight w:val="none"/>
        </w:rPr>
      </w:pPr>
      <w:r>
        <w:rPr>
          <w:color w:val="auto"/>
          <w:highlight w:val="none"/>
        </w:rPr>
        <w:t>依据“投标人须知前附表</w:t>
      </w:r>
      <w:r>
        <w:rPr>
          <w:rFonts w:hint="eastAsia"/>
          <w:color w:val="auto"/>
          <w:highlight w:val="none"/>
        </w:rPr>
        <w:t>31.3</w:t>
      </w:r>
      <w:r>
        <w:rPr>
          <w:color w:val="auto"/>
          <w:highlight w:val="none"/>
        </w:rPr>
        <w:t>”中的要求按“第四章”的规定提交相应的资格证明文件，作为投标文件的一部分，以证明其有资格进行投标和有能力履行合同。</w:t>
      </w:r>
    </w:p>
    <w:p w14:paraId="247CA3EE">
      <w:pPr>
        <w:pStyle w:val="5"/>
        <w:numPr>
          <w:ilvl w:val="0"/>
          <w:numId w:val="6"/>
        </w:numPr>
        <w:spacing w:line="360" w:lineRule="auto"/>
        <w:ind w:left="0" w:firstLine="562" w:firstLineChars="200"/>
        <w:jc w:val="both"/>
        <w:rPr>
          <w:color w:val="auto"/>
          <w:highlight w:val="none"/>
        </w:rPr>
      </w:pPr>
      <w:r>
        <w:rPr>
          <w:color w:val="auto"/>
          <w:highlight w:val="none"/>
        </w:rPr>
        <w:t>投标人商务、技术证明文件</w:t>
      </w:r>
    </w:p>
    <w:p w14:paraId="5CA9B1A2">
      <w:pPr>
        <w:pStyle w:val="5"/>
        <w:numPr>
          <w:ilvl w:val="0"/>
          <w:numId w:val="7"/>
        </w:numPr>
        <w:spacing w:line="360" w:lineRule="auto"/>
        <w:ind w:left="0" w:firstLine="562" w:firstLineChars="200"/>
        <w:jc w:val="both"/>
        <w:rPr>
          <w:color w:val="auto"/>
          <w:highlight w:val="none"/>
        </w:rPr>
      </w:pPr>
      <w:r>
        <w:rPr>
          <w:rFonts w:hint="eastAsia"/>
          <w:color w:val="auto"/>
          <w:highlight w:val="none"/>
        </w:rPr>
        <w:t>21.1</w:t>
      </w:r>
      <w:r>
        <w:rPr>
          <w:color w:val="auto"/>
          <w:highlight w:val="none"/>
        </w:rPr>
        <w:t>投标人应按招标文件要求提交证明文件，证明其投标标的符合招标文件规定。</w:t>
      </w:r>
    </w:p>
    <w:p w14:paraId="14581970">
      <w:pPr>
        <w:pStyle w:val="5"/>
        <w:numPr>
          <w:ilvl w:val="0"/>
          <w:numId w:val="7"/>
        </w:numPr>
        <w:spacing w:line="360" w:lineRule="auto"/>
        <w:ind w:left="0" w:firstLine="562" w:firstLineChars="200"/>
        <w:jc w:val="both"/>
        <w:rPr>
          <w:color w:val="auto"/>
          <w:highlight w:val="none"/>
        </w:rPr>
      </w:pPr>
      <w:r>
        <w:rPr>
          <w:color w:val="auto"/>
          <w:highlight w:val="none"/>
        </w:rPr>
        <w:t>下列任何情况发生时，按国家有关法律法规进行处理并按投标函的约定向采购人支付违约赔偿金：</w:t>
      </w:r>
    </w:p>
    <w:p w14:paraId="12D4A1F3">
      <w:pPr>
        <w:pStyle w:val="19"/>
        <w:numPr>
          <w:ilvl w:val="0"/>
          <w:numId w:val="8"/>
        </w:numPr>
        <w:spacing w:line="360" w:lineRule="auto"/>
        <w:ind w:left="0" w:firstLine="560" w:firstLineChars="200"/>
        <w:jc w:val="both"/>
        <w:rPr>
          <w:color w:val="auto"/>
          <w:sz w:val="28"/>
          <w:highlight w:val="none"/>
        </w:rPr>
      </w:pPr>
      <w:r>
        <w:rPr>
          <w:color w:val="auto"/>
          <w:sz w:val="28"/>
          <w:highlight w:val="none"/>
        </w:rPr>
        <w:t>投标人在招标文件规定的投标有效期内实质上修改或撤回其投标；</w:t>
      </w:r>
    </w:p>
    <w:p w14:paraId="0255ACF7">
      <w:pPr>
        <w:pStyle w:val="19"/>
        <w:numPr>
          <w:ilvl w:val="0"/>
          <w:numId w:val="8"/>
        </w:numPr>
        <w:spacing w:line="360" w:lineRule="auto"/>
        <w:ind w:left="0" w:firstLine="560" w:firstLineChars="200"/>
        <w:jc w:val="both"/>
        <w:rPr>
          <w:color w:val="auto"/>
          <w:sz w:val="28"/>
          <w:highlight w:val="none"/>
        </w:rPr>
      </w:pPr>
      <w:r>
        <w:rPr>
          <w:color w:val="auto"/>
          <w:sz w:val="28"/>
          <w:highlight w:val="none"/>
        </w:rPr>
        <w:t>在投标文件中提供虚假材料；</w:t>
      </w:r>
    </w:p>
    <w:p w14:paraId="2BD9305C">
      <w:pPr>
        <w:pStyle w:val="19"/>
        <w:numPr>
          <w:ilvl w:val="0"/>
          <w:numId w:val="8"/>
        </w:numPr>
        <w:spacing w:line="360" w:lineRule="auto"/>
        <w:ind w:left="0" w:firstLine="560" w:firstLineChars="200"/>
        <w:jc w:val="both"/>
        <w:rPr>
          <w:color w:val="auto"/>
          <w:sz w:val="28"/>
          <w:highlight w:val="none"/>
        </w:rPr>
      </w:pPr>
      <w:r>
        <w:rPr>
          <w:color w:val="auto"/>
          <w:sz w:val="28"/>
          <w:highlight w:val="none"/>
        </w:rPr>
        <w:t>中标人拒绝在中标通知书规定的时间内签订合同。</w:t>
      </w:r>
    </w:p>
    <w:p w14:paraId="46210ED8">
      <w:pPr>
        <w:pStyle w:val="5"/>
        <w:numPr>
          <w:ilvl w:val="0"/>
          <w:numId w:val="9"/>
        </w:numPr>
        <w:spacing w:line="360" w:lineRule="auto"/>
        <w:ind w:left="0" w:firstLine="562" w:firstLineChars="200"/>
        <w:jc w:val="both"/>
        <w:rPr>
          <w:color w:val="auto"/>
          <w:highlight w:val="none"/>
        </w:rPr>
      </w:pPr>
      <w:r>
        <w:rPr>
          <w:color w:val="auto"/>
          <w:highlight w:val="none"/>
        </w:rPr>
        <w:t>投标保证金</w:t>
      </w:r>
    </w:p>
    <w:p w14:paraId="7D4341A4">
      <w:pPr>
        <w:pStyle w:val="7"/>
        <w:spacing w:line="360" w:lineRule="auto"/>
        <w:ind w:firstLine="560" w:firstLineChars="200"/>
        <w:jc w:val="both"/>
        <w:rPr>
          <w:color w:val="auto"/>
          <w:highlight w:val="none"/>
        </w:rPr>
      </w:pPr>
      <w:r>
        <w:rPr>
          <w:color w:val="auto"/>
          <w:highlight w:val="none"/>
        </w:rPr>
        <w:t>本项目投标人无需提交投标保证金。</w:t>
      </w:r>
    </w:p>
    <w:p w14:paraId="183A343B">
      <w:pPr>
        <w:pStyle w:val="5"/>
        <w:numPr>
          <w:ilvl w:val="0"/>
          <w:numId w:val="10"/>
        </w:numPr>
        <w:spacing w:line="360" w:lineRule="auto"/>
        <w:ind w:left="0" w:firstLine="562" w:firstLineChars="200"/>
        <w:jc w:val="both"/>
        <w:rPr>
          <w:color w:val="auto"/>
          <w:highlight w:val="none"/>
        </w:rPr>
      </w:pPr>
      <w:r>
        <w:rPr>
          <w:color w:val="auto"/>
          <w:highlight w:val="none"/>
        </w:rPr>
        <w:t>投标有效期</w:t>
      </w:r>
    </w:p>
    <w:p w14:paraId="0BF27475">
      <w:pPr>
        <w:pStyle w:val="19"/>
        <w:spacing w:line="360" w:lineRule="auto"/>
        <w:ind w:left="0" w:firstLine="560" w:firstLineChars="200"/>
        <w:jc w:val="both"/>
        <w:rPr>
          <w:color w:val="auto"/>
          <w:sz w:val="28"/>
          <w:highlight w:val="none"/>
        </w:rPr>
      </w:pPr>
      <w:r>
        <w:rPr>
          <w:rFonts w:hint="eastAsia"/>
          <w:color w:val="auto"/>
          <w:sz w:val="28"/>
          <w:highlight w:val="none"/>
        </w:rPr>
        <w:t>24.1</w:t>
      </w:r>
      <w:r>
        <w:rPr>
          <w:color w:val="auto"/>
          <w:sz w:val="28"/>
          <w:highlight w:val="none"/>
        </w:rPr>
        <w:t>投标文件应自招标文件规定的投标截止日起，在“投标人须知前附表”规定的时间内保持有效。</w:t>
      </w:r>
      <w:r>
        <w:rPr>
          <w:b/>
          <w:bCs/>
          <w:color w:val="auto"/>
          <w:sz w:val="28"/>
          <w:highlight w:val="none"/>
        </w:rPr>
        <w:t>投标有效期不足的，其投标无效</w:t>
      </w:r>
      <w:r>
        <w:rPr>
          <w:color w:val="auto"/>
          <w:sz w:val="28"/>
          <w:highlight w:val="none"/>
        </w:rPr>
        <w:t>。</w:t>
      </w:r>
    </w:p>
    <w:p w14:paraId="6F6A68BE">
      <w:pPr>
        <w:pStyle w:val="19"/>
        <w:spacing w:line="360" w:lineRule="auto"/>
        <w:ind w:left="0" w:firstLine="560" w:firstLineChars="200"/>
        <w:jc w:val="both"/>
        <w:rPr>
          <w:color w:val="auto"/>
          <w:sz w:val="28"/>
          <w:highlight w:val="none"/>
        </w:rPr>
      </w:pPr>
      <w:r>
        <w:rPr>
          <w:rFonts w:hint="eastAsia"/>
          <w:color w:val="auto"/>
          <w:sz w:val="28"/>
          <w:highlight w:val="none"/>
        </w:rPr>
        <w:t>24.2</w:t>
      </w:r>
      <w:r>
        <w:rPr>
          <w:color w:val="auto"/>
          <w:sz w:val="28"/>
          <w:highlight w:val="none"/>
        </w:rPr>
        <w:t>在特殊情况下，采购人可征求投标人同意延长投标文件的有效期。这种要求与答复均应以书面形式提交。投标人可以拒绝这种要求，原有效期到期后其投标文件失效。同意延期的投标人将不会被要求也不允许修改其投标文件，其投标文件相应延长到新的有效期。</w:t>
      </w:r>
    </w:p>
    <w:p w14:paraId="604142B9">
      <w:pPr>
        <w:pStyle w:val="5"/>
        <w:numPr>
          <w:ilvl w:val="0"/>
          <w:numId w:val="11"/>
        </w:numPr>
        <w:spacing w:line="360" w:lineRule="auto"/>
        <w:ind w:left="0" w:firstLine="562" w:firstLineChars="200"/>
        <w:jc w:val="both"/>
        <w:rPr>
          <w:color w:val="auto"/>
          <w:highlight w:val="none"/>
        </w:rPr>
      </w:pPr>
      <w:r>
        <w:rPr>
          <w:color w:val="auto"/>
          <w:highlight w:val="none"/>
        </w:rPr>
        <w:t>投标文件形式和签署</w:t>
      </w:r>
    </w:p>
    <w:p w14:paraId="42A99D3B">
      <w:pPr>
        <w:pStyle w:val="19"/>
        <w:spacing w:line="360" w:lineRule="auto"/>
        <w:ind w:left="0" w:firstLine="560" w:firstLineChars="200"/>
        <w:jc w:val="both"/>
        <w:rPr>
          <w:color w:val="auto"/>
          <w:sz w:val="28"/>
          <w:highlight w:val="none"/>
        </w:rPr>
      </w:pPr>
      <w:r>
        <w:rPr>
          <w:rFonts w:hint="eastAsia"/>
          <w:color w:val="auto"/>
          <w:sz w:val="28"/>
          <w:highlight w:val="none"/>
        </w:rPr>
        <w:t>25.1</w:t>
      </w:r>
      <w:r>
        <w:rPr>
          <w:color w:val="auto"/>
          <w:sz w:val="28"/>
          <w:highlight w:val="none"/>
        </w:rPr>
        <w:t>投标人须在投标截止时间前制作并提交加密的电子投标文件。</w:t>
      </w:r>
    </w:p>
    <w:p w14:paraId="0001BB1A">
      <w:pPr>
        <w:pStyle w:val="19"/>
        <w:spacing w:line="360" w:lineRule="auto"/>
        <w:ind w:left="0" w:firstLine="560" w:firstLineChars="200"/>
        <w:jc w:val="both"/>
        <w:rPr>
          <w:color w:val="auto"/>
          <w:sz w:val="28"/>
          <w:szCs w:val="28"/>
          <w:highlight w:val="none"/>
        </w:rPr>
      </w:pPr>
      <w:r>
        <w:rPr>
          <w:rFonts w:hint="eastAsia"/>
          <w:color w:val="auto"/>
          <w:sz w:val="28"/>
          <w:szCs w:val="28"/>
          <w:highlight w:val="none"/>
        </w:rPr>
        <w:t>25.2</w:t>
      </w:r>
      <w:r>
        <w:rPr>
          <w:color w:val="auto"/>
          <w:sz w:val="28"/>
          <w:szCs w:val="28"/>
          <w:highlight w:val="none"/>
        </w:rPr>
        <w:t>投标人可登录河南省公共资源交易中心网（hnsggzyjy.henan.</w:t>
      </w:r>
      <w:r>
        <w:rPr>
          <w:rFonts w:hint="eastAsia"/>
          <w:color w:val="auto"/>
          <w:sz w:val="28"/>
          <w:szCs w:val="28"/>
          <w:highlight w:val="none"/>
        </w:rPr>
        <w:t xml:space="preserve"> </w:t>
      </w:r>
      <w:r>
        <w:rPr>
          <w:color w:val="auto"/>
          <w:sz w:val="28"/>
          <w:szCs w:val="28"/>
          <w:highlight w:val="none"/>
        </w:rPr>
        <w:t>gov.cn）查看公共服务—办事指南—新交易平台使用手册（培训资料）。</w:t>
      </w:r>
    </w:p>
    <w:p w14:paraId="5D737FAD">
      <w:pPr>
        <w:pStyle w:val="19"/>
        <w:spacing w:line="360" w:lineRule="auto"/>
        <w:ind w:left="0" w:firstLine="560" w:firstLineChars="200"/>
        <w:jc w:val="both"/>
        <w:rPr>
          <w:color w:val="auto"/>
          <w:sz w:val="28"/>
          <w:highlight w:val="none"/>
        </w:rPr>
      </w:pPr>
      <w:r>
        <w:rPr>
          <w:rFonts w:hint="eastAsia"/>
          <w:color w:val="auto"/>
          <w:sz w:val="28"/>
          <w:highlight w:val="none"/>
        </w:rPr>
        <w:t>25.3</w:t>
      </w:r>
      <w:r>
        <w:rPr>
          <w:color w:val="auto"/>
          <w:sz w:val="28"/>
          <w:highlight w:val="none"/>
        </w:rPr>
        <w:t>投标人在制作电子投标文件时，按格式内容要求进行电子签章（包括企业电子签章、个人电子签章）。</w:t>
      </w:r>
    </w:p>
    <w:p w14:paraId="32F608A2">
      <w:pPr>
        <w:pStyle w:val="19"/>
        <w:spacing w:line="360" w:lineRule="auto"/>
        <w:ind w:left="0" w:firstLine="560" w:firstLineChars="200"/>
        <w:jc w:val="both"/>
        <w:rPr>
          <w:color w:val="auto"/>
          <w:sz w:val="28"/>
          <w:highlight w:val="none"/>
        </w:rPr>
      </w:pPr>
      <w:r>
        <w:rPr>
          <w:rFonts w:hint="eastAsia"/>
          <w:color w:val="auto"/>
          <w:sz w:val="28"/>
          <w:highlight w:val="none"/>
        </w:rPr>
        <w:t>25.4</w:t>
      </w:r>
      <w:r>
        <w:rPr>
          <w:color w:val="auto"/>
          <w:sz w:val="28"/>
          <w:highlight w:val="none"/>
        </w:rPr>
        <w:t>投标人在制作电子投标文件时，开标一览表按照格式编辑，并作为电子开标系统上传的依据。</w:t>
      </w:r>
    </w:p>
    <w:p w14:paraId="23B60F10">
      <w:pPr>
        <w:pStyle w:val="19"/>
        <w:spacing w:line="360" w:lineRule="auto"/>
        <w:ind w:left="0" w:firstLine="560" w:firstLineChars="200"/>
        <w:jc w:val="both"/>
        <w:rPr>
          <w:color w:val="auto"/>
          <w:sz w:val="28"/>
          <w:highlight w:val="none"/>
        </w:rPr>
      </w:pPr>
      <w:r>
        <w:rPr>
          <w:rFonts w:hint="eastAsia"/>
          <w:color w:val="auto"/>
          <w:sz w:val="28"/>
          <w:highlight w:val="none"/>
        </w:rPr>
        <w:t>25.5</w:t>
      </w:r>
      <w:r>
        <w:rPr>
          <w:color w:val="auto"/>
          <w:sz w:val="28"/>
          <w:highlight w:val="none"/>
        </w:rPr>
        <w:t>投标文件以外的任何资料采购人和采购</w:t>
      </w:r>
      <w:r>
        <w:rPr>
          <w:rFonts w:hint="eastAsia"/>
          <w:color w:val="auto"/>
          <w:sz w:val="28"/>
          <w:highlight w:val="none"/>
        </w:rPr>
        <w:t>代理</w:t>
      </w:r>
      <w:r>
        <w:rPr>
          <w:color w:val="auto"/>
          <w:sz w:val="28"/>
          <w:highlight w:val="none"/>
        </w:rPr>
        <w:t>机构将拒收。</w:t>
      </w:r>
    </w:p>
    <w:p w14:paraId="1A6C94FC">
      <w:pPr>
        <w:pStyle w:val="19"/>
        <w:spacing w:line="360" w:lineRule="auto"/>
        <w:ind w:left="0" w:firstLine="560" w:firstLineChars="200"/>
        <w:jc w:val="both"/>
        <w:rPr>
          <w:color w:val="auto"/>
          <w:sz w:val="28"/>
          <w:highlight w:val="none"/>
        </w:rPr>
      </w:pPr>
      <w:r>
        <w:rPr>
          <w:rFonts w:hint="eastAsia"/>
          <w:color w:val="auto"/>
          <w:sz w:val="28"/>
          <w:highlight w:val="none"/>
        </w:rPr>
        <w:t>25.6</w:t>
      </w:r>
      <w:r>
        <w:rPr>
          <w:color w:val="auto"/>
          <w:sz w:val="28"/>
          <w:highlight w:val="none"/>
        </w:rPr>
        <w:t>其他形式的投标文件一律不接受。</w:t>
      </w:r>
    </w:p>
    <w:p w14:paraId="529C358D">
      <w:pPr>
        <w:pStyle w:val="19"/>
        <w:spacing w:before="120" w:beforeLines="50" w:after="120" w:afterLines="50" w:line="360" w:lineRule="auto"/>
        <w:ind w:left="0"/>
        <w:rPr>
          <w:rFonts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四、投标文件的上传</w:t>
      </w:r>
    </w:p>
    <w:p w14:paraId="4DBF504B">
      <w:pPr>
        <w:pStyle w:val="5"/>
        <w:numPr>
          <w:ilvl w:val="0"/>
          <w:numId w:val="12"/>
        </w:numPr>
        <w:spacing w:line="360" w:lineRule="auto"/>
        <w:ind w:left="0" w:firstLine="562" w:firstLineChars="200"/>
        <w:jc w:val="both"/>
        <w:rPr>
          <w:color w:val="auto"/>
          <w:highlight w:val="none"/>
        </w:rPr>
      </w:pPr>
      <w:r>
        <w:rPr>
          <w:color w:val="auto"/>
          <w:highlight w:val="none"/>
        </w:rPr>
        <w:t>投标文件的上传</w:t>
      </w:r>
    </w:p>
    <w:p w14:paraId="3F782091">
      <w:pPr>
        <w:pStyle w:val="19"/>
        <w:numPr>
          <w:ilvl w:val="1"/>
          <w:numId w:val="12"/>
        </w:numPr>
        <w:spacing w:line="360" w:lineRule="auto"/>
        <w:ind w:left="0" w:firstLine="560" w:firstLineChars="200"/>
        <w:jc w:val="both"/>
        <w:rPr>
          <w:color w:val="auto"/>
          <w:sz w:val="28"/>
          <w:highlight w:val="none"/>
        </w:rPr>
      </w:pPr>
      <w:bookmarkStart w:id="23" w:name="四、投标文件的上传"/>
      <w:bookmarkEnd w:id="23"/>
      <w:r>
        <w:rPr>
          <w:color w:val="auto"/>
          <w:sz w:val="28"/>
          <w:highlight w:val="none"/>
        </w:rPr>
        <w:t>加密电子投标文件的上传：见“投标人须知前附表”。</w:t>
      </w:r>
    </w:p>
    <w:p w14:paraId="7E8633E9">
      <w:pPr>
        <w:pStyle w:val="19"/>
        <w:numPr>
          <w:ilvl w:val="1"/>
          <w:numId w:val="12"/>
        </w:numPr>
        <w:spacing w:line="360" w:lineRule="auto"/>
        <w:ind w:left="0" w:firstLine="560" w:firstLineChars="200"/>
        <w:jc w:val="both"/>
        <w:rPr>
          <w:color w:val="auto"/>
          <w:sz w:val="28"/>
          <w:highlight w:val="none"/>
        </w:rPr>
      </w:pPr>
      <w:r>
        <w:rPr>
          <w:color w:val="auto"/>
          <w:sz w:val="28"/>
          <w:highlight w:val="none"/>
        </w:rPr>
        <w:t>投标人在上传时认真检查上传投标文件是否完整、正确。投标人因交易中心投标系统问题无法上传电子投标文件时，请在工作时间与河南省公共资源交易中心联系，联系电话：0371-65915501。</w:t>
      </w:r>
    </w:p>
    <w:p w14:paraId="7D827EA8">
      <w:pPr>
        <w:pStyle w:val="5"/>
        <w:numPr>
          <w:ilvl w:val="0"/>
          <w:numId w:val="12"/>
        </w:numPr>
        <w:spacing w:line="360" w:lineRule="auto"/>
        <w:ind w:left="0" w:firstLine="562" w:firstLineChars="200"/>
        <w:jc w:val="both"/>
        <w:rPr>
          <w:color w:val="auto"/>
          <w:highlight w:val="none"/>
        </w:rPr>
      </w:pPr>
      <w:r>
        <w:rPr>
          <w:color w:val="auto"/>
          <w:highlight w:val="none"/>
        </w:rPr>
        <w:t>投标截止时间</w:t>
      </w:r>
    </w:p>
    <w:p w14:paraId="1241ED8B">
      <w:pPr>
        <w:pStyle w:val="19"/>
        <w:numPr>
          <w:ilvl w:val="1"/>
          <w:numId w:val="12"/>
        </w:numPr>
        <w:spacing w:line="360" w:lineRule="auto"/>
        <w:ind w:left="0" w:firstLine="560" w:firstLineChars="200"/>
        <w:jc w:val="both"/>
        <w:rPr>
          <w:color w:val="auto"/>
          <w:sz w:val="28"/>
          <w:highlight w:val="none"/>
        </w:rPr>
      </w:pPr>
      <w:r>
        <w:rPr>
          <w:color w:val="auto"/>
          <w:sz w:val="28"/>
          <w:highlight w:val="none"/>
        </w:rPr>
        <w:t>投标人应在投标截止时间前上传投标文件。</w:t>
      </w:r>
    </w:p>
    <w:p w14:paraId="0642A060">
      <w:pPr>
        <w:pStyle w:val="19"/>
        <w:numPr>
          <w:ilvl w:val="1"/>
          <w:numId w:val="12"/>
        </w:numPr>
        <w:spacing w:line="360" w:lineRule="auto"/>
        <w:ind w:left="0" w:firstLine="560" w:firstLineChars="200"/>
        <w:jc w:val="both"/>
        <w:rPr>
          <w:color w:val="auto"/>
          <w:sz w:val="28"/>
          <w:highlight w:val="none"/>
        </w:rPr>
      </w:pPr>
      <w:r>
        <w:rPr>
          <w:color w:val="auto"/>
          <w:sz w:val="28"/>
          <w:highlight w:val="none"/>
        </w:rPr>
        <w:t>采购人和采购</w:t>
      </w:r>
      <w:r>
        <w:rPr>
          <w:rFonts w:hint="eastAsia"/>
          <w:color w:val="auto"/>
          <w:sz w:val="28"/>
          <w:highlight w:val="none"/>
        </w:rPr>
        <w:t>代理</w:t>
      </w:r>
      <w:r>
        <w:rPr>
          <w:color w:val="auto"/>
          <w:sz w:val="28"/>
          <w:highlight w:val="none"/>
        </w:rPr>
        <w:t>机构可以按本章第 11 条规定，通过修改招标文件自行决定酌情延长投标截止期限。</w:t>
      </w:r>
    </w:p>
    <w:p w14:paraId="450F432A">
      <w:pPr>
        <w:pStyle w:val="5"/>
        <w:numPr>
          <w:ilvl w:val="0"/>
          <w:numId w:val="12"/>
        </w:numPr>
        <w:spacing w:line="360" w:lineRule="auto"/>
        <w:ind w:left="0" w:firstLine="562" w:firstLineChars="200"/>
        <w:jc w:val="both"/>
        <w:rPr>
          <w:color w:val="auto"/>
          <w:highlight w:val="none"/>
        </w:rPr>
      </w:pPr>
      <w:r>
        <w:rPr>
          <w:color w:val="auto"/>
          <w:highlight w:val="none"/>
        </w:rPr>
        <w:t>迟交的投标文件</w:t>
      </w:r>
    </w:p>
    <w:p w14:paraId="75907640">
      <w:pPr>
        <w:pStyle w:val="7"/>
        <w:spacing w:line="360" w:lineRule="auto"/>
        <w:ind w:firstLine="560" w:firstLineChars="200"/>
        <w:jc w:val="both"/>
        <w:rPr>
          <w:color w:val="auto"/>
          <w:highlight w:val="none"/>
        </w:rPr>
      </w:pPr>
      <w:r>
        <w:rPr>
          <w:color w:val="auto"/>
          <w:highlight w:val="none"/>
        </w:rPr>
        <w:t>投标人在投标截止时间后上传的投标文件，将被拒绝。</w:t>
      </w:r>
    </w:p>
    <w:p w14:paraId="421566D7">
      <w:pPr>
        <w:pStyle w:val="5"/>
        <w:numPr>
          <w:ilvl w:val="0"/>
          <w:numId w:val="12"/>
        </w:numPr>
        <w:spacing w:line="360" w:lineRule="auto"/>
        <w:ind w:left="0" w:firstLine="562" w:firstLineChars="200"/>
        <w:jc w:val="both"/>
        <w:rPr>
          <w:color w:val="auto"/>
          <w:highlight w:val="none"/>
        </w:rPr>
      </w:pPr>
      <w:r>
        <w:rPr>
          <w:color w:val="auto"/>
          <w:highlight w:val="none"/>
        </w:rPr>
        <w:t>投标文件的修改和撤回在投标截止时间前，投标人可以修改或撤回已上传的投标文件。</w:t>
      </w:r>
    </w:p>
    <w:p w14:paraId="4A172E08">
      <w:pPr>
        <w:pStyle w:val="19"/>
        <w:numPr>
          <w:ilvl w:val="1"/>
          <w:numId w:val="12"/>
        </w:numPr>
        <w:spacing w:line="360" w:lineRule="auto"/>
        <w:ind w:left="0" w:firstLine="560" w:firstLineChars="200"/>
        <w:jc w:val="both"/>
        <w:rPr>
          <w:color w:val="auto"/>
          <w:sz w:val="28"/>
          <w:highlight w:val="none"/>
        </w:rPr>
      </w:pPr>
      <w:r>
        <w:rPr>
          <w:color w:val="auto"/>
          <w:sz w:val="28"/>
          <w:highlight w:val="none"/>
        </w:rPr>
        <w:t>在投标截止时间后，投标人不得修改或撤回其投标文件。</w:t>
      </w:r>
    </w:p>
    <w:p w14:paraId="764DC045">
      <w:pPr>
        <w:pStyle w:val="19"/>
        <w:numPr>
          <w:ilvl w:val="1"/>
          <w:numId w:val="12"/>
        </w:numPr>
        <w:spacing w:line="360" w:lineRule="auto"/>
        <w:ind w:left="0" w:firstLine="560" w:firstLineChars="200"/>
        <w:jc w:val="both"/>
        <w:rPr>
          <w:color w:val="auto"/>
          <w:sz w:val="28"/>
          <w:highlight w:val="none"/>
        </w:rPr>
      </w:pPr>
      <w:r>
        <w:rPr>
          <w:color w:val="auto"/>
          <w:sz w:val="28"/>
          <w:highlight w:val="none"/>
        </w:rPr>
        <w:t>在招标文件规定的投标有效期内，投标人不得实质上修改或撤回其投标。</w:t>
      </w:r>
    </w:p>
    <w:p w14:paraId="1FD60F54">
      <w:pPr>
        <w:pStyle w:val="19"/>
        <w:spacing w:before="120" w:beforeLines="50" w:after="120" w:afterLines="50" w:line="360" w:lineRule="auto"/>
        <w:ind w:left="0"/>
        <w:rPr>
          <w:rFonts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五、开标与评标</w:t>
      </w:r>
    </w:p>
    <w:p w14:paraId="7216D185">
      <w:pPr>
        <w:pStyle w:val="5"/>
        <w:numPr>
          <w:ilvl w:val="0"/>
          <w:numId w:val="12"/>
        </w:numPr>
        <w:spacing w:line="360" w:lineRule="auto"/>
        <w:ind w:left="0" w:firstLine="562" w:firstLineChars="200"/>
        <w:jc w:val="both"/>
        <w:rPr>
          <w:color w:val="auto"/>
          <w:highlight w:val="none"/>
        </w:rPr>
      </w:pPr>
      <w:r>
        <w:rPr>
          <w:color w:val="auto"/>
          <w:highlight w:val="none"/>
        </w:rPr>
        <w:t>开标</w:t>
      </w:r>
    </w:p>
    <w:p w14:paraId="7070CA82">
      <w:pPr>
        <w:pStyle w:val="19"/>
        <w:numPr>
          <w:ilvl w:val="1"/>
          <w:numId w:val="12"/>
        </w:numPr>
        <w:spacing w:line="360" w:lineRule="auto"/>
        <w:ind w:left="0" w:firstLine="560" w:firstLineChars="200"/>
        <w:jc w:val="both"/>
        <w:rPr>
          <w:color w:val="auto"/>
          <w:sz w:val="28"/>
          <w:highlight w:val="none"/>
        </w:rPr>
      </w:pPr>
      <w:bookmarkStart w:id="24" w:name="五、开标与评标"/>
      <w:bookmarkEnd w:id="24"/>
      <w:r>
        <w:rPr>
          <w:color w:val="auto"/>
          <w:sz w:val="28"/>
          <w:highlight w:val="none"/>
        </w:rPr>
        <w:t>开标及解密方式：见“投标人须知前附表”。</w:t>
      </w:r>
    </w:p>
    <w:p w14:paraId="3215CC59">
      <w:pPr>
        <w:pStyle w:val="19"/>
        <w:numPr>
          <w:ilvl w:val="1"/>
          <w:numId w:val="12"/>
        </w:numPr>
        <w:spacing w:line="360" w:lineRule="auto"/>
        <w:ind w:left="0" w:firstLine="560" w:firstLineChars="200"/>
        <w:jc w:val="both"/>
        <w:rPr>
          <w:color w:val="auto"/>
          <w:sz w:val="28"/>
          <w:highlight w:val="none"/>
        </w:rPr>
      </w:pPr>
      <w:r>
        <w:rPr>
          <w:color w:val="auto"/>
          <w:sz w:val="28"/>
          <w:highlight w:val="none"/>
        </w:rPr>
        <w:t>不见面开标大厅网址：见“投标人须知前附表”。</w:t>
      </w:r>
    </w:p>
    <w:p w14:paraId="094D3433">
      <w:pPr>
        <w:pStyle w:val="19"/>
        <w:numPr>
          <w:ilvl w:val="1"/>
          <w:numId w:val="12"/>
        </w:numPr>
        <w:spacing w:line="360" w:lineRule="auto"/>
        <w:ind w:left="0" w:firstLine="560" w:firstLineChars="200"/>
        <w:jc w:val="both"/>
        <w:rPr>
          <w:color w:val="auto"/>
          <w:sz w:val="28"/>
          <w:highlight w:val="none"/>
        </w:rPr>
      </w:pPr>
      <w:r>
        <w:rPr>
          <w:color w:val="auto"/>
          <w:sz w:val="28"/>
          <w:highlight w:val="none"/>
        </w:rPr>
        <w:t>开标时，采购</w:t>
      </w:r>
      <w:r>
        <w:rPr>
          <w:rFonts w:hint="eastAsia"/>
          <w:color w:val="auto"/>
          <w:sz w:val="28"/>
          <w:highlight w:val="none"/>
        </w:rPr>
        <w:t>代理</w:t>
      </w:r>
      <w:r>
        <w:rPr>
          <w:color w:val="auto"/>
          <w:sz w:val="28"/>
          <w:highlight w:val="none"/>
        </w:rPr>
        <w:t>机构将通过网上开标系统公布投标人名称、投标价格以及其它有关内容。</w:t>
      </w:r>
    </w:p>
    <w:p w14:paraId="71D82F0A">
      <w:pPr>
        <w:pStyle w:val="5"/>
        <w:numPr>
          <w:ilvl w:val="0"/>
          <w:numId w:val="12"/>
        </w:numPr>
        <w:spacing w:line="360" w:lineRule="auto"/>
        <w:ind w:left="0" w:firstLine="562" w:firstLineChars="200"/>
        <w:jc w:val="both"/>
        <w:rPr>
          <w:color w:val="auto"/>
          <w:highlight w:val="none"/>
        </w:rPr>
      </w:pPr>
      <w:r>
        <w:rPr>
          <w:color w:val="auto"/>
          <w:highlight w:val="none"/>
        </w:rPr>
        <w:t>资格审查</w:t>
      </w:r>
    </w:p>
    <w:p w14:paraId="0D917A69">
      <w:pPr>
        <w:pStyle w:val="19"/>
        <w:numPr>
          <w:ilvl w:val="1"/>
          <w:numId w:val="12"/>
        </w:numPr>
        <w:spacing w:line="360" w:lineRule="auto"/>
        <w:ind w:left="0" w:firstLine="560" w:firstLineChars="200"/>
        <w:jc w:val="both"/>
        <w:rPr>
          <w:color w:val="auto"/>
          <w:sz w:val="28"/>
          <w:highlight w:val="none"/>
        </w:rPr>
      </w:pPr>
      <w:r>
        <w:rPr>
          <w:color w:val="auto"/>
          <w:sz w:val="28"/>
          <w:highlight w:val="none"/>
        </w:rPr>
        <w:t>开标结束后评标开始之前，</w:t>
      </w:r>
      <w:r>
        <w:rPr>
          <w:rFonts w:hint="eastAsia"/>
          <w:color w:val="auto"/>
          <w:sz w:val="28"/>
          <w:highlight w:val="none"/>
        </w:rPr>
        <w:t>采购人或代理机构</w:t>
      </w:r>
      <w:r>
        <w:rPr>
          <w:color w:val="auto"/>
          <w:sz w:val="28"/>
          <w:highlight w:val="none"/>
        </w:rPr>
        <w:t>对投标人的资格进行审查。</w:t>
      </w:r>
    </w:p>
    <w:p w14:paraId="2111D7A7">
      <w:pPr>
        <w:pStyle w:val="19"/>
        <w:numPr>
          <w:ilvl w:val="1"/>
          <w:numId w:val="12"/>
        </w:numPr>
        <w:spacing w:line="360" w:lineRule="auto"/>
        <w:ind w:left="0" w:firstLine="560" w:firstLineChars="200"/>
        <w:jc w:val="both"/>
        <w:rPr>
          <w:color w:val="auto"/>
          <w:sz w:val="28"/>
          <w:highlight w:val="none"/>
        </w:rPr>
      </w:pPr>
      <w:r>
        <w:rPr>
          <w:color w:val="auto"/>
          <w:sz w:val="28"/>
          <w:highlight w:val="none"/>
        </w:rPr>
        <w:t>合格投标人不足3家的，不得评标。</w:t>
      </w:r>
    </w:p>
    <w:p w14:paraId="448ADC69">
      <w:pPr>
        <w:pStyle w:val="19"/>
        <w:numPr>
          <w:ilvl w:val="1"/>
          <w:numId w:val="12"/>
        </w:numPr>
        <w:spacing w:line="360" w:lineRule="auto"/>
        <w:ind w:left="0" w:firstLine="560" w:firstLineChars="200"/>
        <w:jc w:val="both"/>
        <w:rPr>
          <w:color w:val="auto"/>
          <w:sz w:val="28"/>
          <w:highlight w:val="none"/>
        </w:rPr>
      </w:pPr>
      <w:r>
        <w:rPr>
          <w:color w:val="auto"/>
          <w:sz w:val="28"/>
          <w:highlight w:val="none"/>
        </w:rPr>
        <w:t>资格审查标准见“投标人须知前附表”。</w:t>
      </w:r>
    </w:p>
    <w:p w14:paraId="1E369192">
      <w:pPr>
        <w:pStyle w:val="19"/>
        <w:numPr>
          <w:ilvl w:val="1"/>
          <w:numId w:val="12"/>
        </w:numPr>
        <w:spacing w:line="360" w:lineRule="auto"/>
        <w:ind w:left="0" w:firstLine="560" w:firstLineChars="200"/>
        <w:jc w:val="both"/>
        <w:rPr>
          <w:color w:val="auto"/>
          <w:sz w:val="28"/>
          <w:highlight w:val="none"/>
        </w:rPr>
      </w:pPr>
      <w:r>
        <w:rPr>
          <w:color w:val="auto"/>
          <w:sz w:val="28"/>
          <w:highlight w:val="none"/>
        </w:rPr>
        <w:t>信用记录的查询方法：见“投标人须知前附表”。</w:t>
      </w:r>
    </w:p>
    <w:p w14:paraId="2E7B5752">
      <w:pPr>
        <w:pStyle w:val="5"/>
        <w:numPr>
          <w:ilvl w:val="0"/>
          <w:numId w:val="12"/>
        </w:numPr>
        <w:spacing w:line="360" w:lineRule="auto"/>
        <w:ind w:left="0" w:firstLine="562" w:firstLineChars="200"/>
        <w:jc w:val="both"/>
        <w:rPr>
          <w:color w:val="auto"/>
          <w:highlight w:val="none"/>
        </w:rPr>
      </w:pPr>
      <w:r>
        <w:rPr>
          <w:color w:val="auto"/>
          <w:highlight w:val="none"/>
        </w:rPr>
        <w:t>评标委员会</w:t>
      </w:r>
    </w:p>
    <w:p w14:paraId="4CD1B0FE">
      <w:pPr>
        <w:pStyle w:val="19"/>
        <w:numPr>
          <w:ilvl w:val="1"/>
          <w:numId w:val="12"/>
        </w:numPr>
        <w:spacing w:line="360" w:lineRule="auto"/>
        <w:ind w:left="0" w:firstLine="560" w:firstLineChars="200"/>
        <w:jc w:val="both"/>
        <w:rPr>
          <w:color w:val="auto"/>
          <w:sz w:val="28"/>
          <w:highlight w:val="none"/>
        </w:rPr>
      </w:pPr>
      <w:r>
        <w:rPr>
          <w:color w:val="auto"/>
          <w:sz w:val="28"/>
          <w:highlight w:val="none"/>
        </w:rPr>
        <w:t>评标由评标委员会负责，评标委员会由采购人代表和有关技术、经济等方面的专家组成，成员人数</w:t>
      </w:r>
      <w:r>
        <w:rPr>
          <w:rFonts w:hint="eastAsia"/>
          <w:color w:val="auto"/>
          <w:sz w:val="28"/>
          <w:highlight w:val="none"/>
        </w:rPr>
        <w:t>为五人以上单数，详</w:t>
      </w:r>
      <w:r>
        <w:rPr>
          <w:color w:val="auto"/>
          <w:sz w:val="28"/>
          <w:highlight w:val="none"/>
        </w:rPr>
        <w:t>见“投标人须知前附表”。其中技术、经济等方面的专家不少于成员总数的三分之二。评标专家由采购人从河南省财政厅政府采购专家库中提交抽取申请，有关人员对评标委员会成员名单须严格保密。</w:t>
      </w:r>
    </w:p>
    <w:p w14:paraId="237FCFB3">
      <w:pPr>
        <w:pStyle w:val="19"/>
        <w:numPr>
          <w:ilvl w:val="1"/>
          <w:numId w:val="12"/>
        </w:numPr>
        <w:spacing w:line="360" w:lineRule="auto"/>
        <w:ind w:left="0" w:firstLine="560" w:firstLineChars="200"/>
        <w:jc w:val="both"/>
        <w:rPr>
          <w:color w:val="auto"/>
          <w:sz w:val="28"/>
          <w:highlight w:val="none"/>
        </w:rPr>
      </w:pPr>
      <w:r>
        <w:rPr>
          <w:color w:val="auto"/>
          <w:sz w:val="28"/>
          <w:highlight w:val="none"/>
        </w:rPr>
        <w:t>与投标人有利害关系的人员不得进入评标委员会。</w:t>
      </w:r>
    </w:p>
    <w:p w14:paraId="794FCE2E">
      <w:pPr>
        <w:pStyle w:val="5"/>
        <w:numPr>
          <w:ilvl w:val="0"/>
          <w:numId w:val="12"/>
        </w:numPr>
        <w:spacing w:line="360" w:lineRule="auto"/>
        <w:ind w:left="0" w:firstLine="562" w:firstLineChars="200"/>
        <w:jc w:val="both"/>
        <w:rPr>
          <w:color w:val="auto"/>
          <w:highlight w:val="none"/>
        </w:rPr>
      </w:pPr>
      <w:r>
        <w:rPr>
          <w:color w:val="auto"/>
          <w:highlight w:val="none"/>
        </w:rPr>
        <w:t>投标文件的澄清</w:t>
      </w:r>
    </w:p>
    <w:p w14:paraId="05A5B7D8">
      <w:pPr>
        <w:pStyle w:val="19"/>
        <w:numPr>
          <w:ilvl w:val="1"/>
          <w:numId w:val="12"/>
        </w:numPr>
        <w:spacing w:line="360" w:lineRule="auto"/>
        <w:ind w:left="0" w:firstLine="560" w:firstLineChars="200"/>
        <w:jc w:val="both"/>
        <w:rPr>
          <w:color w:val="auto"/>
          <w:sz w:val="28"/>
          <w:highlight w:val="none"/>
        </w:rPr>
      </w:pPr>
      <w:r>
        <w:rPr>
          <w:color w:val="auto"/>
          <w:sz w:val="28"/>
          <w:highlight w:val="none"/>
        </w:rPr>
        <w:t>为了</w:t>
      </w:r>
      <w:r>
        <w:rPr>
          <w:rFonts w:hint="eastAsia"/>
          <w:color w:val="auto"/>
          <w:sz w:val="28"/>
          <w:highlight w:val="none"/>
        </w:rPr>
        <w:t>有助于</w:t>
      </w:r>
      <w:r>
        <w:rPr>
          <w:color w:val="auto"/>
          <w:sz w:val="28"/>
          <w:highlight w:val="none"/>
        </w:rPr>
        <w:t>投标文件进行审查、评估和比较，评标委员会有权向投标人提出澄清，请投标人澄清其投标内容。</w:t>
      </w:r>
    </w:p>
    <w:p w14:paraId="418A9A22">
      <w:pPr>
        <w:pStyle w:val="19"/>
        <w:numPr>
          <w:ilvl w:val="1"/>
          <w:numId w:val="12"/>
        </w:numPr>
        <w:spacing w:line="360" w:lineRule="auto"/>
        <w:ind w:left="0" w:firstLine="560" w:firstLineChars="200"/>
        <w:jc w:val="both"/>
        <w:rPr>
          <w:color w:val="auto"/>
          <w:sz w:val="28"/>
          <w:highlight w:val="none"/>
        </w:rPr>
      </w:pPr>
      <w:r>
        <w:rPr>
          <w:color w:val="auto"/>
          <w:sz w:val="28"/>
          <w:highlight w:val="none"/>
        </w:rPr>
        <w:t>澄清的答复应加盖投标人公章（或企业电子签章）或由法定代表人（或其委托代理人）签字或签章（或个人电子签章）。</w:t>
      </w:r>
    </w:p>
    <w:p w14:paraId="7D47DAD2">
      <w:pPr>
        <w:pStyle w:val="19"/>
        <w:numPr>
          <w:ilvl w:val="1"/>
          <w:numId w:val="12"/>
        </w:numPr>
        <w:spacing w:line="360" w:lineRule="auto"/>
        <w:ind w:left="0" w:firstLine="560" w:firstLineChars="200"/>
        <w:jc w:val="both"/>
        <w:rPr>
          <w:color w:val="auto"/>
          <w:sz w:val="28"/>
          <w:highlight w:val="none"/>
        </w:rPr>
      </w:pPr>
      <w:r>
        <w:rPr>
          <w:color w:val="auto"/>
          <w:sz w:val="28"/>
          <w:highlight w:val="none"/>
        </w:rPr>
        <w:t>投标人的澄清文件是投标文件的组成部分。</w:t>
      </w:r>
    </w:p>
    <w:p w14:paraId="48A2ADA3">
      <w:pPr>
        <w:pStyle w:val="19"/>
        <w:numPr>
          <w:ilvl w:val="1"/>
          <w:numId w:val="12"/>
        </w:numPr>
        <w:spacing w:line="360" w:lineRule="auto"/>
        <w:ind w:left="0" w:firstLine="560" w:firstLineChars="200"/>
        <w:jc w:val="both"/>
        <w:rPr>
          <w:color w:val="auto"/>
          <w:sz w:val="28"/>
          <w:highlight w:val="none"/>
        </w:rPr>
      </w:pPr>
      <w:r>
        <w:rPr>
          <w:color w:val="auto"/>
          <w:sz w:val="28"/>
          <w:highlight w:val="none"/>
        </w:rPr>
        <w:t>投标文件的澄清不得对投标内容进行实质性修改。</w:t>
      </w:r>
    </w:p>
    <w:p w14:paraId="23EC3017">
      <w:pPr>
        <w:pStyle w:val="5"/>
        <w:numPr>
          <w:ilvl w:val="0"/>
          <w:numId w:val="12"/>
        </w:numPr>
        <w:spacing w:line="360" w:lineRule="auto"/>
        <w:ind w:left="0" w:firstLine="562" w:firstLineChars="200"/>
        <w:jc w:val="both"/>
        <w:rPr>
          <w:color w:val="auto"/>
          <w:highlight w:val="none"/>
        </w:rPr>
      </w:pPr>
      <w:r>
        <w:rPr>
          <w:color w:val="auto"/>
          <w:highlight w:val="none"/>
        </w:rPr>
        <w:t>投标文件的符合性审查</w:t>
      </w:r>
    </w:p>
    <w:p w14:paraId="36FDAF15">
      <w:pPr>
        <w:pStyle w:val="19"/>
        <w:numPr>
          <w:ilvl w:val="1"/>
          <w:numId w:val="12"/>
        </w:numPr>
        <w:spacing w:line="360" w:lineRule="auto"/>
        <w:ind w:left="0" w:firstLine="560" w:firstLineChars="200"/>
        <w:jc w:val="both"/>
        <w:rPr>
          <w:color w:val="auto"/>
          <w:sz w:val="28"/>
          <w:highlight w:val="none"/>
        </w:rPr>
      </w:pPr>
      <w:r>
        <w:rPr>
          <w:color w:val="auto"/>
          <w:sz w:val="28"/>
          <w:highlight w:val="none"/>
        </w:rPr>
        <w:t>评标委员会将审查投标文件是否实质上响应招标文件。符合性</w:t>
      </w:r>
    </w:p>
    <w:p w14:paraId="3D329278">
      <w:pPr>
        <w:pStyle w:val="19"/>
        <w:spacing w:line="360" w:lineRule="auto"/>
        <w:ind w:left="0"/>
        <w:jc w:val="both"/>
        <w:rPr>
          <w:color w:val="auto"/>
          <w:sz w:val="28"/>
          <w:highlight w:val="none"/>
        </w:rPr>
      </w:pPr>
      <w:r>
        <w:rPr>
          <w:color w:val="auto"/>
          <w:sz w:val="28"/>
          <w:highlight w:val="none"/>
        </w:rPr>
        <w:t>审查合格投标人不足 3 家的，项目废标。</w:t>
      </w:r>
    </w:p>
    <w:p w14:paraId="5829D744">
      <w:pPr>
        <w:pStyle w:val="19"/>
        <w:numPr>
          <w:ilvl w:val="1"/>
          <w:numId w:val="12"/>
        </w:numPr>
        <w:spacing w:line="360" w:lineRule="auto"/>
        <w:ind w:left="0" w:firstLine="560" w:firstLineChars="200"/>
        <w:jc w:val="both"/>
        <w:rPr>
          <w:color w:val="auto"/>
          <w:sz w:val="28"/>
          <w:highlight w:val="none"/>
        </w:rPr>
      </w:pPr>
      <w:r>
        <w:rPr>
          <w:color w:val="auto"/>
          <w:sz w:val="28"/>
          <w:highlight w:val="none"/>
        </w:rPr>
        <w:t>允许修正投标文件中不构成重大</w:t>
      </w:r>
      <w:r>
        <w:rPr>
          <w:color w:val="auto"/>
          <w:sz w:val="28"/>
          <w:szCs w:val="28"/>
          <w:highlight w:val="none"/>
        </w:rPr>
        <w:t>偏离的、微小的、非正</w:t>
      </w:r>
      <w:r>
        <w:rPr>
          <w:color w:val="auto"/>
          <w:sz w:val="28"/>
          <w:highlight w:val="none"/>
        </w:rPr>
        <w:t>规的、不一致或不规则的地方。</w:t>
      </w:r>
    </w:p>
    <w:p w14:paraId="58342517">
      <w:pPr>
        <w:pStyle w:val="19"/>
        <w:numPr>
          <w:ilvl w:val="1"/>
          <w:numId w:val="12"/>
        </w:numPr>
        <w:spacing w:line="360" w:lineRule="auto"/>
        <w:ind w:left="0" w:firstLine="560" w:firstLineChars="200"/>
        <w:jc w:val="both"/>
        <w:rPr>
          <w:color w:val="auto"/>
          <w:sz w:val="28"/>
          <w:highlight w:val="none"/>
        </w:rPr>
      </w:pPr>
      <w:r>
        <w:rPr>
          <w:color w:val="auto"/>
          <w:sz w:val="28"/>
          <w:highlight w:val="none"/>
        </w:rPr>
        <w:t>在对投标文件进行详细评审之前，评标委员会将确定投标文件是否对招标文件的要求做出了实质性的响应，而没有重大偏离。</w:t>
      </w:r>
      <w:r>
        <w:rPr>
          <w:b/>
          <w:bCs/>
          <w:color w:val="auto"/>
          <w:sz w:val="28"/>
          <w:highlight w:val="none"/>
        </w:rPr>
        <w:t>实质性响应</w:t>
      </w:r>
      <w:r>
        <w:rPr>
          <w:color w:val="auto"/>
          <w:sz w:val="28"/>
          <w:highlight w:val="none"/>
        </w:rPr>
        <w:t>的投标是指投标符合招标文件的实质性条款、条件和规定且没有重大偏离和保留。</w:t>
      </w:r>
      <w:r>
        <w:rPr>
          <w:b/>
          <w:bCs/>
          <w:color w:val="auto"/>
          <w:sz w:val="28"/>
          <w:highlight w:val="none"/>
        </w:rPr>
        <w:t>重大偏离和保留</w:t>
      </w:r>
      <w:r>
        <w:rPr>
          <w:color w:val="auto"/>
          <w:sz w:val="28"/>
          <w:highlight w:val="none"/>
        </w:rPr>
        <w:t>是指对招标文件规定的采购需求、交货期、质量保证期、投标有效期、付款方式等产生重大或不可接受的偏差，或限制了采购</w:t>
      </w:r>
      <w:r>
        <w:rPr>
          <w:rFonts w:hint="eastAsia"/>
          <w:color w:val="auto"/>
          <w:sz w:val="28"/>
          <w:highlight w:val="none"/>
        </w:rPr>
        <w:t>代理</w:t>
      </w:r>
      <w:r>
        <w:rPr>
          <w:color w:val="auto"/>
          <w:sz w:val="28"/>
          <w:highlight w:val="none"/>
        </w:rPr>
        <w:t>机构、采购人的权利和投标人的义务的规定，而纠正这些偏离将影响</w:t>
      </w:r>
      <w:r>
        <w:rPr>
          <w:rFonts w:hint="eastAsia"/>
          <w:color w:val="auto"/>
          <w:sz w:val="28"/>
          <w:highlight w:val="none"/>
        </w:rPr>
        <w:t>到其他</w:t>
      </w:r>
      <w:r>
        <w:rPr>
          <w:color w:val="auto"/>
          <w:sz w:val="28"/>
          <w:highlight w:val="none"/>
        </w:rPr>
        <w:t>提交实质性响应投标的投标人的公平竞争地位。</w:t>
      </w:r>
    </w:p>
    <w:p w14:paraId="637FD7F1">
      <w:pPr>
        <w:pStyle w:val="19"/>
        <w:numPr>
          <w:ilvl w:val="1"/>
          <w:numId w:val="12"/>
        </w:numPr>
        <w:spacing w:line="360" w:lineRule="auto"/>
        <w:ind w:left="0" w:firstLine="560" w:firstLineChars="200"/>
        <w:jc w:val="both"/>
        <w:rPr>
          <w:color w:val="auto"/>
          <w:sz w:val="28"/>
          <w:highlight w:val="none"/>
        </w:rPr>
      </w:pPr>
      <w:r>
        <w:rPr>
          <w:color w:val="auto"/>
          <w:sz w:val="28"/>
          <w:highlight w:val="none"/>
        </w:rPr>
        <w:t>评标委员会判断投标文件的响应性仅基于投标文件本身内容而</w:t>
      </w:r>
      <w:r>
        <w:rPr>
          <w:rFonts w:hint="eastAsia"/>
          <w:color w:val="auto"/>
          <w:sz w:val="28"/>
          <w:highlight w:val="none"/>
        </w:rPr>
        <w:t>不依</w:t>
      </w:r>
      <w:r>
        <w:rPr>
          <w:color w:val="auto"/>
          <w:sz w:val="28"/>
          <w:highlight w:val="none"/>
        </w:rPr>
        <w:t>靠外部证据。</w:t>
      </w:r>
    </w:p>
    <w:p w14:paraId="3A8C2AAB">
      <w:pPr>
        <w:pStyle w:val="19"/>
        <w:numPr>
          <w:ilvl w:val="1"/>
          <w:numId w:val="12"/>
        </w:numPr>
        <w:spacing w:line="360" w:lineRule="auto"/>
        <w:ind w:left="0" w:firstLine="560" w:firstLineChars="200"/>
        <w:jc w:val="both"/>
        <w:rPr>
          <w:color w:val="auto"/>
          <w:sz w:val="28"/>
          <w:highlight w:val="none"/>
        </w:rPr>
      </w:pPr>
      <w:r>
        <w:rPr>
          <w:color w:val="auto"/>
          <w:sz w:val="28"/>
          <w:highlight w:val="none"/>
        </w:rPr>
        <w:t>实质上没有响应招标文件要求的投标将被视为无效投标，投标人不得通过修正或</w:t>
      </w:r>
      <w:r>
        <w:rPr>
          <w:rFonts w:hint="eastAsia"/>
          <w:color w:val="auto"/>
          <w:sz w:val="28"/>
          <w:highlight w:val="none"/>
        </w:rPr>
        <w:t>撤销</w:t>
      </w:r>
      <w:r>
        <w:rPr>
          <w:color w:val="auto"/>
          <w:sz w:val="28"/>
          <w:highlight w:val="none"/>
        </w:rPr>
        <w:t>不符之处而使其投标成为实质上响应投标。</w:t>
      </w:r>
    </w:p>
    <w:p w14:paraId="2E4DAE1A">
      <w:pPr>
        <w:pStyle w:val="19"/>
        <w:numPr>
          <w:ilvl w:val="1"/>
          <w:numId w:val="12"/>
        </w:numPr>
        <w:spacing w:line="360" w:lineRule="auto"/>
        <w:ind w:left="0" w:firstLine="560" w:firstLineChars="200"/>
        <w:jc w:val="both"/>
        <w:rPr>
          <w:color w:val="auto"/>
          <w:sz w:val="28"/>
          <w:highlight w:val="none"/>
        </w:rPr>
      </w:pPr>
      <w:r>
        <w:rPr>
          <w:color w:val="auto"/>
          <w:sz w:val="28"/>
          <w:highlight w:val="none"/>
        </w:rPr>
        <w:t>参与同一个标段（包）的投标人存在下列情形之一的，其</w:t>
      </w:r>
      <w:r>
        <w:rPr>
          <w:b/>
          <w:bCs/>
          <w:color w:val="auto"/>
          <w:sz w:val="28"/>
          <w:highlight w:val="none"/>
        </w:rPr>
        <w:t>投标文件无效</w:t>
      </w:r>
      <w:r>
        <w:rPr>
          <w:color w:val="auto"/>
          <w:sz w:val="28"/>
          <w:highlight w:val="none"/>
        </w:rPr>
        <w:t>：</w:t>
      </w:r>
    </w:p>
    <w:p w14:paraId="751CD5F6">
      <w:pPr>
        <w:pStyle w:val="19"/>
        <w:spacing w:line="360" w:lineRule="auto"/>
        <w:ind w:left="0" w:firstLine="560" w:firstLineChars="200"/>
        <w:jc w:val="both"/>
        <w:rPr>
          <w:color w:val="auto"/>
          <w:sz w:val="28"/>
          <w:highlight w:val="none"/>
        </w:rPr>
      </w:pPr>
      <w:r>
        <w:rPr>
          <w:color w:val="auto"/>
          <w:sz w:val="28"/>
          <w:highlight w:val="none"/>
        </w:rPr>
        <w:t>（</w:t>
      </w:r>
      <w:r>
        <w:rPr>
          <w:rFonts w:hint="eastAsia"/>
          <w:color w:val="auto"/>
          <w:sz w:val="28"/>
          <w:highlight w:val="none"/>
        </w:rPr>
        <w:t>1）</w:t>
      </w:r>
      <w:r>
        <w:rPr>
          <w:color w:val="auto"/>
          <w:sz w:val="28"/>
          <w:highlight w:val="none"/>
        </w:rPr>
        <w:t>不同供应商的电子投标（响应）文件上传计算机的网卡MAC地址、CPU序列号和硬盘序列号等硬件信息相同的；</w:t>
      </w:r>
    </w:p>
    <w:p w14:paraId="6E49393F">
      <w:pPr>
        <w:pStyle w:val="19"/>
        <w:spacing w:line="360" w:lineRule="auto"/>
        <w:ind w:left="0" w:firstLine="560" w:firstLineChars="200"/>
        <w:jc w:val="both"/>
        <w:rPr>
          <w:color w:val="auto"/>
          <w:sz w:val="28"/>
          <w:highlight w:val="none"/>
        </w:rPr>
      </w:pPr>
      <w:r>
        <w:rPr>
          <w:color w:val="auto"/>
          <w:sz w:val="28"/>
          <w:highlight w:val="none"/>
        </w:rPr>
        <w:t>（</w:t>
      </w:r>
      <w:r>
        <w:rPr>
          <w:rFonts w:hint="eastAsia"/>
          <w:color w:val="auto"/>
          <w:sz w:val="28"/>
          <w:highlight w:val="none"/>
        </w:rPr>
        <w:t>2</w:t>
      </w:r>
      <w:r>
        <w:rPr>
          <w:color w:val="auto"/>
          <w:sz w:val="28"/>
          <w:highlight w:val="none"/>
        </w:rPr>
        <w:t>）不同供应商的投标（响应）文件由同一电子设备编制、打印加密或者上传；</w:t>
      </w:r>
    </w:p>
    <w:p w14:paraId="0A2621E6">
      <w:pPr>
        <w:pStyle w:val="19"/>
        <w:spacing w:line="360" w:lineRule="auto"/>
        <w:ind w:left="0" w:firstLine="560" w:firstLineChars="200"/>
        <w:jc w:val="both"/>
        <w:rPr>
          <w:color w:val="auto"/>
          <w:sz w:val="28"/>
          <w:highlight w:val="none"/>
        </w:rPr>
      </w:pPr>
      <w:r>
        <w:rPr>
          <w:color w:val="auto"/>
          <w:sz w:val="28"/>
          <w:highlight w:val="none"/>
        </w:rPr>
        <w:t>（</w:t>
      </w:r>
      <w:r>
        <w:rPr>
          <w:rFonts w:hint="eastAsia"/>
          <w:color w:val="auto"/>
          <w:sz w:val="28"/>
          <w:highlight w:val="none"/>
        </w:rPr>
        <w:t>3</w:t>
      </w:r>
      <w:r>
        <w:rPr>
          <w:color w:val="auto"/>
          <w:sz w:val="28"/>
          <w:highlight w:val="none"/>
        </w:rPr>
        <w:t>）不同供应商的投标（响应）文件由同一电子设备打印、复印；</w:t>
      </w:r>
    </w:p>
    <w:p w14:paraId="73EF1957">
      <w:pPr>
        <w:pStyle w:val="19"/>
        <w:spacing w:line="360" w:lineRule="auto"/>
        <w:ind w:left="0" w:firstLine="560" w:firstLineChars="200"/>
        <w:jc w:val="both"/>
        <w:rPr>
          <w:color w:val="auto"/>
          <w:sz w:val="28"/>
          <w:highlight w:val="none"/>
        </w:rPr>
      </w:pPr>
      <w:r>
        <w:rPr>
          <w:color w:val="auto"/>
          <w:sz w:val="28"/>
          <w:highlight w:val="none"/>
        </w:rPr>
        <w:t>（</w:t>
      </w:r>
      <w:r>
        <w:rPr>
          <w:rFonts w:hint="eastAsia"/>
          <w:color w:val="auto"/>
          <w:sz w:val="28"/>
          <w:highlight w:val="none"/>
        </w:rPr>
        <w:t>4</w:t>
      </w:r>
      <w:r>
        <w:rPr>
          <w:color w:val="auto"/>
          <w:sz w:val="28"/>
          <w:highlight w:val="none"/>
        </w:rPr>
        <w:t>）不同供应商的投标（响应）文件由同一人送达或者分发，或者不同供应商联系人为同一人或不同联系人的联系电话一致的；</w:t>
      </w:r>
    </w:p>
    <w:p w14:paraId="36AC25ED">
      <w:pPr>
        <w:pStyle w:val="19"/>
        <w:spacing w:line="360" w:lineRule="auto"/>
        <w:ind w:left="0" w:firstLine="560" w:firstLineChars="200"/>
        <w:jc w:val="both"/>
        <w:rPr>
          <w:color w:val="auto"/>
          <w:sz w:val="28"/>
          <w:highlight w:val="none"/>
        </w:rPr>
      </w:pPr>
      <w:r>
        <w:rPr>
          <w:color w:val="auto"/>
          <w:sz w:val="28"/>
          <w:highlight w:val="none"/>
        </w:rPr>
        <w:t>（</w:t>
      </w:r>
      <w:r>
        <w:rPr>
          <w:rFonts w:hint="eastAsia"/>
          <w:color w:val="auto"/>
          <w:sz w:val="28"/>
          <w:highlight w:val="none"/>
        </w:rPr>
        <w:t>5</w:t>
      </w:r>
      <w:r>
        <w:rPr>
          <w:color w:val="auto"/>
          <w:sz w:val="28"/>
          <w:highlight w:val="none"/>
        </w:rPr>
        <w:t>）不同供应商的投标（响应）文件的内容存在两处以上细节错误一致；</w:t>
      </w:r>
    </w:p>
    <w:p w14:paraId="0537D0BD">
      <w:pPr>
        <w:pStyle w:val="19"/>
        <w:spacing w:line="360" w:lineRule="auto"/>
        <w:ind w:left="0" w:firstLine="560" w:firstLineChars="200"/>
        <w:jc w:val="both"/>
        <w:rPr>
          <w:color w:val="auto"/>
          <w:sz w:val="28"/>
          <w:highlight w:val="none"/>
        </w:rPr>
      </w:pPr>
      <w:r>
        <w:rPr>
          <w:color w:val="auto"/>
          <w:sz w:val="28"/>
          <w:highlight w:val="none"/>
        </w:rPr>
        <w:t>（</w:t>
      </w:r>
      <w:r>
        <w:rPr>
          <w:rFonts w:hint="eastAsia"/>
          <w:color w:val="auto"/>
          <w:sz w:val="28"/>
          <w:highlight w:val="none"/>
        </w:rPr>
        <w:t>6</w:t>
      </w:r>
      <w:r>
        <w:rPr>
          <w:color w:val="auto"/>
          <w:sz w:val="28"/>
          <w:highlight w:val="none"/>
        </w:rPr>
        <w:t>）不同供应商的法定代表人、委托代理人、项目经理、项目负责人等由同一个单位缴纳社会保险或者领取报酬的；</w:t>
      </w:r>
    </w:p>
    <w:p w14:paraId="494F9BC1">
      <w:pPr>
        <w:pStyle w:val="19"/>
        <w:spacing w:line="360" w:lineRule="auto"/>
        <w:ind w:left="0" w:firstLine="560" w:firstLineChars="200"/>
        <w:jc w:val="both"/>
        <w:rPr>
          <w:color w:val="auto"/>
          <w:sz w:val="28"/>
          <w:highlight w:val="none"/>
        </w:rPr>
      </w:pPr>
      <w:r>
        <w:rPr>
          <w:color w:val="auto"/>
          <w:sz w:val="28"/>
          <w:highlight w:val="none"/>
        </w:rPr>
        <w:t>（</w:t>
      </w:r>
      <w:r>
        <w:rPr>
          <w:rFonts w:hint="eastAsia"/>
          <w:color w:val="auto"/>
          <w:sz w:val="28"/>
          <w:highlight w:val="none"/>
        </w:rPr>
        <w:t>7</w:t>
      </w:r>
      <w:r>
        <w:rPr>
          <w:color w:val="auto"/>
          <w:sz w:val="28"/>
          <w:highlight w:val="none"/>
        </w:rPr>
        <w:t>）不同供应商投标（响应）文件中法定代表人或者负责人签字出自同一人之手；</w:t>
      </w:r>
    </w:p>
    <w:p w14:paraId="0E1724B1">
      <w:pPr>
        <w:pStyle w:val="19"/>
        <w:spacing w:line="360" w:lineRule="auto"/>
        <w:ind w:left="0" w:firstLine="560" w:firstLineChars="200"/>
        <w:jc w:val="both"/>
        <w:rPr>
          <w:color w:val="auto"/>
          <w:sz w:val="28"/>
          <w:highlight w:val="none"/>
        </w:rPr>
      </w:pPr>
      <w:r>
        <w:rPr>
          <w:color w:val="auto"/>
          <w:sz w:val="28"/>
          <w:highlight w:val="none"/>
        </w:rPr>
        <w:t>（</w:t>
      </w:r>
      <w:r>
        <w:rPr>
          <w:rFonts w:hint="eastAsia"/>
          <w:color w:val="auto"/>
          <w:sz w:val="28"/>
          <w:highlight w:val="none"/>
        </w:rPr>
        <w:t>8</w:t>
      </w:r>
      <w:r>
        <w:rPr>
          <w:color w:val="auto"/>
          <w:sz w:val="28"/>
          <w:highlight w:val="none"/>
        </w:rPr>
        <w:t>）</w:t>
      </w:r>
      <w:r>
        <w:rPr>
          <w:rFonts w:hint="eastAsia"/>
          <w:color w:val="auto"/>
          <w:sz w:val="28"/>
          <w:highlight w:val="none"/>
        </w:rPr>
        <w:t>其他</w:t>
      </w:r>
      <w:r>
        <w:rPr>
          <w:color w:val="auto"/>
          <w:sz w:val="28"/>
          <w:highlight w:val="none"/>
        </w:rPr>
        <w:t>涉嫌串通的情形。</w:t>
      </w:r>
    </w:p>
    <w:p w14:paraId="28E74B28">
      <w:pPr>
        <w:pStyle w:val="19"/>
        <w:numPr>
          <w:ilvl w:val="1"/>
          <w:numId w:val="12"/>
        </w:numPr>
        <w:spacing w:line="360" w:lineRule="auto"/>
        <w:ind w:left="0" w:firstLine="560" w:firstLineChars="200"/>
        <w:jc w:val="both"/>
        <w:rPr>
          <w:color w:val="auto"/>
          <w:sz w:val="28"/>
          <w:highlight w:val="none"/>
        </w:rPr>
      </w:pPr>
      <w:r>
        <w:rPr>
          <w:color w:val="auto"/>
          <w:sz w:val="28"/>
          <w:highlight w:val="none"/>
        </w:rPr>
        <w:t>有下列情形之一的，视为投标人串通投标，其</w:t>
      </w:r>
      <w:r>
        <w:rPr>
          <w:b/>
          <w:bCs/>
          <w:color w:val="auto"/>
          <w:sz w:val="28"/>
          <w:highlight w:val="none"/>
        </w:rPr>
        <w:t>投标无效</w:t>
      </w:r>
      <w:r>
        <w:rPr>
          <w:color w:val="auto"/>
          <w:sz w:val="28"/>
          <w:highlight w:val="none"/>
        </w:rPr>
        <w:t>：</w:t>
      </w:r>
    </w:p>
    <w:p w14:paraId="4C3B017E">
      <w:pPr>
        <w:pStyle w:val="19"/>
        <w:numPr>
          <w:ilvl w:val="2"/>
          <w:numId w:val="12"/>
        </w:numPr>
        <w:spacing w:line="360" w:lineRule="auto"/>
        <w:ind w:left="0" w:firstLine="560" w:firstLineChars="200"/>
        <w:jc w:val="both"/>
        <w:rPr>
          <w:color w:val="auto"/>
          <w:sz w:val="28"/>
          <w:highlight w:val="none"/>
        </w:rPr>
      </w:pPr>
      <w:r>
        <w:rPr>
          <w:color w:val="auto"/>
          <w:sz w:val="28"/>
          <w:highlight w:val="none"/>
        </w:rPr>
        <w:t>不同投标人的投标文件由同一单位或者个人编制；</w:t>
      </w:r>
    </w:p>
    <w:p w14:paraId="0EB50EF3">
      <w:pPr>
        <w:pStyle w:val="19"/>
        <w:numPr>
          <w:ilvl w:val="2"/>
          <w:numId w:val="12"/>
        </w:numPr>
        <w:spacing w:line="360" w:lineRule="auto"/>
        <w:ind w:left="0" w:firstLine="560" w:firstLineChars="200"/>
        <w:jc w:val="both"/>
        <w:rPr>
          <w:color w:val="auto"/>
          <w:sz w:val="28"/>
          <w:highlight w:val="none"/>
        </w:rPr>
      </w:pPr>
      <w:r>
        <w:rPr>
          <w:color w:val="auto"/>
          <w:sz w:val="28"/>
          <w:highlight w:val="none"/>
        </w:rPr>
        <w:t>不同投标人委托同一单位或者个人办理投标事宜；</w:t>
      </w:r>
    </w:p>
    <w:p w14:paraId="530B4164">
      <w:pPr>
        <w:pStyle w:val="19"/>
        <w:numPr>
          <w:ilvl w:val="2"/>
          <w:numId w:val="12"/>
        </w:numPr>
        <w:spacing w:line="360" w:lineRule="auto"/>
        <w:ind w:left="0" w:firstLine="560" w:firstLineChars="200"/>
        <w:jc w:val="both"/>
        <w:rPr>
          <w:color w:val="auto"/>
          <w:sz w:val="28"/>
          <w:highlight w:val="none"/>
        </w:rPr>
      </w:pPr>
      <w:r>
        <w:rPr>
          <w:color w:val="auto"/>
          <w:sz w:val="28"/>
          <w:highlight w:val="none"/>
        </w:rPr>
        <w:t>不同投标人的投标文件载明的项目管理成员或者联系人员为同一人；</w:t>
      </w:r>
    </w:p>
    <w:p w14:paraId="71D86D3F">
      <w:pPr>
        <w:pStyle w:val="19"/>
        <w:numPr>
          <w:ilvl w:val="2"/>
          <w:numId w:val="12"/>
        </w:numPr>
        <w:spacing w:line="360" w:lineRule="auto"/>
        <w:ind w:left="0" w:firstLine="560" w:firstLineChars="200"/>
        <w:jc w:val="both"/>
        <w:rPr>
          <w:color w:val="auto"/>
          <w:sz w:val="28"/>
          <w:highlight w:val="none"/>
        </w:rPr>
      </w:pPr>
      <w:r>
        <w:rPr>
          <w:color w:val="auto"/>
          <w:sz w:val="28"/>
          <w:highlight w:val="none"/>
        </w:rPr>
        <w:t>不同投标人的投标文件异常一致或者投标报价呈规律性差异；</w:t>
      </w:r>
    </w:p>
    <w:p w14:paraId="16E3F483">
      <w:pPr>
        <w:pStyle w:val="19"/>
        <w:numPr>
          <w:ilvl w:val="2"/>
          <w:numId w:val="12"/>
        </w:numPr>
        <w:spacing w:line="360" w:lineRule="auto"/>
        <w:ind w:left="0" w:firstLine="560" w:firstLineChars="200"/>
        <w:jc w:val="both"/>
        <w:rPr>
          <w:color w:val="auto"/>
          <w:sz w:val="28"/>
          <w:highlight w:val="none"/>
        </w:rPr>
      </w:pPr>
      <w:r>
        <w:rPr>
          <w:color w:val="auto"/>
          <w:sz w:val="28"/>
          <w:highlight w:val="none"/>
        </w:rPr>
        <w:t>不同投标人的投标文件相互混装；</w:t>
      </w:r>
    </w:p>
    <w:p w14:paraId="42280B59">
      <w:pPr>
        <w:pStyle w:val="19"/>
        <w:numPr>
          <w:ilvl w:val="2"/>
          <w:numId w:val="12"/>
        </w:numPr>
        <w:spacing w:line="360" w:lineRule="auto"/>
        <w:ind w:left="0" w:firstLine="560" w:firstLineChars="200"/>
        <w:jc w:val="both"/>
        <w:rPr>
          <w:color w:val="auto"/>
          <w:sz w:val="28"/>
          <w:highlight w:val="none"/>
        </w:rPr>
      </w:pPr>
      <w:r>
        <w:rPr>
          <w:color w:val="auto"/>
          <w:sz w:val="28"/>
          <w:highlight w:val="none"/>
        </w:rPr>
        <w:t>不同投标人的投标保证金从同一单位或者个人的账户转出。</w:t>
      </w:r>
    </w:p>
    <w:p w14:paraId="1548334C">
      <w:pPr>
        <w:pStyle w:val="5"/>
        <w:numPr>
          <w:ilvl w:val="0"/>
          <w:numId w:val="12"/>
        </w:numPr>
        <w:spacing w:line="360" w:lineRule="auto"/>
        <w:ind w:left="0" w:firstLine="562" w:firstLineChars="200"/>
        <w:jc w:val="both"/>
        <w:rPr>
          <w:color w:val="auto"/>
          <w:highlight w:val="none"/>
        </w:rPr>
      </w:pPr>
      <w:r>
        <w:rPr>
          <w:color w:val="auto"/>
          <w:highlight w:val="none"/>
        </w:rPr>
        <w:t>投标的评价</w:t>
      </w:r>
    </w:p>
    <w:p w14:paraId="0DE4958C">
      <w:pPr>
        <w:pStyle w:val="19"/>
        <w:numPr>
          <w:ilvl w:val="1"/>
          <w:numId w:val="12"/>
        </w:numPr>
        <w:spacing w:line="360" w:lineRule="auto"/>
        <w:ind w:left="0" w:firstLine="560" w:firstLineChars="200"/>
        <w:jc w:val="both"/>
        <w:rPr>
          <w:color w:val="auto"/>
          <w:sz w:val="28"/>
          <w:highlight w:val="none"/>
        </w:rPr>
      </w:pPr>
      <w:r>
        <w:rPr>
          <w:color w:val="auto"/>
          <w:sz w:val="28"/>
          <w:highlight w:val="none"/>
        </w:rPr>
        <w:t>投标文件报价出现前后不一致的，按照下列规定修正：</w:t>
      </w:r>
    </w:p>
    <w:p w14:paraId="1549D269">
      <w:pPr>
        <w:pStyle w:val="19"/>
        <w:numPr>
          <w:ilvl w:val="2"/>
          <w:numId w:val="12"/>
        </w:numPr>
        <w:spacing w:line="360" w:lineRule="auto"/>
        <w:ind w:left="0" w:firstLine="560" w:firstLineChars="200"/>
        <w:jc w:val="both"/>
        <w:rPr>
          <w:color w:val="auto"/>
          <w:sz w:val="28"/>
          <w:highlight w:val="none"/>
        </w:rPr>
      </w:pPr>
      <w:r>
        <w:rPr>
          <w:color w:val="auto"/>
          <w:sz w:val="28"/>
          <w:highlight w:val="none"/>
        </w:rPr>
        <w:t>投标文件中开标一览表（报价表）内容与投标文件中相应内容不一致的，</w:t>
      </w:r>
      <w:r>
        <w:rPr>
          <w:b/>
          <w:bCs/>
          <w:color w:val="auto"/>
          <w:sz w:val="28"/>
          <w:highlight w:val="none"/>
        </w:rPr>
        <w:t>以开标一览表（报价表）为准</w:t>
      </w:r>
      <w:r>
        <w:rPr>
          <w:color w:val="auto"/>
          <w:sz w:val="28"/>
          <w:highlight w:val="none"/>
        </w:rPr>
        <w:t>；</w:t>
      </w:r>
    </w:p>
    <w:p w14:paraId="4C19C29C">
      <w:pPr>
        <w:pStyle w:val="19"/>
        <w:numPr>
          <w:ilvl w:val="2"/>
          <w:numId w:val="12"/>
        </w:numPr>
        <w:spacing w:line="360" w:lineRule="auto"/>
        <w:ind w:left="0" w:firstLine="560" w:firstLineChars="200"/>
        <w:jc w:val="both"/>
        <w:rPr>
          <w:color w:val="auto"/>
          <w:sz w:val="28"/>
          <w:highlight w:val="none"/>
        </w:rPr>
      </w:pPr>
      <w:r>
        <w:rPr>
          <w:color w:val="auto"/>
          <w:sz w:val="28"/>
          <w:highlight w:val="none"/>
        </w:rPr>
        <w:t>大写金额和小写金额不一致的，以大写金额为准；</w:t>
      </w:r>
    </w:p>
    <w:p w14:paraId="134BCAEB">
      <w:pPr>
        <w:pStyle w:val="19"/>
        <w:numPr>
          <w:ilvl w:val="2"/>
          <w:numId w:val="12"/>
        </w:numPr>
        <w:spacing w:line="360" w:lineRule="auto"/>
        <w:ind w:left="0" w:firstLine="560" w:firstLineChars="200"/>
        <w:jc w:val="both"/>
        <w:rPr>
          <w:color w:val="auto"/>
          <w:sz w:val="28"/>
          <w:highlight w:val="none"/>
        </w:rPr>
      </w:pPr>
      <w:r>
        <w:rPr>
          <w:color w:val="auto"/>
          <w:sz w:val="28"/>
          <w:highlight w:val="none"/>
        </w:rPr>
        <w:t>单价金额小数点或者百分比有明显错位的，以开标一览表的总价为准，并修改单价；总价金额与按单价汇总金额不一致的，以单价金额计算结果为准。</w:t>
      </w:r>
    </w:p>
    <w:p w14:paraId="5DB45097">
      <w:pPr>
        <w:pStyle w:val="7"/>
        <w:spacing w:line="360" w:lineRule="auto"/>
        <w:ind w:firstLine="560" w:firstLineChars="200"/>
        <w:jc w:val="both"/>
        <w:rPr>
          <w:color w:val="auto"/>
          <w:highlight w:val="none"/>
        </w:rPr>
      </w:pPr>
      <w:r>
        <w:rPr>
          <w:color w:val="auto"/>
          <w:highlight w:val="none"/>
        </w:rPr>
        <w:t>同时出现两种以上不一致的，按照前款规定的顺序修正。修正后的报价经投标人确认后产生约束力，投标人不确认的，其投标无效。</w:t>
      </w:r>
    </w:p>
    <w:p w14:paraId="6984AC09">
      <w:pPr>
        <w:pStyle w:val="19"/>
        <w:numPr>
          <w:ilvl w:val="1"/>
          <w:numId w:val="12"/>
        </w:numPr>
        <w:spacing w:line="360" w:lineRule="auto"/>
        <w:ind w:left="0" w:firstLine="562" w:firstLineChars="200"/>
        <w:jc w:val="both"/>
        <w:rPr>
          <w:b/>
          <w:bCs/>
          <w:color w:val="auto"/>
          <w:sz w:val="28"/>
          <w:highlight w:val="none"/>
        </w:rPr>
      </w:pPr>
      <w:r>
        <w:rPr>
          <w:b/>
          <w:bCs/>
          <w:color w:val="auto"/>
          <w:sz w:val="28"/>
          <w:highlight w:val="none"/>
        </w:rPr>
        <w:t>评标委员会认为投标人的报价明显低于其他通过符合性审查投标人的报价，有可能影响服务质量或者不能诚信履约的，应当要求其在合理的时间内提供书面说明，必要时提交相关证明材料；投标人不能证明其报价合理性的，评标委员会应当将其作为无效投标处理。</w:t>
      </w:r>
    </w:p>
    <w:p w14:paraId="21C8C6CA">
      <w:pPr>
        <w:widowControl/>
        <w:adjustRightInd w:val="0"/>
        <w:snapToGrid w:val="0"/>
        <w:spacing w:line="360" w:lineRule="auto"/>
        <w:ind w:firstLine="632"/>
        <w:rPr>
          <w:color w:val="auto"/>
          <w:sz w:val="28"/>
          <w:szCs w:val="28"/>
          <w:highlight w:val="none"/>
        </w:rPr>
      </w:pPr>
      <w:r>
        <w:rPr>
          <w:rFonts w:hint="eastAsia"/>
          <w:color w:val="auto"/>
          <w:sz w:val="28"/>
          <w:highlight w:val="none"/>
        </w:rPr>
        <w:t>根据《关于推动解决政府采购异常低价问题的通知》（财库〔2026〕2号）第二项条款“二、强化政府采购异常低价审查 ”规定，</w:t>
      </w:r>
      <w:r>
        <w:rPr>
          <w:rFonts w:hint="eastAsia" w:ascii="宋体" w:hAnsi="宋体" w:cs="宋体"/>
          <w:color w:val="auto"/>
          <w:spacing w:val="-2"/>
          <w:sz w:val="28"/>
          <w:szCs w:val="28"/>
          <w:highlight w:val="none"/>
        </w:rPr>
        <w:t>政府采购评</w:t>
      </w:r>
      <w:r>
        <w:rPr>
          <w:rFonts w:hint="eastAsia"/>
          <w:color w:val="auto"/>
          <w:sz w:val="28"/>
          <w:szCs w:val="28"/>
          <w:highlight w:val="none"/>
        </w:rPr>
        <w:t>审中出现下列情形之一的，评标委员会应当启动异常低价投标（响应）审查程序：</w:t>
      </w:r>
    </w:p>
    <w:p w14:paraId="3CFA7702">
      <w:pPr>
        <w:pStyle w:val="21"/>
        <w:spacing w:line="360" w:lineRule="auto"/>
        <w:ind w:firstLine="560"/>
        <w:jc w:val="both"/>
        <w:rPr>
          <w:color w:val="auto"/>
          <w:sz w:val="28"/>
          <w:highlight w:val="none"/>
        </w:rPr>
      </w:pPr>
      <w:bookmarkStart w:id="25" w:name="_Hlk229325228"/>
      <w:r>
        <w:rPr>
          <w:rFonts w:hint="eastAsia"/>
          <w:color w:val="auto"/>
          <w:sz w:val="28"/>
          <w:szCs w:val="28"/>
          <w:highlight w:val="none"/>
        </w:rPr>
        <w:t>1.投标（响应）报价低于全部通过符合性审查供应商投标（响应）报价平均值50%的，即投标（响应）报价〈全部通过符合性审查供应商投标（响应）</w:t>
      </w:r>
      <w:r>
        <w:rPr>
          <w:rFonts w:hint="eastAsia"/>
          <w:color w:val="auto"/>
          <w:sz w:val="28"/>
          <w:highlight w:val="none"/>
        </w:rPr>
        <w:t>报价平均值×50%；</w:t>
      </w:r>
    </w:p>
    <w:p w14:paraId="40923569">
      <w:pPr>
        <w:pStyle w:val="21"/>
        <w:spacing w:line="360" w:lineRule="auto"/>
        <w:ind w:firstLine="560"/>
        <w:jc w:val="both"/>
        <w:rPr>
          <w:color w:val="auto"/>
          <w:sz w:val="28"/>
          <w:highlight w:val="none"/>
        </w:rPr>
      </w:pPr>
      <w:r>
        <w:rPr>
          <w:rFonts w:hint="eastAsia"/>
          <w:color w:val="auto"/>
          <w:sz w:val="28"/>
          <w:highlight w:val="none"/>
        </w:rPr>
        <w:t>2.投标（响应）报价低于通过符合性审查的次低报价供应商投标（响应）报价50%的，即投标（响应）报价〈通过符合性审查的次低报价供应商投标（响应）报价×50%；</w:t>
      </w:r>
    </w:p>
    <w:p w14:paraId="2EF21EB6">
      <w:pPr>
        <w:pStyle w:val="21"/>
        <w:spacing w:line="360" w:lineRule="auto"/>
        <w:ind w:firstLine="560"/>
        <w:jc w:val="both"/>
        <w:rPr>
          <w:color w:val="auto"/>
          <w:sz w:val="28"/>
          <w:szCs w:val="28"/>
          <w:highlight w:val="none"/>
        </w:rPr>
      </w:pPr>
      <w:r>
        <w:rPr>
          <w:rFonts w:hint="eastAsia"/>
          <w:color w:val="auto"/>
          <w:sz w:val="28"/>
          <w:szCs w:val="28"/>
          <w:highlight w:val="none"/>
        </w:rPr>
        <w:t>3.投标（响应）报价低于采购项目最高限价45%的，即投标（响应）报价〈采购项目最高限价×45%；</w:t>
      </w:r>
    </w:p>
    <w:p w14:paraId="226BC126">
      <w:pPr>
        <w:pStyle w:val="21"/>
        <w:spacing w:line="360" w:lineRule="auto"/>
        <w:ind w:firstLine="560"/>
        <w:jc w:val="both"/>
        <w:rPr>
          <w:color w:val="auto"/>
          <w:sz w:val="28"/>
          <w:szCs w:val="28"/>
          <w:highlight w:val="none"/>
        </w:rPr>
      </w:pPr>
      <w:r>
        <w:rPr>
          <w:rFonts w:hint="eastAsia"/>
          <w:color w:val="auto"/>
          <w:sz w:val="28"/>
          <w:szCs w:val="28"/>
          <w:highlight w:val="none"/>
        </w:rPr>
        <w:t>4.评标委员会基于专业判断，认为供应商报价过低，有可能影响产品质量或者不能诚信履约的其他情形。</w:t>
      </w:r>
    </w:p>
    <w:p w14:paraId="4122CCFC">
      <w:pPr>
        <w:pStyle w:val="21"/>
        <w:spacing w:line="360" w:lineRule="auto"/>
        <w:ind w:firstLine="560"/>
        <w:jc w:val="both"/>
        <w:rPr>
          <w:rFonts w:hint="eastAsia"/>
          <w:color w:val="auto"/>
          <w:sz w:val="28"/>
          <w:szCs w:val="28"/>
          <w:highlight w:val="none"/>
        </w:rPr>
      </w:pPr>
      <w:r>
        <w:rPr>
          <w:rFonts w:hint="eastAsia"/>
          <w:color w:val="auto"/>
          <w:sz w:val="28"/>
          <w:szCs w:val="28"/>
          <w:highlight w:val="none"/>
        </w:rPr>
        <w:t>（二）评标委员会启动异常低价投标（响应）审查后，属于前述第1项至第4项情形的，应当要求相关供应商在评审现场合理的时间内对投标（响应）价格作出解释，并提供项目具体成本测算等与报价合理性相关的书面说明及必要的证明材料，包括但不限于原材料成本、人工成本、制造费用等，给予相关供应商的合理时间一般不少于30分钟。</w:t>
      </w:r>
    </w:p>
    <w:p w14:paraId="1810FCD3">
      <w:pPr>
        <w:pStyle w:val="21"/>
        <w:spacing w:line="360" w:lineRule="auto"/>
        <w:ind w:firstLine="560"/>
        <w:jc w:val="both"/>
        <w:rPr>
          <w:rFonts w:hint="eastAsia"/>
          <w:color w:val="auto"/>
          <w:sz w:val="28"/>
          <w:szCs w:val="28"/>
          <w:highlight w:val="none"/>
        </w:rPr>
      </w:pPr>
      <w:r>
        <w:rPr>
          <w:rFonts w:hint="eastAsia"/>
          <w:color w:val="auto"/>
          <w:sz w:val="28"/>
          <w:szCs w:val="28"/>
          <w:highlight w:val="none"/>
        </w:rPr>
        <w:t>其中，属于第3项情形，供应商已随投标（响应）文件一并提交相关书面说明及必要的证明材料的，在评审现场可不再重复提交。</w:t>
      </w:r>
    </w:p>
    <w:p w14:paraId="7DF4FAC9">
      <w:pPr>
        <w:pStyle w:val="21"/>
        <w:spacing w:line="360" w:lineRule="auto"/>
        <w:ind w:firstLine="560"/>
        <w:jc w:val="both"/>
        <w:rPr>
          <w:rFonts w:hint="eastAsia"/>
          <w:color w:val="auto"/>
          <w:sz w:val="28"/>
          <w:szCs w:val="28"/>
          <w:highlight w:val="none"/>
        </w:rPr>
      </w:pPr>
      <w:r>
        <w:rPr>
          <w:rFonts w:hint="eastAsia"/>
          <w:color w:val="auto"/>
          <w:sz w:val="28"/>
          <w:szCs w:val="28"/>
          <w:highlight w:val="none"/>
        </w:rPr>
        <w:t>评标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标委员会应当将其作为无效投标（响应）处理。</w:t>
      </w:r>
    </w:p>
    <w:p w14:paraId="2D540F3C">
      <w:pPr>
        <w:pStyle w:val="21"/>
        <w:spacing w:line="360" w:lineRule="auto"/>
        <w:ind w:firstLine="560"/>
        <w:jc w:val="both"/>
        <w:rPr>
          <w:rFonts w:hint="eastAsia"/>
          <w:color w:val="auto"/>
          <w:sz w:val="28"/>
          <w:szCs w:val="28"/>
          <w:highlight w:val="none"/>
        </w:rPr>
      </w:pPr>
      <w:r>
        <w:rPr>
          <w:rFonts w:hint="eastAsia"/>
          <w:color w:val="auto"/>
          <w:sz w:val="28"/>
          <w:szCs w:val="28"/>
          <w:highlight w:val="none"/>
        </w:rPr>
        <w:t>采购人、采购代理机构应当为评标委员会在评审现场及时获取同类项目中标（成交）价格、类似产品市场价格水平、行业人工费用标准、国家有关部门指导行业协会发布的行业平均成本等相关信息资料提供便利。评标委员会借助互联网等渠道查询相关信息的，应当严格遵守评审工作纪律，不得实施影响评审公正的行为。</w:t>
      </w:r>
    </w:p>
    <w:p w14:paraId="42C7BBBD">
      <w:pPr>
        <w:adjustRightInd w:val="0"/>
        <w:snapToGrid w:val="0"/>
        <w:spacing w:line="360" w:lineRule="auto"/>
        <w:ind w:firstLine="560" w:firstLineChars="200"/>
        <w:rPr>
          <w:rFonts w:ascii="宋体" w:hAnsi="宋体" w:cs="宋体"/>
          <w:color w:val="auto"/>
          <w:spacing w:val="-2"/>
          <w:sz w:val="28"/>
          <w:szCs w:val="28"/>
          <w:highlight w:val="none"/>
        </w:rPr>
      </w:pPr>
      <w:r>
        <w:rPr>
          <w:rFonts w:hint="eastAsia"/>
          <w:color w:val="auto"/>
          <w:sz w:val="28"/>
          <w:highlight w:val="none"/>
        </w:rPr>
        <w:t>异常低价投标（响应）审查的启动原因、审查意见和审查结果应当在评审报告中记录，并随供应商提供的相关书面说明及证明材料，以及评</w:t>
      </w:r>
      <w:r>
        <w:rPr>
          <w:rFonts w:hint="eastAsia"/>
          <w:color w:val="auto"/>
          <w:sz w:val="28"/>
          <w:szCs w:val="28"/>
          <w:highlight w:val="none"/>
        </w:rPr>
        <w:t>标</w:t>
      </w:r>
      <w:r>
        <w:rPr>
          <w:rFonts w:hint="eastAsia"/>
          <w:color w:val="auto"/>
          <w:sz w:val="28"/>
          <w:highlight w:val="none"/>
        </w:rPr>
        <w:t>委员会有关互联网浏览、查询历史一并归档。</w:t>
      </w:r>
    </w:p>
    <w:p w14:paraId="3DDEF2A9">
      <w:pPr>
        <w:widowControl/>
        <w:adjustRightInd w:val="0"/>
        <w:snapToGrid w:val="0"/>
        <w:spacing w:line="360" w:lineRule="auto"/>
        <w:ind w:firstLine="632"/>
        <w:rPr>
          <w:rFonts w:ascii="宋体" w:hAnsi="宋体" w:cs="宋体"/>
          <w:color w:val="auto"/>
          <w:spacing w:val="-2"/>
          <w:sz w:val="28"/>
          <w:szCs w:val="28"/>
          <w:highlight w:val="none"/>
        </w:rPr>
      </w:pPr>
      <w:r>
        <w:rPr>
          <w:rFonts w:hint="eastAsia" w:ascii="宋体" w:hAnsi="宋体"/>
          <w:color w:val="auto"/>
          <w:sz w:val="28"/>
          <w:szCs w:val="28"/>
          <w:highlight w:val="none"/>
        </w:rPr>
        <w:t>投标人</w:t>
      </w:r>
      <w:r>
        <w:rPr>
          <w:rFonts w:hint="eastAsia" w:ascii="宋体" w:hAnsi="宋体" w:cs="仿宋_GB2312"/>
          <w:color w:val="auto"/>
          <w:sz w:val="28"/>
          <w:szCs w:val="28"/>
          <w:highlight w:val="none"/>
        </w:rPr>
        <w:t>的书面说明材料应包含</w:t>
      </w:r>
      <w:r>
        <w:rPr>
          <w:rFonts w:hint="eastAsia" w:ascii="宋体" w:hAnsi="宋体"/>
          <w:b/>
          <w:bCs/>
          <w:color w:val="auto"/>
          <w:sz w:val="28"/>
          <w:szCs w:val="28"/>
          <w:highlight w:val="none"/>
        </w:rPr>
        <w:t>货物（伴随的工程及服务）</w:t>
      </w:r>
      <w:r>
        <w:rPr>
          <w:rFonts w:hint="eastAsia" w:ascii="宋体" w:hAnsi="宋体" w:cs="仿宋_GB2312"/>
          <w:color w:val="auto"/>
          <w:sz w:val="28"/>
          <w:szCs w:val="28"/>
          <w:highlight w:val="none"/>
        </w:rPr>
        <w:t>本身成本、制造费用、人工成本、运输、税费等</w:t>
      </w:r>
      <w:bookmarkEnd w:id="25"/>
      <w:r>
        <w:rPr>
          <w:rFonts w:hint="eastAsia" w:ascii="宋体" w:hAnsi="宋体" w:cs="仿宋_GB2312"/>
          <w:color w:val="auto"/>
          <w:sz w:val="28"/>
          <w:szCs w:val="28"/>
          <w:highlight w:val="none"/>
        </w:rPr>
        <w:t>，以及报价不会影响产品质量或诚信履约能力的说明等。</w:t>
      </w:r>
    </w:p>
    <w:p w14:paraId="5BB47D59">
      <w:pPr>
        <w:pStyle w:val="19"/>
        <w:numPr>
          <w:ilvl w:val="1"/>
          <w:numId w:val="12"/>
        </w:numPr>
        <w:spacing w:line="360" w:lineRule="auto"/>
        <w:ind w:left="0" w:firstLine="560" w:firstLineChars="200"/>
        <w:jc w:val="both"/>
        <w:rPr>
          <w:color w:val="auto"/>
          <w:sz w:val="28"/>
          <w:highlight w:val="none"/>
        </w:rPr>
      </w:pPr>
      <w:r>
        <w:rPr>
          <w:color w:val="auto"/>
          <w:sz w:val="28"/>
          <w:highlight w:val="none"/>
        </w:rPr>
        <w:t>评标委员会只对已判定为实质性响应的投标文件进行评价和比较。</w:t>
      </w:r>
    </w:p>
    <w:p w14:paraId="3639B2F3">
      <w:pPr>
        <w:pStyle w:val="19"/>
        <w:numPr>
          <w:ilvl w:val="1"/>
          <w:numId w:val="12"/>
        </w:numPr>
        <w:spacing w:line="360" w:lineRule="auto"/>
        <w:ind w:left="0" w:firstLine="560" w:firstLineChars="200"/>
        <w:jc w:val="both"/>
        <w:rPr>
          <w:color w:val="auto"/>
          <w:sz w:val="28"/>
          <w:highlight w:val="none"/>
        </w:rPr>
      </w:pPr>
      <w:r>
        <w:rPr>
          <w:color w:val="auto"/>
          <w:sz w:val="28"/>
          <w:highlight w:val="none"/>
        </w:rPr>
        <w:t>节能环保政策</w:t>
      </w:r>
    </w:p>
    <w:p w14:paraId="5E92D22B">
      <w:pPr>
        <w:pStyle w:val="19"/>
        <w:numPr>
          <w:ilvl w:val="2"/>
          <w:numId w:val="12"/>
        </w:numPr>
        <w:spacing w:line="360" w:lineRule="auto"/>
        <w:ind w:left="0" w:firstLine="560" w:firstLineChars="200"/>
        <w:jc w:val="both"/>
        <w:rPr>
          <w:color w:val="auto"/>
          <w:sz w:val="28"/>
          <w:highlight w:val="none"/>
        </w:rPr>
      </w:pPr>
      <w:r>
        <w:rPr>
          <w:color w:val="auto"/>
          <w:sz w:val="28"/>
          <w:highlight w:val="none"/>
        </w:rPr>
        <w:t>本项目若含有节能产品政府采购品目清单内政府强制采购产品，投标人须选用国家确定的认证机构认证的处于有效期之内的政府强制采购节能产品。</w:t>
      </w:r>
    </w:p>
    <w:p w14:paraId="419596CF">
      <w:pPr>
        <w:pStyle w:val="19"/>
        <w:numPr>
          <w:ilvl w:val="2"/>
          <w:numId w:val="12"/>
        </w:numPr>
        <w:spacing w:line="360" w:lineRule="auto"/>
        <w:ind w:left="0" w:firstLine="560" w:firstLineChars="200"/>
        <w:jc w:val="both"/>
        <w:rPr>
          <w:color w:val="auto"/>
          <w:sz w:val="28"/>
          <w:highlight w:val="none"/>
        </w:rPr>
      </w:pPr>
      <w:r>
        <w:rPr>
          <w:color w:val="auto"/>
          <w:sz w:val="28"/>
          <w:highlight w:val="none"/>
        </w:rPr>
        <w:t>本项目若含有节能产品、环境标志产品政府采购品目清单内政府优先采购产品，对选用国家公布的认证机构认证的处于有效期之内的政府优先采购节能产品（政府强制采购产品除外）、环境标志产品的，在评标时予以优先采购。</w:t>
      </w:r>
    </w:p>
    <w:p w14:paraId="22C75F37">
      <w:pPr>
        <w:pStyle w:val="19"/>
        <w:numPr>
          <w:ilvl w:val="2"/>
          <w:numId w:val="12"/>
        </w:numPr>
        <w:spacing w:line="360" w:lineRule="auto"/>
        <w:ind w:left="0" w:firstLine="560" w:firstLineChars="200"/>
        <w:jc w:val="both"/>
        <w:rPr>
          <w:color w:val="auto"/>
          <w:sz w:val="28"/>
          <w:highlight w:val="none"/>
        </w:rPr>
      </w:pPr>
      <w:r>
        <w:rPr>
          <w:color w:val="auto"/>
          <w:sz w:val="28"/>
          <w:highlight w:val="none"/>
        </w:rPr>
        <w:t>投标人应提供国家确定的认证机构出具的处于有效期之内的节能产品、环境标志产品认证证书。</w:t>
      </w:r>
    </w:p>
    <w:p w14:paraId="6E7CFA8D">
      <w:pPr>
        <w:pStyle w:val="19"/>
        <w:numPr>
          <w:ilvl w:val="1"/>
          <w:numId w:val="12"/>
        </w:numPr>
        <w:spacing w:line="360" w:lineRule="auto"/>
        <w:ind w:left="0" w:firstLine="560" w:firstLineChars="200"/>
        <w:jc w:val="both"/>
        <w:rPr>
          <w:color w:val="auto"/>
          <w:sz w:val="28"/>
          <w:highlight w:val="none"/>
        </w:rPr>
      </w:pPr>
      <w:r>
        <w:rPr>
          <w:color w:val="auto"/>
          <w:sz w:val="28"/>
          <w:highlight w:val="none"/>
        </w:rPr>
        <w:t>网络关键设备和网络安全专用产品要求</w:t>
      </w:r>
    </w:p>
    <w:p w14:paraId="11FEAFA4">
      <w:pPr>
        <w:pStyle w:val="7"/>
        <w:spacing w:line="360" w:lineRule="auto"/>
        <w:ind w:firstLine="562" w:firstLineChars="200"/>
        <w:jc w:val="both"/>
        <w:rPr>
          <w:b/>
          <w:bCs/>
          <w:color w:val="auto"/>
          <w:highlight w:val="none"/>
        </w:rPr>
      </w:pPr>
      <w:r>
        <w:rPr>
          <w:b/>
          <w:bCs/>
          <w:color w:val="auto"/>
          <w:highlight w:val="none"/>
        </w:rPr>
        <w:t>列入《网络关键设备和网络安全专用产品目录》的产品应当按照《信息安全技术网络安全专用产品安全技术要求》等相关国家标准的强制性要求，由具备资格的机构安全认证合格或者安全检测符合要求后，方可销售或者提供。</w:t>
      </w:r>
    </w:p>
    <w:p w14:paraId="72A4E36B">
      <w:pPr>
        <w:pStyle w:val="19"/>
        <w:numPr>
          <w:ilvl w:val="1"/>
          <w:numId w:val="12"/>
        </w:numPr>
        <w:spacing w:line="360" w:lineRule="auto"/>
        <w:ind w:left="0" w:firstLine="560" w:firstLineChars="200"/>
        <w:jc w:val="both"/>
        <w:rPr>
          <w:color w:val="auto"/>
          <w:sz w:val="28"/>
          <w:highlight w:val="none"/>
        </w:rPr>
      </w:pPr>
      <w:r>
        <w:rPr>
          <w:color w:val="auto"/>
          <w:sz w:val="28"/>
          <w:highlight w:val="none"/>
        </w:rPr>
        <w:t>正版软件的要求</w:t>
      </w:r>
    </w:p>
    <w:p w14:paraId="3AB56C98">
      <w:pPr>
        <w:pStyle w:val="7"/>
        <w:spacing w:line="360" w:lineRule="auto"/>
        <w:ind w:firstLine="560" w:firstLineChars="200"/>
        <w:jc w:val="both"/>
        <w:rPr>
          <w:color w:val="auto"/>
          <w:highlight w:val="none"/>
        </w:rPr>
      </w:pPr>
      <w:r>
        <w:rPr>
          <w:color w:val="auto"/>
          <w:highlight w:val="none"/>
        </w:rPr>
        <w:t>本项目落实正版软件要求，投标人投报的计算机产品应预装正版操作系统，投报的硬件产品内的预装软件应为正版软件。</w:t>
      </w:r>
    </w:p>
    <w:p w14:paraId="5D13CC46">
      <w:pPr>
        <w:pStyle w:val="19"/>
        <w:numPr>
          <w:ilvl w:val="1"/>
          <w:numId w:val="12"/>
        </w:numPr>
        <w:spacing w:line="360" w:lineRule="auto"/>
        <w:ind w:left="0" w:firstLine="560" w:firstLineChars="200"/>
        <w:jc w:val="both"/>
        <w:rPr>
          <w:color w:val="auto"/>
          <w:sz w:val="28"/>
          <w:highlight w:val="none"/>
        </w:rPr>
      </w:pPr>
      <w:r>
        <w:rPr>
          <w:color w:val="auto"/>
          <w:sz w:val="28"/>
          <w:highlight w:val="none"/>
        </w:rPr>
        <w:t>商品包装和快递包装要求</w:t>
      </w:r>
    </w:p>
    <w:p w14:paraId="61482D48">
      <w:pPr>
        <w:pStyle w:val="7"/>
        <w:spacing w:line="360" w:lineRule="auto"/>
        <w:ind w:firstLine="560" w:firstLineChars="200"/>
        <w:jc w:val="both"/>
        <w:rPr>
          <w:color w:val="auto"/>
          <w:highlight w:val="none"/>
        </w:rPr>
      </w:pPr>
      <w:r>
        <w:rPr>
          <w:rFonts w:hint="eastAsia"/>
          <w:color w:val="auto"/>
          <w:highlight w:val="none"/>
        </w:rPr>
        <w:t>为助力打好污染防治攻坚战，推广使用绿色包装，根据财政部关于印发《商品包装政府采购需求标准（试行）》《快递包装政府采购需求标准（试行）》，本项目如涉及商品包装和快递包装的，按国家有关货物供应的规定标准进行包装。</w:t>
      </w:r>
    </w:p>
    <w:p w14:paraId="50358924">
      <w:pPr>
        <w:pStyle w:val="7"/>
        <w:spacing w:line="360" w:lineRule="auto"/>
        <w:ind w:firstLine="560" w:firstLineChars="200"/>
        <w:jc w:val="both"/>
        <w:rPr>
          <w:color w:val="auto"/>
          <w:highlight w:val="none"/>
        </w:rPr>
      </w:pPr>
      <w:r>
        <w:rPr>
          <w:rFonts w:hint="eastAsia"/>
          <w:color w:val="auto"/>
          <w:highlight w:val="none"/>
        </w:rPr>
        <w:t>35.8支持本国产品标准及相关政策</w:t>
      </w:r>
    </w:p>
    <w:p w14:paraId="4DEFF943">
      <w:pPr>
        <w:pStyle w:val="12"/>
        <w:spacing w:before="120" w:beforeAutospacing="0" w:after="120" w:afterAutospacing="0" w:line="360" w:lineRule="auto"/>
        <w:ind w:right="150" w:firstLine="560" w:firstLineChars="200"/>
        <w:textAlignment w:val="baseline"/>
        <w:rPr>
          <w:rFonts w:ascii="仿宋" w:hAnsi="仿宋"/>
          <w:color w:val="auto"/>
          <w:sz w:val="28"/>
          <w:szCs w:val="28"/>
          <w:highlight w:val="none"/>
        </w:rPr>
      </w:pPr>
      <w:r>
        <w:rPr>
          <w:rFonts w:hint="eastAsia" w:ascii="仿宋" w:hAnsi="仿宋"/>
          <w:color w:val="auto"/>
          <w:sz w:val="28"/>
          <w:szCs w:val="28"/>
          <w:highlight w:val="none"/>
        </w:rPr>
        <w:t>对本国产品的支持政策：政府采购活动中既有本国产品又有非本国产品参与竞争的，依法对本国产品给予价格评审优惠，对本国产品的报价给予20%的价格扣除，用扣除后的价格参与评审。</w:t>
      </w:r>
    </w:p>
    <w:p w14:paraId="37E9C63B">
      <w:pPr>
        <w:pStyle w:val="7"/>
        <w:spacing w:line="360" w:lineRule="auto"/>
        <w:ind w:firstLine="560" w:firstLineChars="200"/>
        <w:jc w:val="both"/>
        <w:rPr>
          <w:color w:val="auto"/>
          <w:highlight w:val="none"/>
        </w:rPr>
      </w:pPr>
      <w:r>
        <w:rPr>
          <w:rFonts w:hint="eastAsia"/>
          <w:color w:val="auto"/>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w:t>
      </w:r>
      <w:r>
        <w:rPr>
          <w:rFonts w:hint="eastAsia"/>
          <w:color w:val="auto"/>
          <w:szCs w:val="22"/>
          <w:highlight w:val="none"/>
        </w:rPr>
        <w:t>评审。</w:t>
      </w:r>
    </w:p>
    <w:p w14:paraId="66ACA4E6">
      <w:pPr>
        <w:pStyle w:val="7"/>
        <w:spacing w:line="360" w:lineRule="auto"/>
        <w:ind w:firstLine="560" w:firstLineChars="200"/>
        <w:jc w:val="both"/>
        <w:rPr>
          <w:color w:val="auto"/>
          <w:highlight w:val="none"/>
        </w:rPr>
      </w:pPr>
      <w:r>
        <w:rPr>
          <w:rFonts w:hint="eastAsia"/>
          <w:color w:val="auto"/>
          <w:highlight w:val="none"/>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30DB177A">
      <w:pPr>
        <w:pStyle w:val="7"/>
        <w:spacing w:line="360" w:lineRule="auto"/>
        <w:ind w:firstLine="560" w:firstLineChars="200"/>
        <w:jc w:val="both"/>
        <w:rPr>
          <w:color w:val="auto"/>
          <w:highlight w:val="none"/>
        </w:rPr>
      </w:pPr>
      <w:r>
        <w:rPr>
          <w:color w:val="auto"/>
          <w:highlight w:val="none"/>
        </w:rPr>
        <w:t>本项目</w:t>
      </w:r>
      <w:r>
        <w:rPr>
          <w:rFonts w:hint="eastAsia"/>
          <w:color w:val="auto"/>
          <w:highlight w:val="none"/>
        </w:rPr>
        <w:t>支持本国产品，本国产品标准及相关政策</w:t>
      </w:r>
      <w:r>
        <w:rPr>
          <w:color w:val="auto"/>
          <w:highlight w:val="none"/>
        </w:rPr>
        <w:t>：见“投标人须知前附表”</w:t>
      </w:r>
      <w:r>
        <w:rPr>
          <w:rFonts w:hint="eastAsia"/>
          <w:color w:val="auto"/>
          <w:highlight w:val="none"/>
        </w:rPr>
        <w:t>。</w:t>
      </w:r>
    </w:p>
    <w:p w14:paraId="60205E4A">
      <w:pPr>
        <w:pStyle w:val="5"/>
        <w:numPr>
          <w:ilvl w:val="0"/>
          <w:numId w:val="12"/>
        </w:numPr>
        <w:spacing w:line="360" w:lineRule="auto"/>
        <w:ind w:left="0" w:firstLine="562" w:firstLineChars="200"/>
        <w:jc w:val="both"/>
        <w:rPr>
          <w:color w:val="auto"/>
          <w:highlight w:val="none"/>
        </w:rPr>
      </w:pPr>
      <w:r>
        <w:rPr>
          <w:color w:val="auto"/>
          <w:highlight w:val="none"/>
        </w:rPr>
        <w:t>评标价的确定</w:t>
      </w:r>
    </w:p>
    <w:p w14:paraId="54CE14D9">
      <w:pPr>
        <w:pStyle w:val="19"/>
        <w:numPr>
          <w:ilvl w:val="1"/>
          <w:numId w:val="12"/>
        </w:numPr>
        <w:spacing w:line="360" w:lineRule="auto"/>
        <w:ind w:left="0" w:firstLine="560" w:firstLineChars="200"/>
        <w:jc w:val="both"/>
        <w:rPr>
          <w:color w:val="auto"/>
          <w:sz w:val="28"/>
          <w:highlight w:val="none"/>
        </w:rPr>
      </w:pPr>
      <w:r>
        <w:rPr>
          <w:color w:val="auto"/>
          <w:sz w:val="28"/>
          <w:highlight w:val="none"/>
        </w:rPr>
        <w:t>根据《政府采购促进中小企业发展管理办法》（财库〔2020〕46号）《关于进一步加大政府采购支持中小企业力度的通知》财库〔2022〕19号的规定，采购人在政府采购活动中支持中小企业发展：</w:t>
      </w:r>
    </w:p>
    <w:p w14:paraId="0102AC1E">
      <w:pPr>
        <w:pStyle w:val="19"/>
        <w:numPr>
          <w:ilvl w:val="2"/>
          <w:numId w:val="12"/>
        </w:numPr>
        <w:spacing w:line="360" w:lineRule="auto"/>
        <w:ind w:left="0" w:firstLine="560" w:firstLineChars="200"/>
        <w:jc w:val="both"/>
        <w:rPr>
          <w:color w:val="auto"/>
          <w:sz w:val="28"/>
          <w:highlight w:val="none"/>
        </w:rPr>
      </w:pPr>
      <w:r>
        <w:rPr>
          <w:color w:val="auto"/>
          <w:sz w:val="28"/>
          <w:highlight w:val="none"/>
        </w:rPr>
        <w:t>采购项目或采购包预留采购份额专门面向中小企业采购；</w:t>
      </w:r>
    </w:p>
    <w:p w14:paraId="5E91A1DC">
      <w:pPr>
        <w:pStyle w:val="19"/>
        <w:numPr>
          <w:ilvl w:val="2"/>
          <w:numId w:val="12"/>
        </w:numPr>
        <w:spacing w:line="360" w:lineRule="auto"/>
        <w:ind w:left="0" w:firstLine="560" w:firstLineChars="200"/>
        <w:jc w:val="both"/>
        <w:rPr>
          <w:color w:val="auto"/>
          <w:sz w:val="28"/>
          <w:highlight w:val="none"/>
        </w:rPr>
      </w:pPr>
      <w:r>
        <w:rPr>
          <w:color w:val="auto"/>
          <w:sz w:val="28"/>
          <w:highlight w:val="none"/>
        </w:rPr>
        <w:t>未预留份额专门面向中小企业采购的采购项目，以及预留份额项目中的非预留部分采购包，对小微企业报价给予10%的扣除，用扣除后的价格参加评审。中小企业扶持政策：见“投标人须知前附表”。</w:t>
      </w:r>
    </w:p>
    <w:p w14:paraId="13FB6026">
      <w:pPr>
        <w:pStyle w:val="19"/>
        <w:numPr>
          <w:ilvl w:val="2"/>
          <w:numId w:val="12"/>
        </w:numPr>
        <w:spacing w:line="360" w:lineRule="auto"/>
        <w:ind w:left="0" w:firstLine="560" w:firstLineChars="200"/>
        <w:jc w:val="both"/>
        <w:rPr>
          <w:color w:val="auto"/>
          <w:sz w:val="28"/>
          <w:highlight w:val="none"/>
        </w:rPr>
      </w:pPr>
      <w:r>
        <w:rPr>
          <w:color w:val="auto"/>
          <w:sz w:val="28"/>
          <w:highlight w:val="none"/>
        </w:rPr>
        <w:t>中小企业划分标准见《关于印发中小企业划型标准规定的通知》（工信部联企业〔2011〕300号）。中标人享受《政府采购促进</w:t>
      </w:r>
    </w:p>
    <w:p w14:paraId="2DA44DF9">
      <w:pPr>
        <w:pStyle w:val="7"/>
        <w:spacing w:line="360" w:lineRule="auto"/>
        <w:ind w:firstLine="560" w:firstLineChars="200"/>
        <w:jc w:val="both"/>
        <w:rPr>
          <w:color w:val="auto"/>
          <w:highlight w:val="none"/>
        </w:rPr>
      </w:pPr>
      <w:r>
        <w:rPr>
          <w:color w:val="auto"/>
          <w:highlight w:val="none"/>
        </w:rPr>
        <w:t>中小企业发展管理办法》（财库〔2020〕46号）《关于进一步加大政府采购支持中小企业力度的通知》（财库〔2022〕19号）规定的中小企业扶持政策的，随中标结果公开中标人的《中小企业声明函》。投标人提供声明函内容不实的，属于提供虚假材料谋取中标，依照《中华人民共和国政府采购法》等国家有关规定追究相应责任。</w:t>
      </w:r>
    </w:p>
    <w:p w14:paraId="13501DD4">
      <w:pPr>
        <w:pStyle w:val="19"/>
        <w:numPr>
          <w:ilvl w:val="2"/>
          <w:numId w:val="12"/>
        </w:numPr>
        <w:spacing w:line="360" w:lineRule="auto"/>
        <w:ind w:left="0" w:firstLine="560" w:firstLineChars="200"/>
        <w:jc w:val="both"/>
        <w:rPr>
          <w:color w:val="auto"/>
          <w:highlight w:val="none"/>
        </w:rPr>
      </w:pPr>
      <w:r>
        <w:rPr>
          <w:color w:val="auto"/>
          <w:sz w:val="28"/>
          <w:highlight w:val="none"/>
        </w:rPr>
        <w:t>监狱企业视同小型、微型企业，投标人应提供省级及以上监狱管理局、戒毒管理局（含新疆生产建设兵团）出具的属于监狱企业的证明文件</w:t>
      </w:r>
      <w:r>
        <w:rPr>
          <w:rFonts w:hint="eastAsia"/>
          <w:color w:val="auto"/>
          <w:sz w:val="28"/>
          <w:highlight w:val="none"/>
        </w:rPr>
        <w:t>及《监狱企业声明函》</w:t>
      </w:r>
      <w:r>
        <w:rPr>
          <w:color w:val="auto"/>
          <w:sz w:val="28"/>
          <w:highlight w:val="none"/>
        </w:rPr>
        <w:t>。</w:t>
      </w:r>
    </w:p>
    <w:p w14:paraId="039515BA">
      <w:pPr>
        <w:pStyle w:val="19"/>
        <w:numPr>
          <w:ilvl w:val="2"/>
          <w:numId w:val="12"/>
        </w:numPr>
        <w:spacing w:line="360" w:lineRule="auto"/>
        <w:ind w:left="0" w:firstLine="560" w:firstLineChars="200"/>
        <w:jc w:val="both"/>
        <w:rPr>
          <w:color w:val="auto"/>
          <w:sz w:val="28"/>
          <w:highlight w:val="none"/>
        </w:rPr>
      </w:pPr>
      <w:r>
        <w:rPr>
          <w:color w:val="auto"/>
          <w:sz w:val="28"/>
          <w:highlight w:val="none"/>
        </w:rPr>
        <w:t>残疾人福利性单位视同小型、微型企业，残疾人福利性单位须符合《财政部民政部中国残疾人联合会关于促进残疾人就业政府采购政策的通知》（财库〔2017〕141号）要求，提供《残疾人福利性单位声明函》，提供的《残疾人福利性单位声明函》与事实不符的，依照</w:t>
      </w:r>
      <w:r>
        <w:rPr>
          <w:rFonts w:hint="eastAsia"/>
          <w:color w:val="auto"/>
          <w:sz w:val="28"/>
          <w:highlight w:val="none"/>
        </w:rPr>
        <w:t>《中华人民共和国政府采购法》</w:t>
      </w:r>
      <w:r>
        <w:rPr>
          <w:color w:val="auto"/>
          <w:sz w:val="28"/>
          <w:highlight w:val="none"/>
        </w:rPr>
        <w:t>第七十七条第一款的规定追究法律责任。中标人为残疾人福利性单位的，随中标结果同时公告其《残疾人福利性单位声明函》，接受社会监督。</w:t>
      </w:r>
    </w:p>
    <w:p w14:paraId="096F2D88">
      <w:pPr>
        <w:pStyle w:val="19"/>
        <w:numPr>
          <w:ilvl w:val="2"/>
          <w:numId w:val="12"/>
        </w:numPr>
        <w:spacing w:line="360" w:lineRule="auto"/>
        <w:ind w:left="0" w:firstLine="560" w:firstLineChars="200"/>
        <w:jc w:val="both"/>
        <w:rPr>
          <w:color w:val="auto"/>
          <w:sz w:val="28"/>
          <w:highlight w:val="none"/>
        </w:rPr>
      </w:pPr>
      <w:r>
        <w:rPr>
          <w:color w:val="auto"/>
          <w:sz w:val="28"/>
          <w:highlight w:val="none"/>
        </w:rPr>
        <w:t>以联合体形式参加政府采购活动，联合体各方均为中小企业的，联合体视同中小企业。其中，联合体各方均为小微企业的，联合体视同小微企业。</w:t>
      </w:r>
    </w:p>
    <w:p w14:paraId="322B3846">
      <w:pPr>
        <w:pStyle w:val="12"/>
        <w:spacing w:before="120" w:beforeAutospacing="0" w:after="120" w:afterAutospacing="0" w:line="320" w:lineRule="atLeast"/>
        <w:ind w:right="150" w:firstLine="560" w:firstLineChars="200"/>
        <w:textAlignment w:val="baseline"/>
        <w:rPr>
          <w:rFonts w:ascii="仿宋" w:hAnsi="仿宋"/>
          <w:color w:val="auto"/>
          <w:sz w:val="30"/>
          <w:szCs w:val="30"/>
          <w:highlight w:val="none"/>
        </w:rPr>
      </w:pPr>
      <w:r>
        <w:rPr>
          <w:rFonts w:hint="eastAsia"/>
          <w:color w:val="auto"/>
          <w:sz w:val="28"/>
          <w:highlight w:val="none"/>
        </w:rPr>
        <w:t>36.2</w:t>
      </w:r>
      <w:r>
        <w:rPr>
          <w:rStyle w:val="17"/>
          <w:rFonts w:hint="eastAsia" w:ascii="仿宋" w:hAnsi="仿宋"/>
          <w:bCs/>
          <w:color w:val="auto"/>
          <w:sz w:val="30"/>
          <w:szCs w:val="30"/>
          <w:highlight w:val="none"/>
          <w:shd w:val="clear" w:color="auto" w:fill="FFFFFF"/>
        </w:rPr>
        <w:t>对本国产品的支持政策</w:t>
      </w:r>
    </w:p>
    <w:p w14:paraId="0DFBF0A8">
      <w:pPr>
        <w:pStyle w:val="19"/>
        <w:spacing w:line="360" w:lineRule="auto"/>
        <w:ind w:left="0" w:firstLine="560" w:firstLineChars="200"/>
        <w:jc w:val="both"/>
        <w:rPr>
          <w:color w:val="auto"/>
          <w:sz w:val="28"/>
          <w:highlight w:val="none"/>
        </w:rPr>
      </w:pPr>
      <w:r>
        <w:rPr>
          <w:rFonts w:hint="eastAsia"/>
          <w:color w:val="auto"/>
          <w:sz w:val="28"/>
          <w:highlight w:val="none"/>
        </w:rPr>
        <w:t>政府采购活动中既有本国产品又有非本国产品参与竞争的，依法对本国产品给予价格评审优惠，对本国产品的报价给予20%的价格扣除，用扣除后的价格参与评审。</w:t>
      </w:r>
    </w:p>
    <w:p w14:paraId="4394DB4E">
      <w:pPr>
        <w:pStyle w:val="19"/>
        <w:spacing w:line="360" w:lineRule="auto"/>
        <w:ind w:left="0" w:firstLine="560" w:firstLineChars="200"/>
        <w:jc w:val="both"/>
        <w:rPr>
          <w:color w:val="auto"/>
          <w:sz w:val="28"/>
          <w:highlight w:val="none"/>
        </w:rPr>
      </w:pPr>
      <w:r>
        <w:rPr>
          <w:rFonts w:hint="eastAsia"/>
          <w:color w:val="auto"/>
          <w:sz w:val="28"/>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09326D49">
      <w:pPr>
        <w:pStyle w:val="19"/>
        <w:spacing w:line="360" w:lineRule="auto"/>
        <w:ind w:left="0" w:firstLine="560" w:firstLineChars="200"/>
        <w:jc w:val="both"/>
        <w:rPr>
          <w:color w:val="auto"/>
          <w:sz w:val="28"/>
          <w:highlight w:val="none"/>
        </w:rPr>
      </w:pPr>
      <w:r>
        <w:rPr>
          <w:rFonts w:hint="eastAsia"/>
          <w:color w:val="auto"/>
          <w:sz w:val="28"/>
          <w:highlight w:val="none"/>
        </w:rPr>
        <w:t>36.3</w:t>
      </w:r>
      <w:r>
        <w:rPr>
          <w:color w:val="auto"/>
          <w:sz w:val="28"/>
          <w:highlight w:val="none"/>
        </w:rPr>
        <w:t>评标价不作为中标价和合同签约价，中标价和合同签约价仍以其投标文件中的报价为准。</w:t>
      </w:r>
    </w:p>
    <w:p w14:paraId="6E9749CE">
      <w:pPr>
        <w:pStyle w:val="5"/>
        <w:numPr>
          <w:ilvl w:val="0"/>
          <w:numId w:val="12"/>
        </w:numPr>
        <w:spacing w:line="360" w:lineRule="auto"/>
        <w:ind w:left="0" w:firstLine="562" w:firstLineChars="200"/>
        <w:jc w:val="both"/>
        <w:rPr>
          <w:color w:val="auto"/>
          <w:highlight w:val="none"/>
        </w:rPr>
      </w:pPr>
      <w:r>
        <w:rPr>
          <w:color w:val="auto"/>
          <w:highlight w:val="none"/>
        </w:rPr>
        <w:t>评标结果</w:t>
      </w:r>
    </w:p>
    <w:p w14:paraId="3CF75E32">
      <w:pPr>
        <w:pStyle w:val="19"/>
        <w:numPr>
          <w:ilvl w:val="1"/>
          <w:numId w:val="12"/>
        </w:numPr>
        <w:spacing w:line="360" w:lineRule="auto"/>
        <w:ind w:left="0" w:firstLine="560" w:firstLineChars="200"/>
        <w:jc w:val="both"/>
        <w:rPr>
          <w:color w:val="auto"/>
          <w:sz w:val="28"/>
          <w:highlight w:val="none"/>
        </w:rPr>
      </w:pPr>
      <w:r>
        <w:rPr>
          <w:color w:val="auto"/>
          <w:sz w:val="28"/>
          <w:highlight w:val="none"/>
        </w:rPr>
        <w:t>评标委员会按照招标文件中规定的评标方法和标准，对符合性审查合格的投标文件进行商务和技术评审，综合比较与评价。</w:t>
      </w:r>
    </w:p>
    <w:p w14:paraId="78E56F77">
      <w:pPr>
        <w:pStyle w:val="19"/>
        <w:numPr>
          <w:ilvl w:val="1"/>
          <w:numId w:val="12"/>
        </w:numPr>
        <w:spacing w:line="360" w:lineRule="auto"/>
        <w:ind w:left="0" w:firstLine="560" w:firstLineChars="200"/>
        <w:jc w:val="both"/>
        <w:rPr>
          <w:color w:val="auto"/>
          <w:sz w:val="28"/>
          <w:highlight w:val="none"/>
        </w:rPr>
      </w:pPr>
      <w:r>
        <w:rPr>
          <w:color w:val="auto"/>
          <w:sz w:val="28"/>
          <w:highlight w:val="none"/>
        </w:rPr>
        <w:t>投标人的评审得分为所有评委评审得分的算术平均值，评审得分取至小数点后两位（第三位四舍五入）。</w:t>
      </w:r>
    </w:p>
    <w:p w14:paraId="14F21721">
      <w:pPr>
        <w:pStyle w:val="5"/>
        <w:numPr>
          <w:ilvl w:val="0"/>
          <w:numId w:val="12"/>
        </w:numPr>
        <w:spacing w:line="360" w:lineRule="auto"/>
        <w:ind w:left="0" w:firstLine="562" w:firstLineChars="200"/>
        <w:jc w:val="both"/>
        <w:rPr>
          <w:color w:val="auto"/>
          <w:highlight w:val="none"/>
        </w:rPr>
      </w:pPr>
      <w:r>
        <w:rPr>
          <w:color w:val="auto"/>
          <w:highlight w:val="none"/>
        </w:rPr>
        <w:t>中标候选人的确定原则及标准</w:t>
      </w:r>
    </w:p>
    <w:p w14:paraId="63578771">
      <w:pPr>
        <w:spacing w:line="360" w:lineRule="auto"/>
        <w:ind w:left="559" w:leftChars="254"/>
        <w:jc w:val="both"/>
        <w:rPr>
          <w:color w:val="auto"/>
          <w:sz w:val="28"/>
          <w:highlight w:val="none"/>
        </w:rPr>
      </w:pPr>
      <w:r>
        <w:rPr>
          <w:color w:val="auto"/>
          <w:sz w:val="28"/>
          <w:highlight w:val="none"/>
        </w:rPr>
        <w:t xml:space="preserve">评标委员会按“投标人须知前附表”中规定数量推荐中标候选人。 </w:t>
      </w:r>
    </w:p>
    <w:p w14:paraId="266DF9DF">
      <w:pPr>
        <w:spacing w:line="360" w:lineRule="auto"/>
        <w:ind w:left="559" w:leftChars="254"/>
        <w:jc w:val="both"/>
        <w:rPr>
          <w:b/>
          <w:color w:val="auto"/>
          <w:sz w:val="28"/>
          <w:highlight w:val="none"/>
        </w:rPr>
      </w:pPr>
      <w:r>
        <w:rPr>
          <w:b/>
          <w:color w:val="auto"/>
          <w:sz w:val="28"/>
          <w:highlight w:val="none"/>
        </w:rPr>
        <w:t>39.保密及其它注意事项</w:t>
      </w:r>
    </w:p>
    <w:p w14:paraId="6417B248">
      <w:pPr>
        <w:pStyle w:val="19"/>
        <w:numPr>
          <w:ilvl w:val="1"/>
          <w:numId w:val="13"/>
        </w:numPr>
        <w:spacing w:line="360" w:lineRule="auto"/>
        <w:ind w:left="0" w:firstLine="560" w:firstLineChars="200"/>
        <w:jc w:val="both"/>
        <w:rPr>
          <w:color w:val="auto"/>
          <w:sz w:val="28"/>
          <w:highlight w:val="none"/>
        </w:rPr>
      </w:pPr>
      <w:r>
        <w:rPr>
          <w:color w:val="auto"/>
          <w:sz w:val="28"/>
          <w:highlight w:val="none"/>
        </w:rPr>
        <w:t>评标是招标工作的重要环节，评标工作在评标委员会内独立进行。</w:t>
      </w:r>
    </w:p>
    <w:p w14:paraId="7C1F5EED">
      <w:pPr>
        <w:pStyle w:val="19"/>
        <w:numPr>
          <w:ilvl w:val="1"/>
          <w:numId w:val="13"/>
        </w:numPr>
        <w:spacing w:line="360" w:lineRule="auto"/>
        <w:ind w:left="0" w:firstLine="560" w:firstLineChars="200"/>
        <w:jc w:val="both"/>
        <w:rPr>
          <w:color w:val="auto"/>
          <w:sz w:val="28"/>
          <w:highlight w:val="none"/>
        </w:rPr>
      </w:pPr>
      <w:r>
        <w:rPr>
          <w:color w:val="auto"/>
          <w:sz w:val="28"/>
          <w:highlight w:val="none"/>
        </w:rPr>
        <w:t>评标委员会将遵照规定的评标方法，公正、平等地对待所有投标人。</w:t>
      </w:r>
    </w:p>
    <w:p w14:paraId="5A89A414">
      <w:pPr>
        <w:pStyle w:val="19"/>
        <w:numPr>
          <w:ilvl w:val="1"/>
          <w:numId w:val="13"/>
        </w:numPr>
        <w:spacing w:line="360" w:lineRule="auto"/>
        <w:ind w:left="0" w:firstLine="560" w:firstLineChars="200"/>
        <w:jc w:val="both"/>
        <w:rPr>
          <w:color w:val="auto"/>
          <w:sz w:val="28"/>
          <w:highlight w:val="none"/>
        </w:rPr>
      </w:pPr>
      <w:r>
        <w:rPr>
          <w:color w:val="auto"/>
          <w:sz w:val="28"/>
          <w:highlight w:val="none"/>
        </w:rPr>
        <w:t>在评标期间，投标人不得向评委询问评标情况，不得进行旨在影响评标结果的活动。</w:t>
      </w:r>
    </w:p>
    <w:p w14:paraId="6D688860">
      <w:pPr>
        <w:pStyle w:val="19"/>
        <w:numPr>
          <w:ilvl w:val="1"/>
          <w:numId w:val="13"/>
        </w:numPr>
        <w:spacing w:line="360" w:lineRule="auto"/>
        <w:ind w:left="0" w:firstLine="560" w:firstLineChars="200"/>
        <w:jc w:val="both"/>
        <w:rPr>
          <w:color w:val="auto"/>
          <w:sz w:val="28"/>
          <w:highlight w:val="none"/>
        </w:rPr>
      </w:pPr>
      <w:r>
        <w:rPr>
          <w:color w:val="auto"/>
          <w:sz w:val="28"/>
          <w:highlight w:val="none"/>
        </w:rPr>
        <w:t>为保证评标的公正性，开标后直至授予投标人合同，评委不得与投标人私下交换意见。</w:t>
      </w:r>
    </w:p>
    <w:p w14:paraId="5E44C768">
      <w:pPr>
        <w:pStyle w:val="19"/>
        <w:numPr>
          <w:ilvl w:val="1"/>
          <w:numId w:val="13"/>
        </w:numPr>
        <w:spacing w:line="360" w:lineRule="auto"/>
        <w:ind w:left="0" w:firstLine="560" w:firstLineChars="200"/>
        <w:jc w:val="both"/>
        <w:rPr>
          <w:color w:val="auto"/>
          <w:sz w:val="28"/>
          <w:highlight w:val="none"/>
        </w:rPr>
      </w:pPr>
      <w:r>
        <w:rPr>
          <w:color w:val="auto"/>
          <w:sz w:val="28"/>
          <w:highlight w:val="none"/>
        </w:rPr>
        <w:t>在评标工作结束后，凡与评标情况有接触的任何人不得擅自将评标情况扩散出评标人员之外。</w:t>
      </w:r>
    </w:p>
    <w:p w14:paraId="0FA2B66D">
      <w:pPr>
        <w:pStyle w:val="19"/>
        <w:numPr>
          <w:ilvl w:val="1"/>
          <w:numId w:val="13"/>
        </w:numPr>
        <w:spacing w:line="360" w:lineRule="auto"/>
        <w:ind w:left="0" w:firstLine="560" w:firstLineChars="200"/>
        <w:jc w:val="both"/>
        <w:rPr>
          <w:color w:val="auto"/>
          <w:sz w:val="38"/>
          <w:highlight w:val="none"/>
        </w:rPr>
      </w:pPr>
      <w:r>
        <w:rPr>
          <w:color w:val="auto"/>
          <w:sz w:val="28"/>
          <w:highlight w:val="none"/>
        </w:rPr>
        <w:t>评标结束后，概不退还投标文件。</w:t>
      </w:r>
      <w:bookmarkStart w:id="26" w:name="六、确定中标"/>
      <w:bookmarkEnd w:id="26"/>
    </w:p>
    <w:p w14:paraId="703D3EAC">
      <w:pPr>
        <w:pStyle w:val="19"/>
        <w:spacing w:before="120" w:beforeLines="50" w:after="120" w:afterLines="50" w:line="360" w:lineRule="auto"/>
        <w:ind w:left="0"/>
        <w:rPr>
          <w:rFonts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六、确定中标</w:t>
      </w:r>
    </w:p>
    <w:p w14:paraId="789A4CD5">
      <w:pPr>
        <w:pStyle w:val="19"/>
        <w:spacing w:line="360" w:lineRule="auto"/>
        <w:ind w:left="0" w:firstLine="562" w:firstLineChars="200"/>
        <w:jc w:val="both"/>
        <w:rPr>
          <w:b/>
          <w:bCs/>
          <w:color w:val="auto"/>
          <w:sz w:val="28"/>
          <w:szCs w:val="28"/>
          <w:highlight w:val="none"/>
        </w:rPr>
      </w:pPr>
      <w:r>
        <w:rPr>
          <w:rFonts w:hint="eastAsia"/>
          <w:b/>
          <w:bCs/>
          <w:color w:val="auto"/>
          <w:sz w:val="28"/>
          <w:szCs w:val="28"/>
          <w:highlight w:val="none"/>
        </w:rPr>
        <w:t>40.确定中标人</w:t>
      </w:r>
    </w:p>
    <w:p w14:paraId="757866C9">
      <w:pPr>
        <w:pStyle w:val="19"/>
        <w:spacing w:line="360" w:lineRule="auto"/>
        <w:ind w:left="0" w:firstLine="560" w:firstLineChars="200"/>
        <w:jc w:val="both"/>
        <w:rPr>
          <w:color w:val="auto"/>
          <w:sz w:val="28"/>
          <w:highlight w:val="none"/>
        </w:rPr>
      </w:pPr>
      <w:r>
        <w:rPr>
          <w:rFonts w:hint="eastAsia"/>
          <w:color w:val="auto"/>
          <w:sz w:val="28"/>
          <w:highlight w:val="none"/>
        </w:rPr>
        <w:t>40.1采购人应当自收到评标报告之日起5个工作日内，在评标报告确定的中标候选人名单中按顺序确定中标人。确定中标人后，采购人应当自中标人确定之日起2个工作日内，在省级以上财政部门指定的媒体上公告中标结果。</w:t>
      </w:r>
    </w:p>
    <w:p w14:paraId="270C2535">
      <w:pPr>
        <w:pStyle w:val="5"/>
        <w:spacing w:line="360" w:lineRule="auto"/>
        <w:ind w:left="0" w:firstLine="562" w:firstLineChars="200"/>
        <w:jc w:val="both"/>
        <w:rPr>
          <w:color w:val="auto"/>
          <w:highlight w:val="none"/>
        </w:rPr>
      </w:pPr>
      <w:r>
        <w:rPr>
          <w:rFonts w:hint="eastAsia"/>
          <w:color w:val="auto"/>
          <w:highlight w:val="none"/>
        </w:rPr>
        <w:t>41.</w:t>
      </w:r>
      <w:r>
        <w:rPr>
          <w:color w:val="auto"/>
          <w:highlight w:val="none"/>
        </w:rPr>
        <w:t>发布中标公告及发出中标通知书</w:t>
      </w:r>
    </w:p>
    <w:p w14:paraId="17FC2338">
      <w:pPr>
        <w:pStyle w:val="19"/>
        <w:spacing w:line="360" w:lineRule="auto"/>
        <w:ind w:left="0" w:firstLine="560" w:firstLineChars="200"/>
        <w:jc w:val="both"/>
        <w:rPr>
          <w:color w:val="auto"/>
          <w:sz w:val="28"/>
          <w:highlight w:val="none"/>
        </w:rPr>
      </w:pPr>
      <w:r>
        <w:rPr>
          <w:rFonts w:hint="eastAsia"/>
          <w:color w:val="auto"/>
          <w:sz w:val="28"/>
          <w:highlight w:val="none"/>
        </w:rPr>
        <w:t>41.1</w:t>
      </w:r>
      <w:r>
        <w:rPr>
          <w:color w:val="auto"/>
          <w:sz w:val="28"/>
          <w:highlight w:val="none"/>
        </w:rPr>
        <w:t>采购人按规定确定中标人后，采购人应将中标结果在“投标人须知前附表”规定的媒介上予以公告，中标结果公告期限为1个工作日。招标文件、中标人的评审总得分应当随中标结果同时公告；中标人享受了中小企业发展扶持政策的，其《中小企业声明函》或者《残疾人福利性单位声明函》或者《监狱企业证明》也应随中标结果同时公告。</w:t>
      </w:r>
    </w:p>
    <w:p w14:paraId="3EDFE154">
      <w:pPr>
        <w:pStyle w:val="19"/>
        <w:spacing w:line="360" w:lineRule="auto"/>
        <w:ind w:left="0" w:firstLine="560" w:firstLineChars="200"/>
        <w:jc w:val="both"/>
        <w:rPr>
          <w:color w:val="auto"/>
          <w:sz w:val="28"/>
          <w:highlight w:val="none"/>
        </w:rPr>
      </w:pPr>
      <w:r>
        <w:rPr>
          <w:rFonts w:hint="eastAsia"/>
          <w:color w:val="auto"/>
          <w:sz w:val="28"/>
          <w:highlight w:val="none"/>
        </w:rPr>
        <w:t>41.2公</w:t>
      </w:r>
      <w:r>
        <w:rPr>
          <w:color w:val="auto"/>
          <w:sz w:val="28"/>
          <w:highlight w:val="none"/>
        </w:rPr>
        <w:t>告中标结果的同时向中标人发出中标通知书。</w:t>
      </w:r>
    </w:p>
    <w:p w14:paraId="2DD42005">
      <w:pPr>
        <w:pStyle w:val="19"/>
        <w:spacing w:line="360" w:lineRule="auto"/>
        <w:ind w:left="0" w:firstLine="560" w:firstLineChars="200"/>
        <w:jc w:val="both"/>
        <w:rPr>
          <w:b/>
          <w:bCs/>
          <w:color w:val="auto"/>
          <w:sz w:val="28"/>
          <w:highlight w:val="none"/>
        </w:rPr>
      </w:pPr>
      <w:r>
        <w:rPr>
          <w:rFonts w:hint="eastAsia"/>
          <w:color w:val="auto"/>
          <w:sz w:val="28"/>
          <w:highlight w:val="none"/>
        </w:rPr>
        <w:t>41.3</w:t>
      </w:r>
      <w:r>
        <w:rPr>
          <w:color w:val="auto"/>
          <w:sz w:val="28"/>
          <w:highlight w:val="none"/>
        </w:rPr>
        <w:t>中标通知书发出后，</w:t>
      </w:r>
      <w:r>
        <w:rPr>
          <w:b/>
          <w:bCs/>
          <w:color w:val="auto"/>
          <w:sz w:val="28"/>
          <w:highlight w:val="none"/>
        </w:rPr>
        <w:t>采购人不得违法改变中标结果，中标人无正当理由不得放弃中标。</w:t>
      </w:r>
    </w:p>
    <w:p w14:paraId="3DDD24C0">
      <w:pPr>
        <w:pStyle w:val="5"/>
        <w:numPr>
          <w:ilvl w:val="0"/>
          <w:numId w:val="14"/>
        </w:numPr>
        <w:spacing w:line="360" w:lineRule="auto"/>
        <w:ind w:left="0" w:firstLine="562" w:firstLineChars="200"/>
        <w:jc w:val="both"/>
        <w:rPr>
          <w:color w:val="auto"/>
          <w:highlight w:val="none"/>
        </w:rPr>
      </w:pPr>
      <w:r>
        <w:rPr>
          <w:color w:val="auto"/>
          <w:highlight w:val="none"/>
        </w:rPr>
        <w:t>接受和拒绝任何或所有投标的权利</w:t>
      </w:r>
    </w:p>
    <w:p w14:paraId="67D7B7C8">
      <w:pPr>
        <w:pStyle w:val="7"/>
        <w:spacing w:line="360" w:lineRule="auto"/>
        <w:ind w:firstLine="560" w:firstLineChars="200"/>
        <w:jc w:val="both"/>
        <w:rPr>
          <w:color w:val="auto"/>
          <w:szCs w:val="22"/>
          <w:highlight w:val="none"/>
        </w:rPr>
      </w:pPr>
      <w:r>
        <w:rPr>
          <w:color w:val="auto"/>
          <w:highlight w:val="none"/>
        </w:rPr>
        <w:t>采购人、采购代理机构在发布招标公告、资格预审公告或者发出投标邀请书后，除因重大变故采购任务取消情况外，不得擅自终止招标活动。终止招标的，采购人或者采购代理机构应当及时在原公告发布媒体上发布终止公告，以书面形式通知已经获取招标文件、资格预</w:t>
      </w:r>
      <w:r>
        <w:rPr>
          <w:rFonts w:hint="eastAsia"/>
          <w:color w:val="auto"/>
          <w:szCs w:val="22"/>
          <w:highlight w:val="none"/>
        </w:rPr>
        <w:t>审文件或者被邀请的潜在投标人，并将项目实施情况和采购任务取消原因报告本级财政部门。</w:t>
      </w:r>
      <w:bookmarkStart w:id="27" w:name="七、授予合同"/>
      <w:bookmarkEnd w:id="27"/>
    </w:p>
    <w:p w14:paraId="59B27249">
      <w:pPr>
        <w:pStyle w:val="19"/>
        <w:spacing w:before="120" w:beforeLines="50" w:after="120" w:afterLines="50" w:line="360" w:lineRule="auto"/>
        <w:ind w:left="0"/>
        <w:rPr>
          <w:rFonts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七、授予合同</w:t>
      </w:r>
    </w:p>
    <w:p w14:paraId="2DD73350">
      <w:pPr>
        <w:pStyle w:val="7"/>
        <w:spacing w:line="360" w:lineRule="auto"/>
        <w:ind w:firstLine="562" w:firstLineChars="200"/>
        <w:jc w:val="both"/>
        <w:rPr>
          <w:color w:val="auto"/>
          <w:highlight w:val="none"/>
        </w:rPr>
      </w:pPr>
      <w:r>
        <w:rPr>
          <w:rFonts w:hint="eastAsia"/>
          <w:b/>
          <w:bCs/>
          <w:color w:val="auto"/>
          <w:highlight w:val="none"/>
        </w:rPr>
        <w:t>43.</w:t>
      </w:r>
      <w:r>
        <w:rPr>
          <w:color w:val="auto"/>
          <w:highlight w:val="none"/>
        </w:rPr>
        <w:t>除本章第42条、47条的规定之外，采购人将把合同授予被确定为实质上响应招标文件要求并有履行合同能力的评审后综合得分最高或评审价最低投标人。</w:t>
      </w:r>
    </w:p>
    <w:p w14:paraId="33D840E8">
      <w:pPr>
        <w:pStyle w:val="5"/>
        <w:spacing w:line="360" w:lineRule="auto"/>
        <w:ind w:left="0" w:firstLine="562" w:firstLineChars="200"/>
        <w:jc w:val="both"/>
        <w:rPr>
          <w:color w:val="auto"/>
          <w:highlight w:val="none"/>
        </w:rPr>
      </w:pPr>
      <w:r>
        <w:rPr>
          <w:rFonts w:hint="eastAsia"/>
          <w:color w:val="auto"/>
          <w:highlight w:val="none"/>
        </w:rPr>
        <w:t>44.</w:t>
      </w:r>
      <w:r>
        <w:rPr>
          <w:color w:val="auto"/>
          <w:highlight w:val="none"/>
        </w:rPr>
        <w:t>合同授予时更改采购服务数量的权利</w:t>
      </w:r>
    </w:p>
    <w:p w14:paraId="0A3ECAA4">
      <w:pPr>
        <w:pStyle w:val="7"/>
        <w:spacing w:line="360" w:lineRule="auto"/>
        <w:ind w:firstLine="560" w:firstLineChars="200"/>
        <w:jc w:val="both"/>
        <w:rPr>
          <w:color w:val="auto"/>
          <w:highlight w:val="none"/>
        </w:rPr>
      </w:pPr>
      <w:r>
        <w:rPr>
          <w:color w:val="auto"/>
          <w:highlight w:val="none"/>
        </w:rPr>
        <w:t>采购人在授予合同时有权在“投标人须知前附表”规定的范围内，对项目需求中规定的货物的数量予以调整，但不得对货物单价及伴随服务内容或</w:t>
      </w:r>
      <w:r>
        <w:rPr>
          <w:rFonts w:hint="eastAsia"/>
          <w:color w:val="auto"/>
          <w:highlight w:val="none"/>
        </w:rPr>
        <w:t>其他</w:t>
      </w:r>
      <w:r>
        <w:rPr>
          <w:color w:val="auto"/>
          <w:highlight w:val="none"/>
        </w:rPr>
        <w:t>实质性的条款和条件做任何改变。</w:t>
      </w:r>
    </w:p>
    <w:p w14:paraId="25F0BE8F">
      <w:pPr>
        <w:pStyle w:val="5"/>
        <w:spacing w:line="360" w:lineRule="auto"/>
        <w:ind w:left="0" w:firstLine="562" w:firstLineChars="200"/>
        <w:jc w:val="both"/>
        <w:rPr>
          <w:color w:val="auto"/>
          <w:highlight w:val="none"/>
        </w:rPr>
      </w:pPr>
      <w:r>
        <w:rPr>
          <w:rFonts w:hint="eastAsia"/>
          <w:color w:val="auto"/>
          <w:highlight w:val="none"/>
        </w:rPr>
        <w:t>45.</w:t>
      </w:r>
      <w:r>
        <w:rPr>
          <w:color w:val="auto"/>
          <w:highlight w:val="none"/>
        </w:rPr>
        <w:t>签订合同</w:t>
      </w:r>
    </w:p>
    <w:p w14:paraId="1FCB4AA5">
      <w:pPr>
        <w:pStyle w:val="19"/>
        <w:spacing w:line="360" w:lineRule="auto"/>
        <w:ind w:left="0" w:firstLine="560" w:firstLineChars="200"/>
        <w:jc w:val="both"/>
        <w:rPr>
          <w:color w:val="auto"/>
          <w:sz w:val="28"/>
          <w:highlight w:val="none"/>
        </w:rPr>
      </w:pPr>
      <w:r>
        <w:rPr>
          <w:rFonts w:hint="eastAsia"/>
          <w:color w:val="auto"/>
          <w:sz w:val="28"/>
          <w:highlight w:val="none"/>
        </w:rPr>
        <w:t>45.1</w:t>
      </w:r>
      <w:r>
        <w:rPr>
          <w:color w:val="auto"/>
          <w:sz w:val="28"/>
          <w:highlight w:val="none"/>
        </w:rPr>
        <w:t>采购人应当自中标通知书发出之日起</w:t>
      </w:r>
      <w:r>
        <w:rPr>
          <w:b/>
          <w:bCs/>
          <w:color w:val="auto"/>
          <w:sz w:val="28"/>
          <w:highlight w:val="none"/>
        </w:rPr>
        <w:t>15日内</w:t>
      </w:r>
      <w:r>
        <w:rPr>
          <w:color w:val="auto"/>
          <w:sz w:val="28"/>
          <w:highlight w:val="none"/>
        </w:rPr>
        <w:t>，按照招标文件和中标人投标文件的规定，与中标人签订书面合同。所签订的合同不得对招标文件确定的事项和中标人投标文件作实质性修改。</w:t>
      </w:r>
    </w:p>
    <w:p w14:paraId="54FB557C">
      <w:pPr>
        <w:pStyle w:val="19"/>
        <w:spacing w:line="360" w:lineRule="auto"/>
        <w:ind w:left="0" w:firstLine="560" w:firstLineChars="200"/>
        <w:jc w:val="both"/>
        <w:rPr>
          <w:color w:val="auto"/>
          <w:sz w:val="28"/>
          <w:highlight w:val="none"/>
        </w:rPr>
      </w:pPr>
      <w:r>
        <w:rPr>
          <w:rFonts w:hint="eastAsia"/>
          <w:color w:val="auto"/>
          <w:sz w:val="28"/>
          <w:highlight w:val="none"/>
        </w:rPr>
        <w:t>45.2</w:t>
      </w:r>
      <w:r>
        <w:rPr>
          <w:color w:val="auto"/>
          <w:sz w:val="28"/>
          <w:highlight w:val="none"/>
        </w:rPr>
        <w:t>招标文件、中标人的投标文件和澄清文件等，均为签</w:t>
      </w:r>
      <w:r>
        <w:rPr>
          <w:rFonts w:hint="eastAsia"/>
          <w:color w:val="auto"/>
          <w:sz w:val="28"/>
          <w:highlight w:val="none"/>
        </w:rPr>
        <w:t>订</w:t>
      </w:r>
      <w:r>
        <w:rPr>
          <w:color w:val="auto"/>
          <w:sz w:val="28"/>
          <w:highlight w:val="none"/>
        </w:rPr>
        <w:t>合同的</w:t>
      </w:r>
      <w:r>
        <w:rPr>
          <w:rFonts w:hint="eastAsia"/>
          <w:color w:val="auto"/>
          <w:sz w:val="28"/>
          <w:highlight w:val="none"/>
        </w:rPr>
        <w:t>依据</w:t>
      </w:r>
      <w:r>
        <w:rPr>
          <w:color w:val="auto"/>
          <w:sz w:val="28"/>
          <w:highlight w:val="none"/>
        </w:rPr>
        <w:t>。</w:t>
      </w:r>
    </w:p>
    <w:p w14:paraId="490B6311">
      <w:pPr>
        <w:pStyle w:val="19"/>
        <w:spacing w:line="360" w:lineRule="auto"/>
        <w:ind w:left="0" w:firstLine="560" w:firstLineChars="200"/>
        <w:jc w:val="both"/>
        <w:rPr>
          <w:b/>
          <w:color w:val="auto"/>
          <w:sz w:val="28"/>
          <w:highlight w:val="none"/>
        </w:rPr>
      </w:pPr>
      <w:r>
        <w:rPr>
          <w:rFonts w:hint="eastAsia"/>
          <w:color w:val="auto"/>
          <w:sz w:val="28"/>
          <w:highlight w:val="none"/>
        </w:rPr>
        <w:t>45.3</w:t>
      </w:r>
      <w:r>
        <w:rPr>
          <w:color w:val="auto"/>
          <w:sz w:val="28"/>
          <w:highlight w:val="none"/>
        </w:rPr>
        <w:t>如采购人对中标人</w:t>
      </w:r>
      <w:r>
        <w:rPr>
          <w:b/>
          <w:bCs/>
          <w:color w:val="auto"/>
          <w:sz w:val="28"/>
          <w:highlight w:val="none"/>
        </w:rPr>
        <w:t>拒签合同</w:t>
      </w:r>
      <w:r>
        <w:rPr>
          <w:color w:val="auto"/>
          <w:sz w:val="28"/>
          <w:highlight w:val="none"/>
        </w:rPr>
        <w:t xml:space="preserve">，依照《中华人民共和国政府采购法》《中华人民共和国政府采购法实施条例》《政府采购货物和服务招标投标管理办法》（财政部令第 87号）等规定承担相应的违约责任。 </w:t>
      </w:r>
    </w:p>
    <w:p w14:paraId="54E46807">
      <w:pPr>
        <w:pStyle w:val="19"/>
        <w:spacing w:line="360" w:lineRule="auto"/>
        <w:ind w:left="0" w:firstLine="562" w:firstLineChars="200"/>
        <w:jc w:val="both"/>
        <w:rPr>
          <w:b/>
          <w:color w:val="auto"/>
          <w:sz w:val="28"/>
          <w:highlight w:val="none"/>
        </w:rPr>
      </w:pPr>
      <w:r>
        <w:rPr>
          <w:b/>
          <w:color w:val="auto"/>
          <w:sz w:val="28"/>
          <w:highlight w:val="none"/>
        </w:rPr>
        <w:t>46.履约保证金</w:t>
      </w:r>
    </w:p>
    <w:p w14:paraId="5977C11D">
      <w:pPr>
        <w:pStyle w:val="19"/>
        <w:numPr>
          <w:ilvl w:val="1"/>
          <w:numId w:val="15"/>
        </w:numPr>
        <w:spacing w:line="360" w:lineRule="auto"/>
        <w:ind w:left="0" w:firstLine="560" w:firstLineChars="200"/>
        <w:jc w:val="both"/>
        <w:rPr>
          <w:color w:val="auto"/>
          <w:sz w:val="28"/>
          <w:highlight w:val="none"/>
        </w:rPr>
      </w:pPr>
      <w:r>
        <w:rPr>
          <w:color w:val="auto"/>
          <w:sz w:val="28"/>
          <w:highlight w:val="none"/>
        </w:rPr>
        <w:t>中标人按投标人须知前附表的规定向采购人提交履约保证金，</w:t>
      </w:r>
    </w:p>
    <w:p w14:paraId="623856F1">
      <w:pPr>
        <w:pStyle w:val="7"/>
        <w:spacing w:line="360" w:lineRule="auto"/>
        <w:jc w:val="both"/>
        <w:rPr>
          <w:color w:val="auto"/>
          <w:highlight w:val="none"/>
        </w:rPr>
      </w:pPr>
      <w:r>
        <w:rPr>
          <w:color w:val="auto"/>
          <w:highlight w:val="none"/>
        </w:rPr>
        <w:t>中标人应当以支票、汇票、本票或者金融机构、担保机构出具的保函等非现金形式提交。</w:t>
      </w:r>
    </w:p>
    <w:p w14:paraId="266C3A7D">
      <w:pPr>
        <w:pStyle w:val="19"/>
        <w:numPr>
          <w:ilvl w:val="1"/>
          <w:numId w:val="15"/>
        </w:numPr>
        <w:spacing w:line="360" w:lineRule="auto"/>
        <w:ind w:left="0" w:firstLine="560" w:firstLineChars="200"/>
        <w:jc w:val="both"/>
        <w:rPr>
          <w:color w:val="auto"/>
          <w:sz w:val="28"/>
          <w:highlight w:val="none"/>
        </w:rPr>
      </w:pPr>
      <w:r>
        <w:rPr>
          <w:color w:val="auto"/>
          <w:sz w:val="28"/>
          <w:highlight w:val="none"/>
        </w:rPr>
        <w:t>采购人不得以中标人事先缴纳履约保证金作为签订合同的条件</w:t>
      </w:r>
      <w:r>
        <w:rPr>
          <w:rFonts w:hint="eastAsia"/>
          <w:color w:val="auto"/>
          <w:sz w:val="28"/>
          <w:highlight w:val="none"/>
        </w:rPr>
        <w:t>，</w:t>
      </w:r>
      <w:r>
        <w:rPr>
          <w:color w:val="auto"/>
          <w:sz w:val="28"/>
          <w:highlight w:val="none"/>
        </w:rPr>
        <w:t>并应在中标人履行完合同约定义务事项后及时退还。</w:t>
      </w:r>
    </w:p>
    <w:p w14:paraId="210C8635">
      <w:pPr>
        <w:pStyle w:val="19"/>
        <w:numPr>
          <w:ilvl w:val="0"/>
          <w:numId w:val="16"/>
        </w:numPr>
        <w:spacing w:line="360" w:lineRule="auto"/>
        <w:ind w:left="0" w:firstLine="560" w:firstLineChars="200"/>
        <w:jc w:val="both"/>
        <w:rPr>
          <w:b/>
          <w:color w:val="auto"/>
          <w:sz w:val="26"/>
          <w:highlight w:val="none"/>
        </w:rPr>
      </w:pPr>
      <w:r>
        <w:rPr>
          <w:color w:val="auto"/>
          <w:sz w:val="28"/>
          <w:highlight w:val="none"/>
        </w:rPr>
        <w:t>如中标人不按本章第45条约定签订合同，依照《中华人民共和国政府采购法》《中华人民共和国政府采购法实施条例》《政府采购货物和服务招标投标管理办法》（财政部令第87号）等规定承担相应的违约责任。采购人</w:t>
      </w:r>
      <w:r>
        <w:rPr>
          <w:rFonts w:hint="eastAsia"/>
          <w:color w:val="auto"/>
          <w:sz w:val="28"/>
          <w:highlight w:val="none"/>
        </w:rPr>
        <w:t>可</w:t>
      </w:r>
      <w:r>
        <w:rPr>
          <w:color w:val="auto"/>
          <w:sz w:val="28"/>
          <w:highlight w:val="none"/>
        </w:rPr>
        <w:t>按照评审报告推荐的中标候选人名单排序，确定下一候选人为中标人，也可以重新开展政府采购活动。</w:t>
      </w:r>
    </w:p>
    <w:p w14:paraId="78856CF4">
      <w:pPr>
        <w:pStyle w:val="19"/>
        <w:numPr>
          <w:ilvl w:val="0"/>
          <w:numId w:val="16"/>
        </w:numPr>
        <w:spacing w:line="360" w:lineRule="auto"/>
        <w:ind w:left="0" w:firstLine="560" w:firstLineChars="200"/>
        <w:jc w:val="both"/>
        <w:rPr>
          <w:color w:val="auto"/>
          <w:sz w:val="28"/>
          <w:highlight w:val="none"/>
        </w:rPr>
      </w:pPr>
      <w:r>
        <w:rPr>
          <w:rFonts w:hint="eastAsia"/>
          <w:color w:val="auto"/>
          <w:sz w:val="28"/>
          <w:highlight w:val="none"/>
        </w:rPr>
        <w:t>预付款是指</w:t>
      </w:r>
      <w:r>
        <w:rPr>
          <w:color w:val="auto"/>
          <w:sz w:val="28"/>
          <w:highlight w:val="none"/>
        </w:rPr>
        <w:t>政府采购合同签订后</w:t>
      </w:r>
      <w:r>
        <w:rPr>
          <w:rFonts w:hint="eastAsia"/>
          <w:color w:val="auto"/>
          <w:sz w:val="28"/>
          <w:highlight w:val="none"/>
        </w:rPr>
        <w:t>、履行前，</w:t>
      </w:r>
      <w:r>
        <w:rPr>
          <w:color w:val="auto"/>
          <w:sz w:val="28"/>
          <w:highlight w:val="none"/>
        </w:rPr>
        <w:t>采购人向</w:t>
      </w:r>
      <w:r>
        <w:rPr>
          <w:rFonts w:hint="eastAsia"/>
          <w:color w:val="auto"/>
          <w:sz w:val="28"/>
          <w:highlight w:val="none"/>
        </w:rPr>
        <w:t>中标人</w:t>
      </w:r>
      <w:r>
        <w:rPr>
          <w:color w:val="auto"/>
          <w:sz w:val="28"/>
          <w:highlight w:val="none"/>
        </w:rPr>
        <w:t>预先支付部分合同款项</w:t>
      </w:r>
      <w:r>
        <w:rPr>
          <w:rFonts w:hint="eastAsia"/>
          <w:color w:val="auto"/>
          <w:sz w:val="28"/>
          <w:highlight w:val="none"/>
        </w:rPr>
        <w:t>，</w:t>
      </w:r>
      <w:r>
        <w:rPr>
          <w:color w:val="auto"/>
          <w:sz w:val="28"/>
          <w:highlight w:val="none"/>
        </w:rPr>
        <w:t>预付款</w:t>
      </w:r>
      <w:r>
        <w:rPr>
          <w:rFonts w:hint="eastAsia"/>
          <w:color w:val="auto"/>
          <w:sz w:val="28"/>
          <w:highlight w:val="none"/>
        </w:rPr>
        <w:t>比例按照合同规定执行。</w:t>
      </w:r>
    </w:p>
    <w:p w14:paraId="31B1B458">
      <w:pPr>
        <w:pStyle w:val="5"/>
        <w:numPr>
          <w:ilvl w:val="0"/>
          <w:numId w:val="16"/>
        </w:numPr>
        <w:spacing w:line="360" w:lineRule="auto"/>
        <w:ind w:left="0" w:firstLine="562" w:firstLineChars="200"/>
        <w:jc w:val="both"/>
        <w:rPr>
          <w:color w:val="auto"/>
          <w:highlight w:val="none"/>
        </w:rPr>
      </w:pPr>
      <w:r>
        <w:rPr>
          <w:color w:val="auto"/>
          <w:highlight w:val="none"/>
        </w:rPr>
        <w:t>招标代理费</w:t>
      </w:r>
    </w:p>
    <w:p w14:paraId="0960566F">
      <w:pPr>
        <w:pStyle w:val="7"/>
        <w:spacing w:line="360" w:lineRule="auto"/>
        <w:ind w:firstLine="560" w:firstLineChars="200"/>
        <w:jc w:val="both"/>
        <w:rPr>
          <w:color w:val="auto"/>
          <w:highlight w:val="none"/>
        </w:rPr>
      </w:pPr>
      <w:r>
        <w:rPr>
          <w:color w:val="auto"/>
          <w:highlight w:val="none"/>
        </w:rPr>
        <w:t>本项目是否由中标人向采购</w:t>
      </w:r>
      <w:r>
        <w:rPr>
          <w:rFonts w:hint="eastAsia"/>
          <w:color w:val="auto"/>
          <w:highlight w:val="none"/>
        </w:rPr>
        <w:t>代理</w:t>
      </w:r>
      <w:r>
        <w:rPr>
          <w:color w:val="auto"/>
          <w:highlight w:val="none"/>
        </w:rPr>
        <w:t>机构支付招标代理费，按照投标人须知前附表规定执行。</w:t>
      </w:r>
    </w:p>
    <w:p w14:paraId="4FE09838">
      <w:pPr>
        <w:pStyle w:val="5"/>
        <w:numPr>
          <w:ilvl w:val="0"/>
          <w:numId w:val="16"/>
        </w:numPr>
        <w:spacing w:line="360" w:lineRule="auto"/>
        <w:ind w:left="0" w:firstLine="562" w:firstLineChars="200"/>
        <w:jc w:val="both"/>
        <w:rPr>
          <w:color w:val="auto"/>
          <w:highlight w:val="none"/>
        </w:rPr>
      </w:pPr>
      <w:r>
        <w:rPr>
          <w:color w:val="auto"/>
          <w:highlight w:val="none"/>
        </w:rPr>
        <w:t>质疑的提出与接收</w:t>
      </w:r>
    </w:p>
    <w:p w14:paraId="763C8983">
      <w:pPr>
        <w:pStyle w:val="19"/>
        <w:numPr>
          <w:ilvl w:val="1"/>
          <w:numId w:val="16"/>
        </w:numPr>
        <w:spacing w:line="360" w:lineRule="auto"/>
        <w:ind w:left="0" w:firstLine="560" w:firstLineChars="200"/>
        <w:jc w:val="both"/>
        <w:rPr>
          <w:color w:val="auto"/>
          <w:sz w:val="28"/>
          <w:highlight w:val="none"/>
        </w:rPr>
      </w:pPr>
      <w:r>
        <w:rPr>
          <w:color w:val="auto"/>
          <w:sz w:val="28"/>
          <w:highlight w:val="none"/>
        </w:rPr>
        <w:t>投标人认为招标文件、招标过程和中标结果使自己的权益受到损害的，可以根据《中华人民共和国政府采购法》《中华人民共和国</w:t>
      </w:r>
      <w:bookmarkStart w:id="28" w:name="第四章_资格证明文件格式"/>
      <w:bookmarkEnd w:id="28"/>
      <w:r>
        <w:rPr>
          <w:color w:val="auto"/>
          <w:sz w:val="28"/>
          <w:highlight w:val="none"/>
        </w:rPr>
        <w:t>政府采购法实施条例</w:t>
      </w:r>
      <w:r>
        <w:rPr>
          <w:rFonts w:hint="eastAsia"/>
          <w:color w:val="auto"/>
          <w:sz w:val="28"/>
          <w:highlight w:val="none"/>
        </w:rPr>
        <w:t>》和</w:t>
      </w:r>
      <w:r>
        <w:rPr>
          <w:color w:val="auto"/>
          <w:sz w:val="28"/>
          <w:highlight w:val="none"/>
        </w:rPr>
        <w:t>《政府采购质疑和投诉办法》的有关规定，依法向采购人或其委托的采购</w:t>
      </w:r>
      <w:r>
        <w:rPr>
          <w:rFonts w:hint="eastAsia"/>
          <w:color w:val="auto"/>
          <w:sz w:val="28"/>
          <w:highlight w:val="none"/>
        </w:rPr>
        <w:t>代理</w:t>
      </w:r>
      <w:r>
        <w:rPr>
          <w:color w:val="auto"/>
          <w:sz w:val="28"/>
          <w:highlight w:val="none"/>
        </w:rPr>
        <w:t>机构提出书面质疑。</w:t>
      </w:r>
    </w:p>
    <w:p w14:paraId="0B745962">
      <w:pPr>
        <w:pStyle w:val="19"/>
        <w:numPr>
          <w:ilvl w:val="1"/>
          <w:numId w:val="16"/>
        </w:numPr>
        <w:spacing w:line="360" w:lineRule="auto"/>
        <w:ind w:left="0" w:firstLine="560" w:firstLineChars="200"/>
        <w:jc w:val="both"/>
        <w:rPr>
          <w:color w:val="auto"/>
          <w:sz w:val="28"/>
          <w:highlight w:val="none"/>
        </w:rPr>
      </w:pPr>
      <w:r>
        <w:rPr>
          <w:color w:val="auto"/>
          <w:sz w:val="28"/>
          <w:highlight w:val="none"/>
        </w:rPr>
        <w:t>质疑投标人应按照《政府采购质疑和投诉办法》的要求，在法定质疑期内以书面形式</w:t>
      </w:r>
      <w:r>
        <w:rPr>
          <w:rFonts w:hint="eastAsia"/>
          <w:color w:val="auto"/>
          <w:sz w:val="28"/>
          <w:highlight w:val="none"/>
        </w:rPr>
        <w:t>质疑</w:t>
      </w:r>
      <w:r>
        <w:rPr>
          <w:color w:val="auto"/>
          <w:sz w:val="28"/>
          <w:highlight w:val="none"/>
        </w:rPr>
        <w:t>，针对同一采购程序环节的质疑次数应符合投标人须知前附表的规定。</w:t>
      </w:r>
    </w:p>
    <w:p w14:paraId="0995C292">
      <w:pPr>
        <w:pStyle w:val="19"/>
        <w:numPr>
          <w:ilvl w:val="1"/>
          <w:numId w:val="16"/>
        </w:numPr>
        <w:spacing w:line="360" w:lineRule="auto"/>
        <w:ind w:left="0" w:firstLine="560" w:firstLineChars="200"/>
        <w:jc w:val="both"/>
        <w:rPr>
          <w:color w:val="auto"/>
          <w:highlight w:val="none"/>
        </w:rPr>
      </w:pPr>
      <w:r>
        <w:rPr>
          <w:color w:val="auto"/>
          <w:sz w:val="28"/>
          <w:highlight w:val="none"/>
        </w:rPr>
        <w:t>质疑投标人对采购人、采购代理机构的答复不满意，或者采购人、采购代理机构未在规定时间内作出答复的，可以在答复期满后15个工作日内向省级财政部门提起投诉。投诉人投诉时，请按照《政府采购质疑和投诉办法》（财政部第94号令）的要求提交相关内容及材料</w:t>
      </w:r>
      <w:r>
        <w:rPr>
          <w:color w:val="auto"/>
          <w:highlight w:val="none"/>
        </w:rPr>
        <w:t>。</w:t>
      </w:r>
    </w:p>
    <w:p w14:paraId="515616D5">
      <w:pPr>
        <w:pStyle w:val="19"/>
        <w:spacing w:before="120" w:beforeLines="50" w:after="120" w:afterLines="50" w:line="360" w:lineRule="auto"/>
        <w:ind w:left="0"/>
        <w:rPr>
          <w:rFonts w:ascii="宋体" w:hAnsi="宋体" w:eastAsia="宋体" w:cs="宋体"/>
          <w:b/>
          <w:bCs/>
          <w:color w:val="auto"/>
          <w:sz w:val="30"/>
          <w:szCs w:val="30"/>
          <w:highlight w:val="none"/>
        </w:rPr>
      </w:pPr>
      <w:bookmarkStart w:id="29" w:name="八、需要补充的其他内容"/>
      <w:bookmarkEnd w:id="29"/>
      <w:r>
        <w:rPr>
          <w:rFonts w:hint="eastAsia" w:ascii="宋体" w:hAnsi="宋体" w:eastAsia="宋体" w:cs="宋体"/>
          <w:b/>
          <w:bCs/>
          <w:color w:val="auto"/>
          <w:sz w:val="30"/>
          <w:szCs w:val="30"/>
          <w:highlight w:val="none"/>
        </w:rPr>
        <w:t>八、需要补充的其他内容</w:t>
      </w:r>
    </w:p>
    <w:p w14:paraId="6EB6C144">
      <w:pPr>
        <w:pStyle w:val="19"/>
        <w:numPr>
          <w:ilvl w:val="0"/>
          <w:numId w:val="16"/>
        </w:numPr>
        <w:spacing w:line="360" w:lineRule="auto"/>
        <w:ind w:left="0" w:firstLine="560" w:firstLineChars="200"/>
        <w:jc w:val="both"/>
        <w:rPr>
          <w:color w:val="auto"/>
          <w:sz w:val="26"/>
          <w:highlight w:val="none"/>
        </w:rPr>
      </w:pPr>
      <w:r>
        <w:rPr>
          <w:color w:val="auto"/>
          <w:sz w:val="28"/>
          <w:highlight w:val="none"/>
        </w:rPr>
        <w:t>本文件所称的“以上</w:t>
      </w:r>
      <w:r>
        <w:rPr>
          <w:rFonts w:hint="eastAsia"/>
          <w:color w:val="auto"/>
          <w:sz w:val="28"/>
          <w:highlight w:val="none"/>
        </w:rPr>
        <w:t>”“</w:t>
      </w:r>
      <w:r>
        <w:rPr>
          <w:color w:val="auto"/>
          <w:sz w:val="28"/>
          <w:highlight w:val="none"/>
        </w:rPr>
        <w:t>以下</w:t>
      </w:r>
      <w:r>
        <w:rPr>
          <w:rFonts w:hint="eastAsia"/>
          <w:color w:val="auto"/>
          <w:sz w:val="28"/>
          <w:highlight w:val="none"/>
        </w:rPr>
        <w:t>”“</w:t>
      </w:r>
      <w:r>
        <w:rPr>
          <w:color w:val="auto"/>
          <w:sz w:val="28"/>
          <w:highlight w:val="none"/>
        </w:rPr>
        <w:t>内</w:t>
      </w:r>
      <w:r>
        <w:rPr>
          <w:rFonts w:hint="eastAsia"/>
          <w:color w:val="auto"/>
          <w:sz w:val="28"/>
          <w:highlight w:val="none"/>
        </w:rPr>
        <w:t>”“</w:t>
      </w:r>
      <w:r>
        <w:rPr>
          <w:color w:val="auto"/>
          <w:sz w:val="28"/>
          <w:highlight w:val="none"/>
        </w:rPr>
        <w:t>以内”“不少于”，包括本数；所称的“不足</w:t>
      </w:r>
      <w:r>
        <w:rPr>
          <w:rFonts w:hint="eastAsia"/>
          <w:color w:val="auto"/>
          <w:sz w:val="28"/>
          <w:highlight w:val="none"/>
        </w:rPr>
        <w:t>”“</w:t>
      </w:r>
      <w:r>
        <w:rPr>
          <w:color w:val="auto"/>
          <w:sz w:val="28"/>
          <w:highlight w:val="none"/>
        </w:rPr>
        <w:t>低于</w:t>
      </w:r>
      <w:r>
        <w:rPr>
          <w:rFonts w:hint="eastAsia"/>
          <w:color w:val="auto"/>
          <w:sz w:val="28"/>
          <w:highlight w:val="none"/>
        </w:rPr>
        <w:t>”“</w:t>
      </w:r>
      <w:r>
        <w:rPr>
          <w:color w:val="auto"/>
          <w:sz w:val="28"/>
          <w:highlight w:val="none"/>
        </w:rPr>
        <w:t>超过”，不包括本数。</w:t>
      </w:r>
    </w:p>
    <w:p w14:paraId="74215060">
      <w:pPr>
        <w:pStyle w:val="19"/>
        <w:numPr>
          <w:ilvl w:val="0"/>
          <w:numId w:val="16"/>
        </w:numPr>
        <w:spacing w:line="360" w:lineRule="auto"/>
        <w:ind w:left="0" w:firstLine="560" w:firstLineChars="200"/>
        <w:jc w:val="both"/>
        <w:rPr>
          <w:color w:val="auto"/>
          <w:sz w:val="26"/>
          <w:highlight w:val="none"/>
        </w:rPr>
      </w:pPr>
      <w:r>
        <w:rPr>
          <w:color w:val="auto"/>
          <w:sz w:val="28"/>
          <w:highlight w:val="none"/>
        </w:rPr>
        <w:t>需要补充的其他内容：见“投标人须知前附表”。</w:t>
      </w:r>
    </w:p>
    <w:p w14:paraId="79AAA67E">
      <w:pPr>
        <w:rPr>
          <w:color w:val="auto"/>
          <w:highlight w:val="none"/>
        </w:rPr>
      </w:pPr>
      <w:r>
        <w:rPr>
          <w:color w:val="auto"/>
          <w:highlight w:val="none"/>
        </w:rPr>
        <w:br w:type="page"/>
      </w:r>
    </w:p>
    <w:p w14:paraId="22C237B2">
      <w:pPr>
        <w:pStyle w:val="2"/>
        <w:spacing w:line="360" w:lineRule="auto"/>
        <w:ind w:right="177"/>
        <w:rPr>
          <w:rFonts w:ascii="仿宋" w:hAnsi="仿宋" w:eastAsia="仿宋" w:cs="仿宋"/>
          <w:color w:val="auto"/>
          <w:highlight w:val="none"/>
        </w:rPr>
      </w:pPr>
      <w:bookmarkStart w:id="30" w:name="_Toc24074"/>
      <w:r>
        <w:rPr>
          <w:rFonts w:hint="eastAsia" w:ascii="仿宋" w:hAnsi="仿宋" w:eastAsia="仿宋" w:cs="仿宋"/>
          <w:color w:val="auto"/>
          <w:highlight w:val="none"/>
        </w:rPr>
        <w:t>第四章 资格证明文件格式</w:t>
      </w:r>
      <w:bookmarkEnd w:id="30"/>
    </w:p>
    <w:p w14:paraId="0FDF6E53">
      <w:pPr>
        <w:pStyle w:val="7"/>
        <w:spacing w:line="360" w:lineRule="auto"/>
        <w:rPr>
          <w:b/>
          <w:color w:val="auto"/>
          <w:sz w:val="20"/>
          <w:highlight w:val="none"/>
        </w:rPr>
      </w:pPr>
    </w:p>
    <w:p w14:paraId="099824A5">
      <w:pPr>
        <w:pStyle w:val="7"/>
        <w:spacing w:line="360" w:lineRule="auto"/>
        <w:rPr>
          <w:b/>
          <w:color w:val="auto"/>
          <w:sz w:val="20"/>
          <w:highlight w:val="none"/>
        </w:rPr>
      </w:pPr>
    </w:p>
    <w:p w14:paraId="2CC29427">
      <w:pPr>
        <w:pStyle w:val="7"/>
        <w:spacing w:line="360" w:lineRule="auto"/>
        <w:rPr>
          <w:b/>
          <w:color w:val="auto"/>
          <w:sz w:val="20"/>
          <w:highlight w:val="none"/>
        </w:rPr>
      </w:pPr>
    </w:p>
    <w:p w14:paraId="3FBA5736">
      <w:pPr>
        <w:pStyle w:val="7"/>
        <w:spacing w:line="360" w:lineRule="auto"/>
        <w:rPr>
          <w:b/>
          <w:color w:val="auto"/>
          <w:sz w:val="22"/>
          <w:highlight w:val="none"/>
        </w:rPr>
      </w:pPr>
    </w:p>
    <w:p w14:paraId="6AB0918D">
      <w:pPr>
        <w:tabs>
          <w:tab w:val="left" w:pos="2889"/>
        </w:tabs>
        <w:spacing w:line="360" w:lineRule="auto"/>
        <w:ind w:right="223"/>
        <w:jc w:val="center"/>
        <w:rPr>
          <w:b/>
          <w:color w:val="auto"/>
          <w:sz w:val="56"/>
          <w:highlight w:val="none"/>
        </w:rPr>
      </w:pPr>
      <w:r>
        <w:rPr>
          <w:rFonts w:hint="eastAsia"/>
          <w:b/>
          <w:color w:val="auto"/>
          <w:sz w:val="56"/>
          <w:highlight w:val="none"/>
          <w:u w:val="single"/>
        </w:rPr>
        <w:tab/>
      </w:r>
      <w:r>
        <w:rPr>
          <w:rFonts w:hint="eastAsia"/>
          <w:b/>
          <w:color w:val="auto"/>
          <w:sz w:val="56"/>
          <w:highlight w:val="none"/>
        </w:rPr>
        <w:t>（项目名称）</w:t>
      </w:r>
    </w:p>
    <w:p w14:paraId="12CCAD62">
      <w:pPr>
        <w:pStyle w:val="7"/>
        <w:spacing w:line="360" w:lineRule="auto"/>
        <w:rPr>
          <w:b/>
          <w:color w:val="auto"/>
          <w:sz w:val="62"/>
          <w:highlight w:val="none"/>
        </w:rPr>
      </w:pPr>
    </w:p>
    <w:p w14:paraId="5124564D">
      <w:pPr>
        <w:pStyle w:val="7"/>
        <w:spacing w:line="360" w:lineRule="auto"/>
        <w:rPr>
          <w:b/>
          <w:color w:val="auto"/>
          <w:sz w:val="66"/>
          <w:highlight w:val="none"/>
        </w:rPr>
      </w:pPr>
    </w:p>
    <w:p w14:paraId="7A0FAFAC">
      <w:pPr>
        <w:spacing w:line="360" w:lineRule="auto"/>
        <w:ind w:right="182"/>
        <w:jc w:val="center"/>
        <w:rPr>
          <w:b/>
          <w:color w:val="auto"/>
          <w:sz w:val="112"/>
          <w:highlight w:val="none"/>
        </w:rPr>
      </w:pPr>
      <w:r>
        <w:rPr>
          <w:rFonts w:hint="eastAsia"/>
          <w:b/>
          <w:color w:val="auto"/>
          <w:sz w:val="112"/>
          <w:highlight w:val="none"/>
        </w:rPr>
        <w:t>资格证明文件</w:t>
      </w:r>
    </w:p>
    <w:p w14:paraId="26BE8194">
      <w:pPr>
        <w:spacing w:line="360" w:lineRule="auto"/>
        <w:ind w:firstLine="1280" w:firstLineChars="400"/>
        <w:rPr>
          <w:color w:val="auto"/>
          <w:sz w:val="32"/>
          <w:szCs w:val="32"/>
          <w:highlight w:val="none"/>
        </w:rPr>
      </w:pPr>
      <w:r>
        <w:rPr>
          <w:rFonts w:hint="eastAsia"/>
          <w:color w:val="auto"/>
          <w:sz w:val="32"/>
          <w:szCs w:val="32"/>
          <w:highlight w:val="none"/>
        </w:rPr>
        <w:t>采 购 人：</w:t>
      </w:r>
      <w:r>
        <w:rPr>
          <w:rFonts w:hint="eastAsia"/>
          <w:color w:val="auto"/>
          <w:sz w:val="32"/>
          <w:szCs w:val="32"/>
          <w:highlight w:val="none"/>
          <w:u w:val="single"/>
        </w:rPr>
        <w:t xml:space="preserve">                       </w:t>
      </w:r>
    </w:p>
    <w:p w14:paraId="6AD9FA87">
      <w:pPr>
        <w:spacing w:line="360" w:lineRule="auto"/>
        <w:ind w:firstLine="1280" w:firstLineChars="400"/>
        <w:rPr>
          <w:color w:val="auto"/>
          <w:sz w:val="32"/>
          <w:szCs w:val="32"/>
          <w:highlight w:val="none"/>
        </w:rPr>
      </w:pPr>
      <w:r>
        <w:rPr>
          <w:rFonts w:hint="eastAsia"/>
          <w:color w:val="auto"/>
          <w:sz w:val="32"/>
          <w:szCs w:val="32"/>
          <w:highlight w:val="none"/>
        </w:rPr>
        <w:t>项目名称：</w:t>
      </w:r>
      <w:r>
        <w:rPr>
          <w:rFonts w:hint="eastAsia"/>
          <w:color w:val="auto"/>
          <w:sz w:val="32"/>
          <w:szCs w:val="32"/>
          <w:highlight w:val="none"/>
          <w:u w:val="single"/>
        </w:rPr>
        <w:t xml:space="preserve">                       </w:t>
      </w:r>
    </w:p>
    <w:p w14:paraId="673F1C35">
      <w:pPr>
        <w:spacing w:line="360" w:lineRule="auto"/>
        <w:ind w:firstLine="1280" w:firstLineChars="400"/>
        <w:rPr>
          <w:color w:val="auto"/>
          <w:sz w:val="32"/>
          <w:szCs w:val="32"/>
          <w:highlight w:val="none"/>
          <w:u w:val="single"/>
        </w:rPr>
      </w:pPr>
      <w:r>
        <w:rPr>
          <w:rFonts w:hint="eastAsia"/>
          <w:color w:val="auto"/>
          <w:sz w:val="32"/>
          <w:szCs w:val="32"/>
          <w:highlight w:val="none"/>
        </w:rPr>
        <w:t>项目编号：</w:t>
      </w:r>
      <w:r>
        <w:rPr>
          <w:rFonts w:hint="eastAsia"/>
          <w:color w:val="auto"/>
          <w:sz w:val="32"/>
          <w:szCs w:val="32"/>
          <w:highlight w:val="none"/>
          <w:u w:val="single"/>
        </w:rPr>
        <w:t xml:space="preserve">                       </w:t>
      </w:r>
    </w:p>
    <w:p w14:paraId="1EAB0E18">
      <w:pPr>
        <w:spacing w:line="360" w:lineRule="auto"/>
        <w:ind w:firstLine="640" w:firstLineChars="200"/>
        <w:rPr>
          <w:color w:val="auto"/>
          <w:sz w:val="32"/>
          <w:szCs w:val="32"/>
          <w:highlight w:val="none"/>
        </w:rPr>
      </w:pPr>
    </w:p>
    <w:p w14:paraId="6753908F">
      <w:pPr>
        <w:spacing w:line="360" w:lineRule="auto"/>
        <w:ind w:firstLine="640" w:firstLineChars="200"/>
        <w:rPr>
          <w:color w:val="auto"/>
          <w:sz w:val="32"/>
          <w:szCs w:val="32"/>
          <w:highlight w:val="none"/>
        </w:rPr>
      </w:pPr>
    </w:p>
    <w:p w14:paraId="2E6F30AA">
      <w:pPr>
        <w:spacing w:line="360" w:lineRule="auto"/>
        <w:ind w:firstLine="640" w:firstLineChars="200"/>
        <w:rPr>
          <w:color w:val="auto"/>
          <w:sz w:val="32"/>
          <w:szCs w:val="32"/>
          <w:highlight w:val="none"/>
        </w:rPr>
      </w:pPr>
    </w:p>
    <w:p w14:paraId="37D7875D">
      <w:pPr>
        <w:spacing w:line="360" w:lineRule="auto"/>
        <w:ind w:firstLine="480" w:firstLineChars="200"/>
        <w:rPr>
          <w:color w:val="auto"/>
          <w:sz w:val="24"/>
          <w:highlight w:val="none"/>
        </w:rPr>
      </w:pPr>
      <w:r>
        <w:rPr>
          <w:rFonts w:hint="eastAsia"/>
          <w:color w:val="auto"/>
          <w:sz w:val="24"/>
          <w:highlight w:val="none"/>
        </w:rPr>
        <w:t>供应商</w:t>
      </w:r>
      <w:r>
        <w:rPr>
          <w:color w:val="auto"/>
          <w:highlight w:val="none"/>
        </w:rPr>
        <w:t>（企业电子签章）</w:t>
      </w:r>
      <w:r>
        <w:rPr>
          <w:rFonts w:hint="eastAsia"/>
          <w:color w:val="auto"/>
          <w:sz w:val="24"/>
          <w:highlight w:val="none"/>
        </w:rPr>
        <w:t>：</w:t>
      </w:r>
      <w:r>
        <w:rPr>
          <w:rFonts w:hint="eastAsia"/>
          <w:color w:val="auto"/>
          <w:sz w:val="24"/>
          <w:highlight w:val="none"/>
          <w:u w:val="single"/>
        </w:rPr>
        <w:t xml:space="preserve">                      </w:t>
      </w:r>
    </w:p>
    <w:p w14:paraId="136276E5">
      <w:pPr>
        <w:spacing w:line="360" w:lineRule="auto"/>
        <w:ind w:firstLine="480" w:firstLineChars="200"/>
        <w:rPr>
          <w:color w:val="auto"/>
          <w:sz w:val="24"/>
          <w:highlight w:val="none"/>
        </w:rPr>
      </w:pPr>
      <w:r>
        <w:rPr>
          <w:rFonts w:hint="eastAsia"/>
          <w:color w:val="auto"/>
          <w:sz w:val="24"/>
          <w:highlight w:val="none"/>
        </w:rPr>
        <w:t>法定代表人或其委托代理人：</w:t>
      </w:r>
      <w:r>
        <w:rPr>
          <w:rFonts w:hint="eastAsia"/>
          <w:color w:val="auto"/>
          <w:sz w:val="24"/>
          <w:highlight w:val="none"/>
          <w:u w:val="single"/>
        </w:rPr>
        <w:t xml:space="preserve">           </w:t>
      </w:r>
      <w:r>
        <w:rPr>
          <w:rFonts w:hint="eastAsia"/>
          <w:color w:val="auto"/>
          <w:sz w:val="24"/>
          <w:highlight w:val="none"/>
        </w:rPr>
        <w:t>（签字或盖章）</w:t>
      </w:r>
    </w:p>
    <w:p w14:paraId="0B5B41E9">
      <w:pPr>
        <w:spacing w:line="360" w:lineRule="auto"/>
        <w:ind w:left="2240"/>
        <w:rPr>
          <w:rFonts w:ascii="宋体" w:eastAsia="宋体"/>
          <w:b/>
          <w:color w:val="auto"/>
          <w:sz w:val="36"/>
          <w:highlight w:val="none"/>
        </w:rPr>
      </w:pPr>
      <w:r>
        <w:rPr>
          <w:rFonts w:hint="eastAsia"/>
          <w:color w:val="auto"/>
          <w:sz w:val="24"/>
          <w:highlight w:val="none"/>
        </w:rPr>
        <w:t>日期：</w:t>
      </w:r>
      <w:r>
        <w:rPr>
          <w:rFonts w:hint="eastAsia"/>
          <w:color w:val="auto"/>
          <w:sz w:val="24"/>
          <w:highlight w:val="none"/>
          <w:u w:val="single"/>
        </w:rPr>
        <w:t xml:space="preserve">     </w:t>
      </w:r>
      <w:r>
        <w:rPr>
          <w:rFonts w:hint="eastAsia"/>
          <w:color w:val="auto"/>
          <w:sz w:val="24"/>
          <w:highlight w:val="none"/>
        </w:rPr>
        <w:t>年</w:t>
      </w:r>
      <w:r>
        <w:rPr>
          <w:rFonts w:hint="eastAsia"/>
          <w:color w:val="auto"/>
          <w:sz w:val="24"/>
          <w:highlight w:val="none"/>
          <w:u w:val="single"/>
        </w:rPr>
        <w:t xml:space="preserve">     </w:t>
      </w:r>
      <w:r>
        <w:rPr>
          <w:rFonts w:hint="eastAsia"/>
          <w:color w:val="auto"/>
          <w:sz w:val="24"/>
          <w:highlight w:val="none"/>
        </w:rPr>
        <w:t>月</w:t>
      </w:r>
      <w:r>
        <w:rPr>
          <w:rFonts w:hint="eastAsia"/>
          <w:color w:val="auto"/>
          <w:sz w:val="24"/>
          <w:highlight w:val="none"/>
          <w:u w:val="single"/>
        </w:rPr>
        <w:t xml:space="preserve">    </w:t>
      </w:r>
      <w:r>
        <w:rPr>
          <w:rFonts w:hint="eastAsia"/>
          <w:color w:val="auto"/>
          <w:sz w:val="24"/>
          <w:highlight w:val="none"/>
        </w:rPr>
        <w:t>日</w:t>
      </w:r>
    </w:p>
    <w:p w14:paraId="5B8372F4">
      <w:pPr>
        <w:spacing w:line="360" w:lineRule="auto"/>
        <w:ind w:right="181"/>
        <w:jc w:val="center"/>
        <w:rPr>
          <w:b/>
          <w:color w:val="auto"/>
          <w:sz w:val="36"/>
          <w:highlight w:val="none"/>
        </w:rPr>
      </w:pPr>
    </w:p>
    <w:p w14:paraId="5CDDD993">
      <w:pPr>
        <w:spacing w:line="360" w:lineRule="auto"/>
        <w:ind w:right="181"/>
        <w:jc w:val="center"/>
        <w:rPr>
          <w:b/>
          <w:color w:val="auto"/>
          <w:sz w:val="36"/>
          <w:highlight w:val="none"/>
        </w:rPr>
      </w:pPr>
      <w:r>
        <w:rPr>
          <w:b/>
          <w:color w:val="auto"/>
          <w:sz w:val="36"/>
          <w:highlight w:val="none"/>
        </w:rPr>
        <w:t>目  录</w:t>
      </w:r>
    </w:p>
    <w:p w14:paraId="45F0BB90">
      <w:pPr>
        <w:pStyle w:val="7"/>
        <w:spacing w:line="360" w:lineRule="auto"/>
        <w:rPr>
          <w:b/>
          <w:color w:val="auto"/>
          <w:sz w:val="43"/>
          <w:highlight w:val="none"/>
        </w:rPr>
      </w:pPr>
    </w:p>
    <w:p w14:paraId="3F585103">
      <w:pPr>
        <w:spacing w:line="360" w:lineRule="auto"/>
        <w:rPr>
          <w:color w:val="auto"/>
          <w:sz w:val="28"/>
          <w:szCs w:val="28"/>
          <w:highlight w:val="none"/>
        </w:rPr>
      </w:pPr>
      <w:r>
        <w:rPr>
          <w:color w:val="auto"/>
          <w:sz w:val="28"/>
          <w:szCs w:val="28"/>
          <w:highlight w:val="none"/>
        </w:rPr>
        <w:t>一、法人或者非法人组织的营业执照等证明文件或自然人的身份证明</w:t>
      </w:r>
    </w:p>
    <w:p w14:paraId="3A28C7CB">
      <w:pPr>
        <w:spacing w:line="360" w:lineRule="auto"/>
        <w:rPr>
          <w:color w:val="auto"/>
          <w:sz w:val="28"/>
          <w:szCs w:val="28"/>
          <w:highlight w:val="none"/>
        </w:rPr>
      </w:pPr>
      <w:r>
        <w:rPr>
          <w:color w:val="auto"/>
          <w:sz w:val="28"/>
          <w:szCs w:val="28"/>
          <w:highlight w:val="none"/>
        </w:rPr>
        <w:t>二、具有良好的商业信誉和健全的财务会计制度</w:t>
      </w:r>
    </w:p>
    <w:p w14:paraId="49857935">
      <w:pPr>
        <w:spacing w:line="360" w:lineRule="auto"/>
        <w:rPr>
          <w:color w:val="auto"/>
          <w:sz w:val="28"/>
          <w:szCs w:val="28"/>
          <w:highlight w:val="none"/>
        </w:rPr>
      </w:pPr>
      <w:r>
        <w:rPr>
          <w:color w:val="auto"/>
          <w:sz w:val="28"/>
          <w:szCs w:val="28"/>
          <w:highlight w:val="none"/>
        </w:rPr>
        <w:t xml:space="preserve">三、依法缴纳税收和社会保障资金的良好记录 </w:t>
      </w:r>
    </w:p>
    <w:p w14:paraId="2087C484">
      <w:pPr>
        <w:spacing w:line="360" w:lineRule="auto"/>
        <w:rPr>
          <w:color w:val="auto"/>
          <w:sz w:val="28"/>
          <w:szCs w:val="28"/>
          <w:highlight w:val="none"/>
        </w:rPr>
      </w:pPr>
      <w:r>
        <w:rPr>
          <w:color w:val="auto"/>
          <w:sz w:val="28"/>
          <w:szCs w:val="28"/>
          <w:highlight w:val="none"/>
        </w:rPr>
        <w:t>四、具有履行合同所必需的设备和专业技术能力</w:t>
      </w:r>
    </w:p>
    <w:p w14:paraId="138AC2C3">
      <w:pPr>
        <w:spacing w:line="360" w:lineRule="auto"/>
        <w:rPr>
          <w:color w:val="auto"/>
          <w:sz w:val="28"/>
          <w:szCs w:val="28"/>
          <w:highlight w:val="none"/>
        </w:rPr>
      </w:pPr>
      <w:r>
        <w:rPr>
          <w:color w:val="auto"/>
          <w:sz w:val="28"/>
          <w:szCs w:val="28"/>
          <w:highlight w:val="none"/>
        </w:rPr>
        <w:t>五、参加政府采购活动前3年内在经营活动中没有重大违法记录的声明</w:t>
      </w:r>
    </w:p>
    <w:p w14:paraId="4D5E7F44">
      <w:pPr>
        <w:spacing w:line="360" w:lineRule="auto"/>
        <w:rPr>
          <w:color w:val="auto"/>
          <w:sz w:val="28"/>
          <w:szCs w:val="28"/>
          <w:highlight w:val="none"/>
        </w:rPr>
      </w:pPr>
      <w:r>
        <w:rPr>
          <w:color w:val="auto"/>
          <w:sz w:val="28"/>
          <w:szCs w:val="28"/>
          <w:highlight w:val="none"/>
        </w:rPr>
        <w:t>六、投标人关联单位的说明</w:t>
      </w:r>
    </w:p>
    <w:p w14:paraId="3D453808">
      <w:pPr>
        <w:spacing w:line="360" w:lineRule="auto"/>
        <w:rPr>
          <w:color w:val="auto"/>
          <w:sz w:val="28"/>
          <w:szCs w:val="28"/>
          <w:highlight w:val="none"/>
        </w:rPr>
      </w:pPr>
      <w:r>
        <w:rPr>
          <w:color w:val="auto"/>
          <w:sz w:val="28"/>
          <w:szCs w:val="28"/>
          <w:highlight w:val="none"/>
        </w:rPr>
        <w:t>七、</w:t>
      </w:r>
      <w:r>
        <w:rPr>
          <w:rFonts w:hint="eastAsia"/>
          <w:color w:val="auto"/>
          <w:sz w:val="28"/>
          <w:szCs w:val="28"/>
          <w:highlight w:val="none"/>
        </w:rPr>
        <w:t>其他资格证明文件</w:t>
      </w:r>
      <w:r>
        <w:rPr>
          <w:rFonts w:hint="eastAsia"/>
          <w:color w:val="auto"/>
          <w:sz w:val="28"/>
          <w:szCs w:val="28"/>
          <w:highlight w:val="none"/>
          <w:lang w:val="en-US" w:eastAsia="zh-CN"/>
        </w:rPr>
        <w:t>。</w:t>
      </w:r>
    </w:p>
    <w:p w14:paraId="2B2EB45A">
      <w:pPr>
        <w:rPr>
          <w:rFonts w:ascii="黑体" w:eastAsia="黑体"/>
          <w:color w:val="auto"/>
          <w:highlight w:val="none"/>
        </w:rPr>
      </w:pPr>
      <w:bookmarkStart w:id="31" w:name="一、法人或者非法人组织的营业执照等证明文件或自然人的身份证明"/>
      <w:bookmarkEnd w:id="31"/>
      <w:r>
        <w:rPr>
          <w:rFonts w:hint="eastAsia" w:ascii="黑体" w:eastAsia="黑体"/>
          <w:color w:val="auto"/>
          <w:highlight w:val="none"/>
        </w:rPr>
        <w:br w:type="page"/>
      </w:r>
    </w:p>
    <w:p w14:paraId="39C9AC4C">
      <w:pPr>
        <w:pStyle w:val="5"/>
        <w:spacing w:line="360" w:lineRule="auto"/>
        <w:ind w:left="437"/>
        <w:jc w:val="center"/>
        <w:rPr>
          <w:rFonts w:ascii="黑体" w:eastAsia="黑体"/>
          <w:color w:val="auto"/>
          <w:highlight w:val="none"/>
        </w:rPr>
      </w:pPr>
      <w:r>
        <w:rPr>
          <w:rFonts w:hint="eastAsia" w:ascii="黑体" w:eastAsia="黑体"/>
          <w:color w:val="auto"/>
          <w:highlight w:val="none"/>
        </w:rPr>
        <w:t>一、法人或者非法人组织的营业执照等证明文件或自然人的</w:t>
      </w:r>
    </w:p>
    <w:p w14:paraId="08E3C404">
      <w:pPr>
        <w:keepNext w:val="0"/>
        <w:keepLines w:val="0"/>
        <w:pageBreakBefore w:val="0"/>
        <w:widowControl w:val="0"/>
        <w:kinsoku/>
        <w:wordWrap/>
        <w:overflowPunct/>
        <w:topLinePunct w:val="0"/>
        <w:autoSpaceDE w:val="0"/>
        <w:autoSpaceDN w:val="0"/>
        <w:bidi w:val="0"/>
        <w:adjustRightInd/>
        <w:snapToGrid/>
        <w:spacing w:line="360" w:lineRule="auto"/>
        <w:ind w:left="437"/>
        <w:jc w:val="center"/>
        <w:textAlignment w:val="auto"/>
        <w:outlineLvl w:val="9"/>
        <w:rPr>
          <w:rFonts w:ascii="黑体" w:eastAsia="黑体"/>
          <w:color w:val="auto"/>
          <w:highlight w:val="none"/>
        </w:rPr>
      </w:pPr>
      <w:r>
        <w:rPr>
          <w:rFonts w:hint="eastAsia" w:ascii="黑体" w:eastAsia="黑体"/>
          <w:b/>
          <w:bCs/>
          <w:color w:val="auto"/>
          <w:sz w:val="28"/>
          <w:szCs w:val="28"/>
          <w:highlight w:val="none"/>
        </w:rPr>
        <w:t>身份证明</w:t>
      </w:r>
    </w:p>
    <w:p w14:paraId="24E39037">
      <w:pPr>
        <w:pStyle w:val="7"/>
        <w:spacing w:line="360" w:lineRule="auto"/>
        <w:ind w:left="437"/>
        <w:rPr>
          <w:color w:val="auto"/>
          <w:highlight w:val="none"/>
        </w:rPr>
      </w:pPr>
    </w:p>
    <w:p w14:paraId="492061C0">
      <w:pPr>
        <w:pStyle w:val="7"/>
        <w:spacing w:line="360" w:lineRule="auto"/>
        <w:ind w:left="437"/>
        <w:rPr>
          <w:color w:val="auto"/>
          <w:szCs w:val="22"/>
          <w:highlight w:val="none"/>
        </w:rPr>
      </w:pPr>
      <w:r>
        <w:rPr>
          <w:color w:val="auto"/>
          <w:szCs w:val="22"/>
          <w:highlight w:val="none"/>
        </w:rPr>
        <w:t>说明：</w:t>
      </w:r>
    </w:p>
    <w:p w14:paraId="7A52DF6F">
      <w:pPr>
        <w:spacing w:line="360" w:lineRule="auto"/>
        <w:jc w:val="both"/>
        <w:rPr>
          <w:color w:val="auto"/>
          <w:sz w:val="28"/>
          <w:highlight w:val="none"/>
        </w:rPr>
      </w:pPr>
      <w:r>
        <w:rPr>
          <w:rFonts w:hint="eastAsia"/>
          <w:color w:val="auto"/>
          <w:sz w:val="28"/>
          <w:highlight w:val="none"/>
        </w:rPr>
        <w:t>1.</w:t>
      </w:r>
      <w:r>
        <w:rPr>
          <w:color w:val="auto"/>
          <w:sz w:val="28"/>
          <w:highlight w:val="none"/>
        </w:rPr>
        <w:t>法人或者其他组织的营业执照等证明文件，自然人的身份证明</w:t>
      </w:r>
      <w:r>
        <w:rPr>
          <w:rFonts w:hint="eastAsia"/>
          <w:color w:val="auto"/>
          <w:sz w:val="28"/>
          <w:highlight w:val="none"/>
        </w:rPr>
        <w:t>。</w:t>
      </w:r>
    </w:p>
    <w:p w14:paraId="5852999D">
      <w:pPr>
        <w:spacing w:line="360" w:lineRule="auto"/>
        <w:jc w:val="both"/>
        <w:rPr>
          <w:color w:val="auto"/>
          <w:sz w:val="28"/>
          <w:highlight w:val="none"/>
        </w:rPr>
      </w:pPr>
      <w:r>
        <w:rPr>
          <w:rFonts w:hint="eastAsia"/>
          <w:color w:val="auto"/>
          <w:sz w:val="28"/>
          <w:highlight w:val="none"/>
        </w:rPr>
        <w:t>（1）企业或个体工商户应提供“营业执照”；</w:t>
      </w:r>
    </w:p>
    <w:p w14:paraId="73DBF246">
      <w:pPr>
        <w:spacing w:line="360" w:lineRule="auto"/>
        <w:jc w:val="both"/>
        <w:rPr>
          <w:color w:val="auto"/>
          <w:sz w:val="28"/>
          <w:highlight w:val="none"/>
        </w:rPr>
      </w:pPr>
      <w:r>
        <w:rPr>
          <w:rFonts w:hint="eastAsia"/>
          <w:color w:val="auto"/>
          <w:sz w:val="28"/>
          <w:highlight w:val="none"/>
        </w:rPr>
        <w:t>（2）事业单位应提供“事业单位法人证书”；</w:t>
      </w:r>
    </w:p>
    <w:p w14:paraId="57EA6A41">
      <w:pPr>
        <w:spacing w:line="360" w:lineRule="auto"/>
        <w:jc w:val="both"/>
        <w:rPr>
          <w:color w:val="auto"/>
          <w:sz w:val="28"/>
          <w:highlight w:val="none"/>
        </w:rPr>
      </w:pPr>
      <w:r>
        <w:rPr>
          <w:rFonts w:hint="eastAsia"/>
          <w:color w:val="auto"/>
          <w:sz w:val="28"/>
          <w:highlight w:val="none"/>
        </w:rPr>
        <w:t>（3）非企业专业服务机构应提供执业许可证/社会团体法人登记证书/民办非企业单位登记证书等证明文件；</w:t>
      </w:r>
    </w:p>
    <w:p w14:paraId="56FB1F25">
      <w:pPr>
        <w:pStyle w:val="6"/>
        <w:spacing w:line="360" w:lineRule="auto"/>
        <w:rPr>
          <w:color w:val="auto"/>
          <w:sz w:val="28"/>
          <w:highlight w:val="none"/>
        </w:rPr>
      </w:pPr>
      <w:r>
        <w:rPr>
          <w:rFonts w:hint="eastAsia"/>
          <w:color w:val="auto"/>
          <w:sz w:val="28"/>
          <w:highlight w:val="none"/>
        </w:rPr>
        <w:t>（4）自然人应提供自然人身份证明。</w:t>
      </w:r>
    </w:p>
    <w:p w14:paraId="7AE6BEFB">
      <w:pPr>
        <w:pStyle w:val="19"/>
        <w:tabs>
          <w:tab w:val="left" w:pos="721"/>
        </w:tabs>
        <w:spacing w:line="360" w:lineRule="auto"/>
        <w:ind w:left="0"/>
        <w:rPr>
          <w:color w:val="auto"/>
          <w:sz w:val="28"/>
          <w:highlight w:val="none"/>
        </w:rPr>
      </w:pPr>
    </w:p>
    <w:p w14:paraId="2F3DE99E">
      <w:pPr>
        <w:rPr>
          <w:rFonts w:ascii="黑体" w:eastAsia="黑体"/>
          <w:color w:val="auto"/>
          <w:highlight w:val="none"/>
        </w:rPr>
      </w:pPr>
      <w:bookmarkStart w:id="32" w:name="二、具有良好的商业信誉和健全的财务会计制度"/>
      <w:bookmarkEnd w:id="32"/>
      <w:bookmarkStart w:id="33" w:name="三、依法缴纳税收和社会保障资金的良好记录"/>
      <w:bookmarkEnd w:id="33"/>
      <w:r>
        <w:rPr>
          <w:rFonts w:hint="eastAsia" w:ascii="黑体" w:eastAsia="黑体"/>
          <w:color w:val="auto"/>
          <w:highlight w:val="none"/>
        </w:rPr>
        <w:br w:type="page"/>
      </w:r>
    </w:p>
    <w:p w14:paraId="75382B2F">
      <w:pPr>
        <w:keepNext w:val="0"/>
        <w:keepLines w:val="0"/>
        <w:pageBreakBefore w:val="0"/>
        <w:widowControl w:val="0"/>
        <w:kinsoku/>
        <w:wordWrap/>
        <w:overflowPunct/>
        <w:topLinePunct w:val="0"/>
        <w:autoSpaceDE w:val="0"/>
        <w:autoSpaceDN w:val="0"/>
        <w:bidi w:val="0"/>
        <w:adjustRightInd/>
        <w:snapToGrid/>
        <w:jc w:val="center"/>
        <w:textAlignment w:val="auto"/>
        <w:outlineLvl w:val="6"/>
        <w:rPr>
          <w:rFonts w:ascii="黑体" w:eastAsia="黑体"/>
          <w:b/>
          <w:bCs/>
          <w:color w:val="auto"/>
          <w:sz w:val="28"/>
          <w:szCs w:val="28"/>
          <w:highlight w:val="none"/>
        </w:rPr>
      </w:pPr>
      <w:r>
        <w:rPr>
          <w:rFonts w:hint="eastAsia" w:ascii="黑体" w:eastAsia="黑体"/>
          <w:b/>
          <w:bCs/>
          <w:color w:val="auto"/>
          <w:sz w:val="28"/>
          <w:szCs w:val="28"/>
          <w:highlight w:val="none"/>
        </w:rPr>
        <w:t>二、具有良好的商业信誉和健全的财务会计制度</w:t>
      </w:r>
    </w:p>
    <w:p w14:paraId="06DDB3A5">
      <w:pPr>
        <w:pStyle w:val="7"/>
        <w:spacing w:line="360" w:lineRule="auto"/>
        <w:rPr>
          <w:rFonts w:ascii="黑体"/>
          <w:b/>
          <w:color w:val="auto"/>
          <w:sz w:val="26"/>
          <w:highlight w:val="none"/>
        </w:rPr>
      </w:pPr>
    </w:p>
    <w:p w14:paraId="0241874E">
      <w:pPr>
        <w:pStyle w:val="7"/>
        <w:spacing w:line="360" w:lineRule="auto"/>
        <w:ind w:firstLine="560" w:firstLineChars="200"/>
        <w:rPr>
          <w:color w:val="auto"/>
          <w:highlight w:val="none"/>
        </w:rPr>
      </w:pPr>
      <w:r>
        <w:rPr>
          <w:color w:val="auto"/>
          <w:highlight w:val="none"/>
        </w:rPr>
        <w:t>说明：</w:t>
      </w:r>
    </w:p>
    <w:p w14:paraId="26F05DF4">
      <w:pPr>
        <w:pStyle w:val="7"/>
        <w:spacing w:line="360" w:lineRule="auto"/>
        <w:ind w:firstLine="560" w:firstLineChars="200"/>
        <w:rPr>
          <w:color w:val="auto"/>
          <w:highlight w:val="none"/>
        </w:rPr>
      </w:pPr>
      <w:r>
        <w:rPr>
          <w:color w:val="auto"/>
          <w:highlight w:val="none"/>
        </w:rPr>
        <w:t>（提供</w:t>
      </w:r>
      <w:r>
        <w:rPr>
          <w:rFonts w:hint="eastAsia"/>
          <w:color w:val="auto"/>
          <w:highlight w:val="none"/>
        </w:rPr>
        <w:t>2025年度</w:t>
      </w:r>
      <w:r>
        <w:rPr>
          <w:color w:val="auto"/>
          <w:highlight w:val="none"/>
        </w:rPr>
        <w:t>经审计的财务报告，如</w:t>
      </w:r>
      <w:r>
        <w:rPr>
          <w:rFonts w:hint="eastAsia"/>
          <w:color w:val="auto"/>
          <w:highlight w:val="none"/>
        </w:rPr>
        <w:t>截止</w:t>
      </w:r>
      <w:r>
        <w:rPr>
          <w:color w:val="auto"/>
          <w:highlight w:val="none"/>
        </w:rPr>
        <w:t>开标时间投标人成立时间不足要求时限的，须提供其开户银行出具的资信证明）</w:t>
      </w:r>
    </w:p>
    <w:p w14:paraId="50581001">
      <w:pPr>
        <w:rPr>
          <w:rFonts w:ascii="黑体" w:eastAsia="黑体"/>
          <w:color w:val="auto"/>
          <w:highlight w:val="none"/>
        </w:rPr>
      </w:pPr>
      <w:bookmarkStart w:id="34" w:name="四、具有履行合同所必需的设备和专业技术能力"/>
      <w:bookmarkEnd w:id="34"/>
      <w:r>
        <w:rPr>
          <w:rFonts w:hint="eastAsia" w:ascii="黑体" w:eastAsia="黑体"/>
          <w:color w:val="auto"/>
          <w:highlight w:val="none"/>
        </w:rPr>
        <w:br w:type="page"/>
      </w:r>
    </w:p>
    <w:p w14:paraId="5D6AE3FB">
      <w:pPr>
        <w:keepNext w:val="0"/>
        <w:keepLines w:val="0"/>
        <w:pageBreakBefore w:val="0"/>
        <w:widowControl w:val="0"/>
        <w:kinsoku/>
        <w:wordWrap/>
        <w:overflowPunct/>
        <w:topLinePunct w:val="0"/>
        <w:autoSpaceDE w:val="0"/>
        <w:autoSpaceDN w:val="0"/>
        <w:bidi w:val="0"/>
        <w:adjustRightInd/>
        <w:snapToGrid/>
        <w:jc w:val="center"/>
        <w:textAlignment w:val="auto"/>
        <w:outlineLvl w:val="6"/>
        <w:rPr>
          <w:rFonts w:ascii="黑体" w:eastAsia="黑体"/>
          <w:color w:val="auto"/>
          <w:highlight w:val="none"/>
        </w:rPr>
      </w:pPr>
      <w:r>
        <w:rPr>
          <w:rFonts w:hint="eastAsia" w:ascii="黑体" w:eastAsia="黑体"/>
          <w:b/>
          <w:bCs/>
          <w:color w:val="auto"/>
          <w:sz w:val="28"/>
          <w:szCs w:val="28"/>
          <w:highlight w:val="none"/>
        </w:rPr>
        <w:t>三、依法缴纳税收和社会保障资金的良好记录</w:t>
      </w:r>
    </w:p>
    <w:p w14:paraId="68B90A6B">
      <w:pPr>
        <w:pStyle w:val="7"/>
        <w:spacing w:line="360" w:lineRule="auto"/>
        <w:ind w:firstLine="560" w:firstLineChars="200"/>
        <w:rPr>
          <w:color w:val="auto"/>
          <w:highlight w:val="none"/>
        </w:rPr>
      </w:pPr>
    </w:p>
    <w:p w14:paraId="1DD19CD7">
      <w:pPr>
        <w:pStyle w:val="7"/>
        <w:spacing w:line="360" w:lineRule="auto"/>
        <w:ind w:firstLine="560" w:firstLineChars="200"/>
        <w:rPr>
          <w:color w:val="auto"/>
          <w:highlight w:val="none"/>
        </w:rPr>
      </w:pPr>
      <w:r>
        <w:rPr>
          <w:color w:val="auto"/>
          <w:highlight w:val="none"/>
        </w:rPr>
        <w:t>说明：</w:t>
      </w:r>
    </w:p>
    <w:p w14:paraId="0D7AA226">
      <w:pPr>
        <w:pStyle w:val="19"/>
        <w:numPr>
          <w:ilvl w:val="0"/>
          <w:numId w:val="17"/>
        </w:numPr>
        <w:spacing w:line="360" w:lineRule="auto"/>
        <w:ind w:left="0" w:firstLine="560" w:firstLineChars="200"/>
        <w:jc w:val="both"/>
        <w:rPr>
          <w:color w:val="auto"/>
          <w:sz w:val="28"/>
          <w:highlight w:val="none"/>
        </w:rPr>
      </w:pPr>
      <w:r>
        <w:rPr>
          <w:color w:val="auto"/>
          <w:sz w:val="28"/>
          <w:highlight w:val="none"/>
        </w:rPr>
        <w:t>具有依法缴纳税收和社会保障资金的相关材料（提供投标截止时间前六个月</w:t>
      </w:r>
      <w:r>
        <w:rPr>
          <w:rFonts w:hint="eastAsia"/>
          <w:color w:val="auto"/>
          <w:sz w:val="28"/>
          <w:highlight w:val="none"/>
        </w:rPr>
        <w:t>内</w:t>
      </w:r>
      <w:r>
        <w:rPr>
          <w:color w:val="auto"/>
          <w:sz w:val="28"/>
          <w:highlight w:val="none"/>
        </w:rPr>
        <w:t>任意一个月的纳税证明和社保缴纳证明，依法免税或不需要缴纳社会保障资金的，应提供相应文件证明其依法免税或不需要缴纳）。</w:t>
      </w:r>
    </w:p>
    <w:p w14:paraId="244E37B2">
      <w:pPr>
        <w:rPr>
          <w:rFonts w:ascii="黑体" w:eastAsia="黑体"/>
          <w:b/>
          <w:bCs/>
          <w:color w:val="auto"/>
          <w:sz w:val="28"/>
          <w:szCs w:val="28"/>
          <w:highlight w:val="none"/>
        </w:rPr>
      </w:pPr>
      <w:bookmarkStart w:id="35" w:name="五、参加政府采购活动前3年内在经营活动中没有重大违法记录的声明"/>
      <w:bookmarkEnd w:id="35"/>
      <w:r>
        <w:rPr>
          <w:rFonts w:hint="eastAsia" w:ascii="黑体" w:eastAsia="黑体"/>
          <w:b/>
          <w:bCs/>
          <w:color w:val="auto"/>
          <w:sz w:val="28"/>
          <w:szCs w:val="28"/>
          <w:highlight w:val="none"/>
        </w:rPr>
        <w:br w:type="page"/>
      </w:r>
    </w:p>
    <w:p w14:paraId="67BB75AA">
      <w:pPr>
        <w:keepNext w:val="0"/>
        <w:keepLines w:val="0"/>
        <w:pageBreakBefore w:val="0"/>
        <w:widowControl w:val="0"/>
        <w:kinsoku/>
        <w:wordWrap/>
        <w:overflowPunct/>
        <w:topLinePunct w:val="0"/>
        <w:autoSpaceDE w:val="0"/>
        <w:autoSpaceDN w:val="0"/>
        <w:bidi w:val="0"/>
        <w:adjustRightInd/>
        <w:snapToGrid/>
        <w:jc w:val="center"/>
        <w:textAlignment w:val="auto"/>
        <w:outlineLvl w:val="6"/>
        <w:rPr>
          <w:rFonts w:ascii="黑体" w:eastAsia="黑体"/>
          <w:b/>
          <w:bCs/>
          <w:color w:val="auto"/>
          <w:sz w:val="28"/>
          <w:szCs w:val="28"/>
          <w:highlight w:val="none"/>
        </w:rPr>
      </w:pPr>
      <w:r>
        <w:rPr>
          <w:rFonts w:hint="eastAsia" w:ascii="黑体" w:eastAsia="黑体"/>
          <w:b/>
          <w:bCs/>
          <w:color w:val="auto"/>
          <w:sz w:val="28"/>
          <w:szCs w:val="28"/>
          <w:highlight w:val="none"/>
        </w:rPr>
        <w:t>四、具有履行合同所必需的设备和专业技术能力</w:t>
      </w:r>
    </w:p>
    <w:p w14:paraId="1D9DD7F9">
      <w:pPr>
        <w:jc w:val="center"/>
        <w:rPr>
          <w:rFonts w:ascii="黑体" w:eastAsia="黑体"/>
          <w:b/>
          <w:bCs/>
          <w:color w:val="auto"/>
          <w:sz w:val="28"/>
          <w:szCs w:val="28"/>
          <w:highlight w:val="none"/>
        </w:rPr>
      </w:pPr>
    </w:p>
    <w:p w14:paraId="4B731D6F">
      <w:pPr>
        <w:pStyle w:val="7"/>
        <w:tabs>
          <w:tab w:val="left" w:pos="1697"/>
        </w:tabs>
        <w:spacing w:line="360" w:lineRule="auto"/>
        <w:ind w:firstLine="560" w:firstLineChars="200"/>
        <w:rPr>
          <w:color w:val="auto"/>
          <w:highlight w:val="none"/>
        </w:rPr>
      </w:pPr>
      <w:r>
        <w:rPr>
          <w:color w:val="auto"/>
          <w:highlight w:val="none"/>
        </w:rPr>
        <w:t>致</w:t>
      </w:r>
      <w:r>
        <w:rPr>
          <w:rFonts w:hint="eastAsia"/>
          <w:color w:val="auto"/>
          <w:highlight w:val="none"/>
        </w:rPr>
        <w:t>（</w:t>
      </w:r>
      <w:r>
        <w:rPr>
          <w:color w:val="auto"/>
          <w:highlight w:val="none"/>
          <w:u w:val="single"/>
        </w:rPr>
        <w:t xml:space="preserve">采购人） </w:t>
      </w:r>
    </w:p>
    <w:p w14:paraId="1A3D0B16">
      <w:pPr>
        <w:pStyle w:val="7"/>
        <w:spacing w:line="360" w:lineRule="auto"/>
        <w:ind w:firstLine="300" w:firstLineChars="200"/>
        <w:rPr>
          <w:color w:val="auto"/>
          <w:sz w:val="15"/>
          <w:highlight w:val="none"/>
        </w:rPr>
      </w:pPr>
    </w:p>
    <w:p w14:paraId="32DF03B7">
      <w:pPr>
        <w:pStyle w:val="7"/>
        <w:tabs>
          <w:tab w:val="left" w:pos="3235"/>
          <w:tab w:val="left" w:pos="7627"/>
        </w:tabs>
        <w:spacing w:line="360" w:lineRule="auto"/>
        <w:ind w:firstLine="560" w:firstLineChars="200"/>
        <w:rPr>
          <w:color w:val="auto"/>
          <w:highlight w:val="none"/>
        </w:rPr>
      </w:pPr>
      <w:r>
        <w:rPr>
          <w:color w:val="auto"/>
          <w:highlight w:val="none"/>
        </w:rPr>
        <w:t>我（单位/本人，以下统称我</w:t>
      </w:r>
      <w:r>
        <w:rPr>
          <w:rFonts w:hint="eastAsia"/>
          <w:color w:val="auto"/>
          <w:highlight w:val="none"/>
        </w:rPr>
        <w:t>方</w:t>
      </w:r>
      <w:r>
        <w:rPr>
          <w:color w:val="auto"/>
          <w:highlight w:val="none"/>
        </w:rPr>
        <w:t>）自愿参加</w:t>
      </w:r>
      <w:r>
        <w:rPr>
          <w:rFonts w:hint="eastAsia" w:ascii="Times New Roman" w:eastAsia="宋体"/>
          <w:color w:val="auto"/>
          <w:highlight w:val="none"/>
          <w:u w:val="single"/>
        </w:rPr>
        <w:t xml:space="preserve">                    </w:t>
      </w:r>
      <w:r>
        <w:rPr>
          <w:color w:val="auto"/>
          <w:highlight w:val="none"/>
        </w:rPr>
        <w:t xml:space="preserve">项目（豫财招标采购- </w:t>
      </w:r>
      <w:r>
        <w:rPr>
          <w:rFonts w:hint="eastAsia" w:ascii="Times New Roman" w:eastAsia="宋体"/>
          <w:color w:val="auto"/>
          <w:highlight w:val="none"/>
          <w:u w:val="single"/>
        </w:rPr>
        <w:t xml:space="preserve">                </w:t>
      </w:r>
      <w:r>
        <w:rPr>
          <w:color w:val="auto"/>
          <w:highlight w:val="none"/>
        </w:rPr>
        <w:t>）的投标</w:t>
      </w:r>
      <w:r>
        <w:rPr>
          <w:rFonts w:hint="eastAsia"/>
          <w:color w:val="auto"/>
          <w:highlight w:val="none"/>
        </w:rPr>
        <w:t>，</w:t>
      </w:r>
      <w:r>
        <w:rPr>
          <w:color w:val="auto"/>
          <w:highlight w:val="none"/>
        </w:rPr>
        <w:t>并做出如下承诺：</w:t>
      </w:r>
    </w:p>
    <w:p w14:paraId="309E4A37">
      <w:pPr>
        <w:pStyle w:val="7"/>
        <w:spacing w:line="360" w:lineRule="auto"/>
        <w:ind w:firstLine="560" w:firstLineChars="200"/>
        <w:rPr>
          <w:color w:val="auto"/>
          <w:highlight w:val="none"/>
        </w:rPr>
      </w:pPr>
      <w:r>
        <w:rPr>
          <w:color w:val="auto"/>
          <w:highlight w:val="none"/>
        </w:rPr>
        <w:t>我方具有履行合同所必需的设备和专业技术能力。</w:t>
      </w:r>
    </w:p>
    <w:p w14:paraId="4391E570">
      <w:pPr>
        <w:pStyle w:val="7"/>
        <w:spacing w:line="360" w:lineRule="auto"/>
        <w:ind w:firstLine="560" w:firstLineChars="200"/>
        <w:rPr>
          <w:color w:val="auto"/>
          <w:highlight w:val="none"/>
        </w:rPr>
      </w:pPr>
      <w:r>
        <w:rPr>
          <w:color w:val="auto"/>
          <w:highlight w:val="none"/>
        </w:rPr>
        <w:t>我方保证上述信息的真实和准确，并愿意承担因我方就此弄虚作假所引起的一切法律后果。</w:t>
      </w:r>
    </w:p>
    <w:p w14:paraId="4F1BE223">
      <w:pPr>
        <w:pStyle w:val="7"/>
        <w:spacing w:line="360" w:lineRule="auto"/>
        <w:ind w:firstLine="560" w:firstLineChars="200"/>
        <w:rPr>
          <w:color w:val="auto"/>
          <w:highlight w:val="none"/>
        </w:rPr>
      </w:pPr>
      <w:r>
        <w:rPr>
          <w:color w:val="auto"/>
          <w:highlight w:val="none"/>
        </w:rPr>
        <w:t>特此声明！</w:t>
      </w:r>
    </w:p>
    <w:p w14:paraId="7BBF3A7E">
      <w:pPr>
        <w:pStyle w:val="7"/>
        <w:spacing w:line="360" w:lineRule="auto"/>
        <w:ind w:firstLine="380" w:firstLineChars="200"/>
        <w:rPr>
          <w:color w:val="auto"/>
          <w:sz w:val="19"/>
          <w:highlight w:val="none"/>
        </w:rPr>
      </w:pPr>
    </w:p>
    <w:p w14:paraId="7233F58C">
      <w:pPr>
        <w:pStyle w:val="7"/>
        <w:spacing w:line="360" w:lineRule="auto"/>
        <w:ind w:firstLine="560" w:firstLineChars="200"/>
        <w:jc w:val="right"/>
        <w:rPr>
          <w:color w:val="auto"/>
          <w:highlight w:val="none"/>
        </w:rPr>
      </w:pPr>
      <w:r>
        <w:rPr>
          <w:color w:val="auto"/>
          <w:highlight w:val="none"/>
        </w:rPr>
        <w:t>投标人（企业电子签章）：</w:t>
      </w:r>
    </w:p>
    <w:p w14:paraId="4E5FECC7">
      <w:pPr>
        <w:pStyle w:val="7"/>
        <w:spacing w:line="360" w:lineRule="auto"/>
        <w:ind w:firstLine="560" w:firstLineChars="200"/>
        <w:rPr>
          <w:color w:val="auto"/>
          <w:highlight w:val="none"/>
        </w:rPr>
      </w:pPr>
    </w:p>
    <w:p w14:paraId="510B5DF1">
      <w:pPr>
        <w:pStyle w:val="7"/>
        <w:spacing w:line="360" w:lineRule="auto"/>
        <w:ind w:firstLine="580" w:firstLineChars="200"/>
        <w:rPr>
          <w:color w:val="auto"/>
          <w:sz w:val="29"/>
          <w:highlight w:val="none"/>
        </w:rPr>
      </w:pPr>
    </w:p>
    <w:p w14:paraId="3C1FC39D">
      <w:pPr>
        <w:pStyle w:val="7"/>
        <w:tabs>
          <w:tab w:val="left" w:pos="1679"/>
          <w:tab w:val="left" w:pos="2378"/>
          <w:tab w:val="left" w:pos="3079"/>
        </w:tabs>
        <w:spacing w:line="360" w:lineRule="auto"/>
        <w:ind w:firstLine="560" w:firstLineChars="200"/>
        <w:jc w:val="right"/>
        <w:rPr>
          <w:color w:val="auto"/>
          <w:highlight w:val="none"/>
        </w:rPr>
      </w:pPr>
      <w:r>
        <w:rPr>
          <w:color w:val="auto"/>
          <w:highlight w:val="none"/>
        </w:rPr>
        <w:t>日期：</w:t>
      </w:r>
      <w:r>
        <w:rPr>
          <w:rFonts w:hint="eastAsia" w:ascii="Times New Roman" w:eastAsia="宋体"/>
          <w:color w:val="auto"/>
          <w:highlight w:val="none"/>
          <w:u w:val="single"/>
        </w:rPr>
        <w:t xml:space="preserve">     </w:t>
      </w:r>
      <w:r>
        <w:rPr>
          <w:color w:val="auto"/>
          <w:highlight w:val="none"/>
        </w:rPr>
        <w:t>年</w:t>
      </w:r>
      <w:r>
        <w:rPr>
          <w:rFonts w:hint="eastAsia" w:ascii="Times New Roman" w:eastAsia="宋体"/>
          <w:color w:val="auto"/>
          <w:highlight w:val="none"/>
          <w:u w:val="single"/>
        </w:rPr>
        <w:t xml:space="preserve">    </w:t>
      </w:r>
      <w:r>
        <w:rPr>
          <w:color w:val="auto"/>
          <w:highlight w:val="none"/>
        </w:rPr>
        <w:t>月</w:t>
      </w:r>
      <w:r>
        <w:rPr>
          <w:rFonts w:hint="eastAsia" w:ascii="Times New Roman" w:eastAsia="宋体"/>
          <w:color w:val="auto"/>
          <w:highlight w:val="none"/>
          <w:u w:val="single"/>
        </w:rPr>
        <w:t xml:space="preserve">     </w:t>
      </w:r>
      <w:r>
        <w:rPr>
          <w:color w:val="auto"/>
          <w:highlight w:val="none"/>
        </w:rPr>
        <w:t>日</w:t>
      </w:r>
    </w:p>
    <w:p w14:paraId="35B384CB">
      <w:pPr>
        <w:rPr>
          <w:rFonts w:ascii="黑体" w:eastAsia="黑体"/>
          <w:color w:val="auto"/>
          <w:highlight w:val="none"/>
        </w:rPr>
      </w:pPr>
      <w:r>
        <w:rPr>
          <w:rFonts w:hint="eastAsia" w:ascii="黑体" w:eastAsia="黑体"/>
          <w:color w:val="auto"/>
          <w:highlight w:val="none"/>
        </w:rPr>
        <w:br w:type="page"/>
      </w:r>
    </w:p>
    <w:p w14:paraId="42FA4127">
      <w:pPr>
        <w:pStyle w:val="5"/>
        <w:spacing w:line="360" w:lineRule="auto"/>
        <w:ind w:left="437"/>
        <w:rPr>
          <w:rFonts w:ascii="黑体" w:eastAsia="黑体"/>
          <w:color w:val="auto"/>
          <w:highlight w:val="none"/>
        </w:rPr>
      </w:pPr>
      <w:r>
        <w:rPr>
          <w:rFonts w:hint="eastAsia" w:ascii="黑体" w:eastAsia="黑体"/>
          <w:color w:val="auto"/>
          <w:highlight w:val="none"/>
        </w:rPr>
        <w:t>五、参加政府采购活动前 3 年内在经营活动中没有重大违法记录的声明</w:t>
      </w:r>
    </w:p>
    <w:p w14:paraId="15A2541B">
      <w:pPr>
        <w:pStyle w:val="7"/>
        <w:tabs>
          <w:tab w:val="left" w:pos="1416"/>
        </w:tabs>
        <w:spacing w:line="360" w:lineRule="auto"/>
        <w:ind w:left="437"/>
        <w:rPr>
          <w:color w:val="auto"/>
          <w:highlight w:val="none"/>
        </w:rPr>
      </w:pPr>
    </w:p>
    <w:p w14:paraId="0F81489C">
      <w:pPr>
        <w:pStyle w:val="7"/>
        <w:tabs>
          <w:tab w:val="left" w:pos="1416"/>
        </w:tabs>
        <w:spacing w:line="360" w:lineRule="auto"/>
        <w:rPr>
          <w:color w:val="auto"/>
          <w:highlight w:val="none"/>
        </w:rPr>
      </w:pPr>
      <w:r>
        <w:rPr>
          <w:rFonts w:hint="eastAsia"/>
          <w:color w:val="auto"/>
          <w:highlight w:val="none"/>
          <w:u w:val="single"/>
        </w:rPr>
        <w:t>（</w:t>
      </w:r>
      <w:r>
        <w:rPr>
          <w:color w:val="auto"/>
          <w:highlight w:val="none"/>
          <w:u w:val="single"/>
        </w:rPr>
        <w:t xml:space="preserve">采购人） </w:t>
      </w:r>
    </w:p>
    <w:p w14:paraId="6DCB3002">
      <w:pPr>
        <w:pStyle w:val="7"/>
        <w:spacing w:line="360" w:lineRule="auto"/>
        <w:ind w:firstLine="220" w:firstLineChars="200"/>
        <w:rPr>
          <w:color w:val="auto"/>
          <w:sz w:val="11"/>
          <w:highlight w:val="none"/>
        </w:rPr>
      </w:pPr>
    </w:p>
    <w:p w14:paraId="26FDA46E">
      <w:pPr>
        <w:pStyle w:val="7"/>
        <w:tabs>
          <w:tab w:val="left" w:pos="3235"/>
          <w:tab w:val="left" w:pos="7627"/>
        </w:tabs>
        <w:spacing w:line="360" w:lineRule="auto"/>
        <w:ind w:firstLine="560" w:firstLineChars="200"/>
        <w:jc w:val="both"/>
        <w:rPr>
          <w:color w:val="auto"/>
          <w:highlight w:val="none"/>
        </w:rPr>
      </w:pPr>
      <w:r>
        <w:rPr>
          <w:color w:val="auto"/>
          <w:highlight w:val="none"/>
        </w:rPr>
        <w:t>我（单位/本人，以下统称我</w:t>
      </w:r>
      <w:r>
        <w:rPr>
          <w:rFonts w:hint="eastAsia"/>
          <w:color w:val="auto"/>
          <w:highlight w:val="none"/>
        </w:rPr>
        <w:t>方</w:t>
      </w:r>
      <w:r>
        <w:rPr>
          <w:color w:val="auto"/>
          <w:highlight w:val="none"/>
        </w:rPr>
        <w:t>）自愿参加</w:t>
      </w:r>
      <w:r>
        <w:rPr>
          <w:rFonts w:hint="eastAsia" w:ascii="Times New Roman" w:eastAsia="宋体"/>
          <w:color w:val="auto"/>
          <w:highlight w:val="none"/>
          <w:u w:val="single"/>
        </w:rPr>
        <w:t xml:space="preserve">             </w:t>
      </w:r>
      <w:r>
        <w:rPr>
          <w:color w:val="auto"/>
          <w:highlight w:val="none"/>
        </w:rPr>
        <w:t>项目（豫财招标采购</w:t>
      </w:r>
      <w:r>
        <w:rPr>
          <w:rFonts w:hint="eastAsia"/>
          <w:color w:val="auto"/>
          <w:highlight w:val="none"/>
        </w:rPr>
        <w:t>－</w:t>
      </w:r>
      <w:r>
        <w:rPr>
          <w:color w:val="auto"/>
          <w:highlight w:val="none"/>
        </w:rPr>
        <w:t xml:space="preserve"> </w:t>
      </w:r>
      <w:r>
        <w:rPr>
          <w:rFonts w:hint="eastAsia" w:ascii="Times New Roman" w:eastAsia="宋体"/>
          <w:color w:val="auto"/>
          <w:highlight w:val="none"/>
          <w:u w:val="single"/>
        </w:rPr>
        <w:t xml:space="preserve">                                     </w:t>
      </w:r>
      <w:r>
        <w:rPr>
          <w:color w:val="auto"/>
          <w:highlight w:val="none"/>
        </w:rPr>
        <w:t>）的投标</w:t>
      </w:r>
      <w:r>
        <w:rPr>
          <w:rFonts w:hint="eastAsia"/>
          <w:color w:val="auto"/>
          <w:highlight w:val="none"/>
        </w:rPr>
        <w:t>，</w:t>
      </w:r>
      <w:r>
        <w:rPr>
          <w:color w:val="auto"/>
          <w:highlight w:val="none"/>
        </w:rPr>
        <w:t>并做出如下承诺：</w:t>
      </w:r>
    </w:p>
    <w:p w14:paraId="6B99D26C">
      <w:pPr>
        <w:pStyle w:val="7"/>
        <w:spacing w:line="360" w:lineRule="auto"/>
        <w:ind w:firstLine="560" w:firstLineChars="200"/>
        <w:jc w:val="both"/>
        <w:rPr>
          <w:color w:val="auto"/>
          <w:highlight w:val="none"/>
        </w:rPr>
      </w:pPr>
      <w:r>
        <w:rPr>
          <w:color w:val="auto"/>
          <w:highlight w:val="none"/>
        </w:rPr>
        <w:t>我</w:t>
      </w:r>
      <w:r>
        <w:rPr>
          <w:rFonts w:hint="eastAsia"/>
          <w:color w:val="auto"/>
          <w:highlight w:val="none"/>
        </w:rPr>
        <w:t>方</w:t>
      </w:r>
      <w:r>
        <w:rPr>
          <w:color w:val="auto"/>
          <w:highlight w:val="none"/>
        </w:rPr>
        <w:t>信誉良好，参加政府采购活动前3年内，在经营活动中没有重大违法记录。在“信用中国”网站（</w:t>
      </w:r>
      <w:r>
        <w:rPr>
          <w:color w:val="auto"/>
          <w:highlight w:val="none"/>
        </w:rPr>
        <w:fldChar w:fldCharType="begin"/>
      </w:r>
      <w:r>
        <w:rPr>
          <w:color w:val="auto"/>
          <w:highlight w:val="none"/>
        </w:rPr>
        <w:instrText xml:space="preserve"> HYPERLINK "http://www.creditchina.gov.cn/" \h </w:instrText>
      </w:r>
      <w:r>
        <w:rPr>
          <w:color w:val="auto"/>
          <w:highlight w:val="none"/>
        </w:rPr>
        <w:fldChar w:fldCharType="separate"/>
      </w:r>
      <w:r>
        <w:rPr>
          <w:color w:val="auto"/>
          <w:highlight w:val="none"/>
        </w:rPr>
        <w:t>www.creditchina.gov.cn</w:t>
      </w:r>
      <w:r>
        <w:rPr>
          <w:color w:val="auto"/>
          <w:highlight w:val="none"/>
        </w:rPr>
        <w:fldChar w:fldCharType="end"/>
      </w:r>
      <w:r>
        <w:rPr>
          <w:color w:val="auto"/>
          <w:highlight w:val="none"/>
        </w:rPr>
        <w:t>）未被列入失信被执行人、重大税收违法</w:t>
      </w:r>
      <w:r>
        <w:rPr>
          <w:rFonts w:hint="eastAsia"/>
          <w:color w:val="auto"/>
          <w:highlight w:val="none"/>
        </w:rPr>
        <w:t>失信主体名单</w:t>
      </w:r>
      <w:r>
        <w:rPr>
          <w:color w:val="auto"/>
          <w:highlight w:val="none"/>
        </w:rPr>
        <w:t>；在“中国政府采购网”（</w:t>
      </w:r>
      <w:r>
        <w:rPr>
          <w:color w:val="auto"/>
          <w:highlight w:val="none"/>
        </w:rPr>
        <w:fldChar w:fldCharType="begin"/>
      </w:r>
      <w:r>
        <w:rPr>
          <w:color w:val="auto"/>
          <w:highlight w:val="none"/>
        </w:rPr>
        <w:instrText xml:space="preserve"> HYPERLINK "http://www.ccgp.gov.cn/" \h </w:instrText>
      </w:r>
      <w:r>
        <w:rPr>
          <w:color w:val="auto"/>
          <w:highlight w:val="none"/>
        </w:rPr>
        <w:fldChar w:fldCharType="separate"/>
      </w:r>
      <w:r>
        <w:rPr>
          <w:color w:val="auto"/>
          <w:highlight w:val="none"/>
        </w:rPr>
        <w:t>www.ccgp.gov.cn</w:t>
      </w:r>
      <w:r>
        <w:rPr>
          <w:color w:val="auto"/>
          <w:highlight w:val="none"/>
        </w:rPr>
        <w:fldChar w:fldCharType="end"/>
      </w:r>
      <w:r>
        <w:rPr>
          <w:color w:val="auto"/>
          <w:highlight w:val="none"/>
        </w:rPr>
        <w:t>）未被列入政府采购严重违法失信行为记录名单。</w:t>
      </w:r>
    </w:p>
    <w:p w14:paraId="072A577F">
      <w:pPr>
        <w:pStyle w:val="7"/>
        <w:spacing w:line="360" w:lineRule="auto"/>
        <w:ind w:firstLine="560" w:firstLineChars="200"/>
        <w:rPr>
          <w:color w:val="auto"/>
          <w:highlight w:val="none"/>
        </w:rPr>
      </w:pPr>
      <w:r>
        <w:rPr>
          <w:color w:val="auto"/>
          <w:highlight w:val="none"/>
        </w:rPr>
        <w:t>我方保证上述信息的真实和准确，并愿意承担因我方就此弄虚作假所引起的一切法律后果。</w:t>
      </w:r>
    </w:p>
    <w:p w14:paraId="7E6B6A17">
      <w:pPr>
        <w:pStyle w:val="7"/>
        <w:spacing w:line="360" w:lineRule="auto"/>
        <w:ind w:firstLine="560" w:firstLineChars="200"/>
        <w:rPr>
          <w:color w:val="auto"/>
          <w:highlight w:val="none"/>
        </w:rPr>
      </w:pPr>
      <w:r>
        <w:rPr>
          <w:color w:val="auto"/>
          <w:highlight w:val="none"/>
        </w:rPr>
        <w:t>特此声明！</w:t>
      </w:r>
    </w:p>
    <w:p w14:paraId="79D1F514">
      <w:pPr>
        <w:pStyle w:val="7"/>
        <w:spacing w:line="360" w:lineRule="auto"/>
        <w:ind w:firstLine="560" w:firstLineChars="200"/>
        <w:rPr>
          <w:color w:val="auto"/>
          <w:highlight w:val="none"/>
        </w:rPr>
      </w:pPr>
    </w:p>
    <w:p w14:paraId="06B402DF">
      <w:pPr>
        <w:pStyle w:val="7"/>
        <w:spacing w:line="360" w:lineRule="auto"/>
        <w:ind w:firstLine="560" w:firstLineChars="200"/>
        <w:rPr>
          <w:color w:val="auto"/>
          <w:highlight w:val="none"/>
        </w:rPr>
      </w:pPr>
      <w:r>
        <w:rPr>
          <w:color w:val="auto"/>
          <w:highlight w:val="none"/>
        </w:rPr>
        <w:t>投标人（企业电子签章）：</w:t>
      </w:r>
    </w:p>
    <w:p w14:paraId="42DEC934">
      <w:pPr>
        <w:pStyle w:val="7"/>
        <w:spacing w:line="360" w:lineRule="auto"/>
        <w:ind w:firstLine="560" w:firstLineChars="200"/>
        <w:rPr>
          <w:color w:val="auto"/>
          <w:highlight w:val="none"/>
        </w:rPr>
      </w:pPr>
    </w:p>
    <w:p w14:paraId="77D99F76">
      <w:pPr>
        <w:pStyle w:val="7"/>
        <w:tabs>
          <w:tab w:val="left" w:pos="5710"/>
          <w:tab w:val="left" w:pos="6411"/>
          <w:tab w:val="left" w:pos="7111"/>
        </w:tabs>
        <w:spacing w:line="360" w:lineRule="auto"/>
        <w:ind w:firstLine="560" w:firstLineChars="200"/>
        <w:rPr>
          <w:color w:val="auto"/>
          <w:highlight w:val="none"/>
        </w:rPr>
      </w:pPr>
      <w:r>
        <w:rPr>
          <w:color w:val="auto"/>
          <w:highlight w:val="none"/>
        </w:rPr>
        <w:t>日期：</w:t>
      </w:r>
      <w:r>
        <w:rPr>
          <w:rFonts w:hint="eastAsia"/>
          <w:color w:val="auto"/>
          <w:highlight w:val="none"/>
          <w:u w:val="single"/>
        </w:rPr>
        <w:t xml:space="preserve">         </w:t>
      </w:r>
      <w:r>
        <w:rPr>
          <w:rFonts w:hint="eastAsia" w:ascii="Times New Roman" w:eastAsia="宋体"/>
          <w:color w:val="auto"/>
          <w:highlight w:val="none"/>
          <w:u w:val="single"/>
        </w:rPr>
        <w:t xml:space="preserve">  </w:t>
      </w:r>
      <w:r>
        <w:rPr>
          <w:color w:val="auto"/>
          <w:highlight w:val="none"/>
        </w:rPr>
        <w:t>年</w:t>
      </w:r>
      <w:r>
        <w:rPr>
          <w:rFonts w:hint="eastAsia" w:ascii="Times New Roman" w:eastAsia="宋体"/>
          <w:color w:val="auto"/>
          <w:highlight w:val="none"/>
          <w:u w:val="single"/>
        </w:rPr>
        <w:t xml:space="preserve">      </w:t>
      </w:r>
      <w:r>
        <w:rPr>
          <w:color w:val="auto"/>
          <w:highlight w:val="none"/>
        </w:rPr>
        <w:t>月</w:t>
      </w:r>
      <w:r>
        <w:rPr>
          <w:rFonts w:hint="eastAsia" w:ascii="Times New Roman" w:eastAsia="宋体"/>
          <w:color w:val="auto"/>
          <w:highlight w:val="none"/>
          <w:u w:val="single"/>
        </w:rPr>
        <w:t xml:space="preserve">          </w:t>
      </w:r>
      <w:r>
        <w:rPr>
          <w:color w:val="auto"/>
          <w:highlight w:val="none"/>
        </w:rPr>
        <w:t>日</w:t>
      </w:r>
    </w:p>
    <w:p w14:paraId="72C76E52">
      <w:pPr>
        <w:pStyle w:val="7"/>
        <w:spacing w:line="360" w:lineRule="auto"/>
        <w:ind w:firstLine="500" w:firstLineChars="200"/>
        <w:rPr>
          <w:color w:val="auto"/>
          <w:sz w:val="25"/>
          <w:highlight w:val="none"/>
        </w:rPr>
      </w:pPr>
    </w:p>
    <w:p w14:paraId="67E034C0">
      <w:pPr>
        <w:pStyle w:val="7"/>
        <w:spacing w:line="360" w:lineRule="auto"/>
        <w:ind w:firstLine="560" w:firstLineChars="200"/>
        <w:rPr>
          <w:color w:val="auto"/>
          <w:highlight w:val="none"/>
        </w:rPr>
      </w:pPr>
      <w:r>
        <w:rPr>
          <w:color w:val="auto"/>
          <w:highlight w:val="none"/>
        </w:rPr>
        <w:t>说明：</w:t>
      </w:r>
    </w:p>
    <w:p w14:paraId="1F54986C">
      <w:pPr>
        <w:pStyle w:val="19"/>
        <w:numPr>
          <w:ilvl w:val="0"/>
          <w:numId w:val="18"/>
        </w:numPr>
        <w:spacing w:line="360" w:lineRule="auto"/>
        <w:ind w:left="0" w:firstLine="560" w:firstLineChars="200"/>
        <w:rPr>
          <w:color w:val="auto"/>
          <w:sz w:val="28"/>
          <w:highlight w:val="none"/>
        </w:rPr>
      </w:pPr>
      <w:r>
        <w:rPr>
          <w:color w:val="auto"/>
          <w:sz w:val="28"/>
          <w:highlight w:val="none"/>
        </w:rPr>
        <w:t>投标人应按照相关法规规定如实</w:t>
      </w:r>
      <w:r>
        <w:rPr>
          <w:rFonts w:hint="eastAsia"/>
          <w:color w:val="auto"/>
          <w:sz w:val="28"/>
          <w:highlight w:val="none"/>
        </w:rPr>
        <w:t>作出</w:t>
      </w:r>
      <w:r>
        <w:rPr>
          <w:color w:val="auto"/>
          <w:sz w:val="28"/>
          <w:highlight w:val="none"/>
        </w:rPr>
        <w:t>说明。</w:t>
      </w:r>
    </w:p>
    <w:p w14:paraId="0B682594">
      <w:pPr>
        <w:pStyle w:val="19"/>
        <w:numPr>
          <w:ilvl w:val="0"/>
          <w:numId w:val="18"/>
        </w:numPr>
        <w:spacing w:line="360" w:lineRule="auto"/>
        <w:ind w:left="0" w:firstLine="560" w:firstLineChars="200"/>
        <w:rPr>
          <w:color w:val="auto"/>
          <w:sz w:val="28"/>
          <w:highlight w:val="none"/>
        </w:rPr>
      </w:pPr>
      <w:r>
        <w:rPr>
          <w:color w:val="auto"/>
          <w:sz w:val="28"/>
          <w:highlight w:val="none"/>
        </w:rPr>
        <w:t>按照招标文件的规定企业电子签章（自然人投标的无需盖章，需要签字）。</w:t>
      </w:r>
    </w:p>
    <w:p w14:paraId="17F5DDEC">
      <w:pPr>
        <w:rPr>
          <w:rFonts w:ascii="黑体" w:eastAsia="黑体"/>
          <w:color w:val="auto"/>
          <w:highlight w:val="none"/>
        </w:rPr>
      </w:pPr>
      <w:r>
        <w:rPr>
          <w:rFonts w:hint="eastAsia" w:ascii="黑体" w:eastAsia="黑体"/>
          <w:color w:val="auto"/>
          <w:highlight w:val="none"/>
        </w:rPr>
        <w:br w:type="page"/>
      </w:r>
    </w:p>
    <w:p w14:paraId="357FEF64">
      <w:pPr>
        <w:pStyle w:val="5"/>
        <w:spacing w:line="360" w:lineRule="auto"/>
        <w:ind w:left="0" w:right="182"/>
        <w:jc w:val="center"/>
        <w:rPr>
          <w:rFonts w:ascii="黑体" w:eastAsia="黑体"/>
          <w:color w:val="auto"/>
          <w:highlight w:val="none"/>
        </w:rPr>
      </w:pPr>
      <w:r>
        <w:rPr>
          <w:rFonts w:hint="eastAsia" w:ascii="黑体" w:eastAsia="黑体"/>
          <w:color w:val="auto"/>
          <w:highlight w:val="none"/>
        </w:rPr>
        <w:t>六、信用查询</w:t>
      </w:r>
    </w:p>
    <w:p w14:paraId="33EBB8ED">
      <w:pPr>
        <w:pStyle w:val="7"/>
        <w:spacing w:line="360" w:lineRule="auto"/>
        <w:ind w:firstLine="560" w:firstLineChars="200"/>
        <w:rPr>
          <w:color w:val="auto"/>
          <w:highlight w:val="none"/>
        </w:rPr>
      </w:pPr>
      <w:r>
        <w:rPr>
          <w:rFonts w:hint="eastAsia"/>
          <w:color w:val="auto"/>
          <w:highlight w:val="none"/>
        </w:rPr>
        <w:t>1.信用中国（www.creditchina.gov.cn）：重大税收违法失信主体、</w:t>
      </w:r>
    </w:p>
    <w:p w14:paraId="6DB7C90B">
      <w:pPr>
        <w:pStyle w:val="7"/>
        <w:spacing w:line="360" w:lineRule="auto"/>
        <w:ind w:firstLine="560" w:firstLineChars="200"/>
        <w:rPr>
          <w:color w:val="auto"/>
          <w:highlight w:val="none"/>
        </w:rPr>
      </w:pPr>
      <w:r>
        <w:rPr>
          <w:rFonts w:hint="eastAsia"/>
          <w:color w:val="auto"/>
          <w:highlight w:val="none"/>
        </w:rPr>
        <w:t>2.中国执行信息公开网（http://zxgk.court.gov.cn）：失信被执行人查询截图；</w:t>
      </w:r>
    </w:p>
    <w:p w14:paraId="53C013EE">
      <w:pPr>
        <w:pStyle w:val="7"/>
        <w:spacing w:line="360" w:lineRule="auto"/>
        <w:ind w:firstLine="560" w:firstLineChars="200"/>
        <w:rPr>
          <w:rFonts w:ascii="黑体" w:eastAsia="黑体"/>
          <w:color w:val="auto"/>
          <w:highlight w:val="none"/>
        </w:rPr>
      </w:pPr>
      <w:r>
        <w:rPr>
          <w:rFonts w:hint="eastAsia"/>
          <w:color w:val="auto"/>
          <w:highlight w:val="none"/>
        </w:rPr>
        <w:t>3.中国政府采购网（www.ccgp.gov.cn）：政府采购严重违法失信行为记录名单查询截图。</w:t>
      </w:r>
    </w:p>
    <w:p w14:paraId="5C21685D">
      <w:pPr>
        <w:rPr>
          <w:rFonts w:ascii="黑体" w:eastAsia="黑体"/>
          <w:color w:val="auto"/>
          <w:highlight w:val="none"/>
        </w:rPr>
      </w:pPr>
      <w:r>
        <w:rPr>
          <w:rFonts w:hint="eastAsia" w:ascii="黑体" w:eastAsia="黑体"/>
          <w:color w:val="auto"/>
          <w:highlight w:val="none"/>
        </w:rPr>
        <w:br w:type="page"/>
      </w:r>
    </w:p>
    <w:p w14:paraId="4E4F5E8E">
      <w:pPr>
        <w:pStyle w:val="5"/>
        <w:spacing w:line="360" w:lineRule="auto"/>
        <w:ind w:left="0" w:right="182"/>
        <w:jc w:val="center"/>
        <w:rPr>
          <w:rFonts w:ascii="黑体" w:eastAsia="黑体"/>
          <w:color w:val="auto"/>
          <w:highlight w:val="none"/>
        </w:rPr>
      </w:pPr>
      <w:r>
        <w:rPr>
          <w:rFonts w:hint="eastAsia" w:ascii="黑体" w:eastAsia="黑体"/>
          <w:color w:val="auto"/>
          <w:highlight w:val="none"/>
        </w:rPr>
        <w:t>七、投标人关联单位的说明</w:t>
      </w:r>
    </w:p>
    <w:p w14:paraId="55EB53CA">
      <w:pPr>
        <w:pStyle w:val="7"/>
        <w:spacing w:line="360" w:lineRule="auto"/>
        <w:ind w:firstLine="562" w:firstLineChars="200"/>
        <w:rPr>
          <w:rFonts w:ascii="黑体"/>
          <w:b/>
          <w:color w:val="auto"/>
          <w:highlight w:val="none"/>
        </w:rPr>
      </w:pPr>
    </w:p>
    <w:p w14:paraId="3FFA3CEE">
      <w:pPr>
        <w:pStyle w:val="7"/>
        <w:spacing w:line="360" w:lineRule="auto"/>
        <w:ind w:firstLine="560" w:firstLineChars="200"/>
        <w:rPr>
          <w:color w:val="auto"/>
          <w:highlight w:val="none"/>
        </w:rPr>
      </w:pPr>
      <w:r>
        <w:rPr>
          <w:color w:val="auto"/>
          <w:highlight w:val="none"/>
        </w:rPr>
        <w:t>我单位作为本次采购项目的投标人，根据招标文件要求，现郑重承诺如下：</w:t>
      </w:r>
    </w:p>
    <w:p w14:paraId="7E005A69">
      <w:pPr>
        <w:pStyle w:val="7"/>
        <w:tabs>
          <w:tab w:val="left" w:pos="6000"/>
        </w:tabs>
        <w:spacing w:line="360" w:lineRule="auto"/>
        <w:ind w:firstLine="560" w:firstLineChars="200"/>
        <w:jc w:val="both"/>
        <w:rPr>
          <w:color w:val="auto"/>
          <w:highlight w:val="none"/>
        </w:rPr>
      </w:pPr>
      <w:r>
        <w:rPr>
          <w:color w:val="auto"/>
          <w:highlight w:val="none"/>
        </w:rPr>
        <w:t>我单位参加本次招标采购活动，</w:t>
      </w:r>
      <w:r>
        <w:rPr>
          <w:rFonts w:hint="eastAsia" w:ascii="Times New Roman" w:hAnsi="Times New Roman" w:eastAsia="宋体"/>
          <w:color w:val="auto"/>
          <w:highlight w:val="none"/>
          <w:u w:val="single"/>
        </w:rPr>
        <w:t xml:space="preserve">             </w:t>
      </w:r>
      <w:r>
        <w:rPr>
          <w:color w:val="auto"/>
          <w:highlight w:val="none"/>
        </w:rPr>
        <w:t>（填写“存在”或“不存在”）与单位负责人为同一人或者存在直接控股、管理关系的其他投标人参与同一合同项下的投标活动行为。</w:t>
      </w:r>
    </w:p>
    <w:p w14:paraId="6E997A2F">
      <w:pPr>
        <w:pStyle w:val="7"/>
        <w:spacing w:line="360" w:lineRule="auto"/>
        <w:ind w:firstLine="560" w:firstLineChars="200"/>
        <w:rPr>
          <w:color w:val="auto"/>
          <w:highlight w:val="none"/>
        </w:rPr>
      </w:pPr>
    </w:p>
    <w:p w14:paraId="10F149A6">
      <w:pPr>
        <w:pStyle w:val="7"/>
        <w:spacing w:line="360" w:lineRule="auto"/>
        <w:ind w:firstLine="560" w:firstLineChars="200"/>
        <w:rPr>
          <w:color w:val="auto"/>
          <w:highlight w:val="none"/>
        </w:rPr>
      </w:pPr>
    </w:p>
    <w:p w14:paraId="13A3206D">
      <w:pPr>
        <w:pStyle w:val="7"/>
        <w:spacing w:line="360" w:lineRule="auto"/>
        <w:ind w:firstLine="560" w:firstLineChars="200"/>
        <w:rPr>
          <w:color w:val="auto"/>
          <w:highlight w:val="none"/>
        </w:rPr>
      </w:pPr>
      <w:r>
        <w:rPr>
          <w:color w:val="auto"/>
          <w:highlight w:val="none"/>
        </w:rPr>
        <w:t>投标人（企业电子签章）：</w:t>
      </w:r>
    </w:p>
    <w:p w14:paraId="741FB522">
      <w:pPr>
        <w:pStyle w:val="7"/>
        <w:spacing w:line="360" w:lineRule="auto"/>
        <w:ind w:firstLine="560" w:firstLineChars="200"/>
        <w:rPr>
          <w:color w:val="auto"/>
          <w:highlight w:val="none"/>
        </w:rPr>
      </w:pPr>
    </w:p>
    <w:p w14:paraId="7F74DAC0">
      <w:pPr>
        <w:pStyle w:val="7"/>
        <w:spacing w:line="360" w:lineRule="auto"/>
        <w:ind w:firstLine="560" w:firstLineChars="200"/>
        <w:rPr>
          <w:color w:val="auto"/>
          <w:highlight w:val="none"/>
        </w:rPr>
      </w:pPr>
    </w:p>
    <w:p w14:paraId="40F8EC44">
      <w:pPr>
        <w:pStyle w:val="7"/>
        <w:tabs>
          <w:tab w:val="left" w:pos="5710"/>
          <w:tab w:val="left" w:pos="6411"/>
          <w:tab w:val="left" w:pos="7111"/>
        </w:tabs>
        <w:spacing w:line="360" w:lineRule="auto"/>
        <w:ind w:firstLine="560" w:firstLineChars="200"/>
        <w:rPr>
          <w:color w:val="auto"/>
          <w:highlight w:val="none"/>
        </w:rPr>
      </w:pPr>
      <w:r>
        <w:rPr>
          <w:color w:val="auto"/>
          <w:highlight w:val="none"/>
        </w:rPr>
        <w:t>日期：</w:t>
      </w:r>
      <w:r>
        <w:rPr>
          <w:rFonts w:hint="eastAsia" w:ascii="Times New Roman" w:eastAsia="宋体"/>
          <w:color w:val="auto"/>
          <w:highlight w:val="none"/>
          <w:u w:val="single"/>
        </w:rPr>
        <w:t xml:space="preserve">                 </w:t>
      </w:r>
      <w:r>
        <w:rPr>
          <w:color w:val="auto"/>
          <w:highlight w:val="none"/>
        </w:rPr>
        <w:t>年</w:t>
      </w:r>
      <w:r>
        <w:rPr>
          <w:rFonts w:hint="eastAsia" w:ascii="Times New Roman" w:eastAsia="宋体"/>
          <w:color w:val="auto"/>
          <w:highlight w:val="none"/>
          <w:u w:val="single"/>
        </w:rPr>
        <w:t xml:space="preserve">            </w:t>
      </w:r>
      <w:r>
        <w:rPr>
          <w:color w:val="auto"/>
          <w:highlight w:val="none"/>
        </w:rPr>
        <w:t>月</w:t>
      </w:r>
      <w:r>
        <w:rPr>
          <w:rFonts w:hint="eastAsia" w:ascii="Times New Roman" w:eastAsia="宋体"/>
          <w:color w:val="auto"/>
          <w:highlight w:val="none"/>
          <w:u w:val="single"/>
        </w:rPr>
        <w:t xml:space="preserve">             </w:t>
      </w:r>
      <w:r>
        <w:rPr>
          <w:color w:val="auto"/>
          <w:highlight w:val="none"/>
        </w:rPr>
        <w:t>日</w:t>
      </w:r>
    </w:p>
    <w:p w14:paraId="288CB190">
      <w:pPr>
        <w:pStyle w:val="7"/>
        <w:spacing w:line="360" w:lineRule="auto"/>
        <w:ind w:firstLine="440" w:firstLineChars="200"/>
        <w:rPr>
          <w:color w:val="auto"/>
          <w:sz w:val="22"/>
          <w:highlight w:val="none"/>
        </w:rPr>
      </w:pPr>
    </w:p>
    <w:p w14:paraId="3884B861">
      <w:pPr>
        <w:pStyle w:val="7"/>
        <w:spacing w:line="360" w:lineRule="auto"/>
        <w:ind w:firstLine="560" w:firstLineChars="200"/>
        <w:rPr>
          <w:color w:val="auto"/>
          <w:highlight w:val="none"/>
        </w:rPr>
      </w:pPr>
      <w:r>
        <w:rPr>
          <w:color w:val="auto"/>
          <w:highlight w:val="none"/>
        </w:rPr>
        <w:t>说明：投标人应当如实披露与本单位存在关联关系的单位名称。</w:t>
      </w:r>
    </w:p>
    <w:p w14:paraId="61ED863F">
      <w:pPr>
        <w:rPr>
          <w:rFonts w:hint="eastAsia" w:ascii="黑体" w:eastAsia="黑体"/>
          <w:color w:val="auto"/>
          <w:highlight w:val="none"/>
          <w:lang w:val="en-US" w:eastAsia="zh-CN"/>
        </w:rPr>
      </w:pPr>
      <w:bookmarkStart w:id="36" w:name="第五章__投标文件格式"/>
      <w:bookmarkEnd w:id="36"/>
      <w:r>
        <w:rPr>
          <w:rFonts w:hint="eastAsia" w:ascii="黑体" w:eastAsia="黑体"/>
          <w:color w:val="auto"/>
          <w:highlight w:val="none"/>
          <w:lang w:val="en-US" w:eastAsia="zh-CN"/>
        </w:rPr>
        <w:br w:type="page"/>
      </w:r>
    </w:p>
    <w:p w14:paraId="3E18C3DC">
      <w:pPr>
        <w:pStyle w:val="5"/>
        <w:spacing w:line="360" w:lineRule="auto"/>
        <w:ind w:left="0" w:right="177"/>
        <w:jc w:val="center"/>
        <w:rPr>
          <w:rFonts w:hint="eastAsia" w:ascii="黑体" w:eastAsia="黑体"/>
          <w:color w:val="auto"/>
          <w:highlight w:val="none"/>
          <w:lang w:val="en-US" w:eastAsia="zh-CN"/>
        </w:rPr>
      </w:pPr>
      <w:r>
        <w:rPr>
          <w:rFonts w:hint="eastAsia" w:ascii="黑体" w:eastAsia="黑体"/>
          <w:color w:val="auto"/>
          <w:highlight w:val="none"/>
          <w:lang w:val="en-US" w:eastAsia="zh-CN"/>
        </w:rPr>
        <w:t>八、其他资格证明文件</w:t>
      </w:r>
    </w:p>
    <w:p w14:paraId="17A0E046">
      <w:pPr>
        <w:keepNext w:val="0"/>
        <w:keepLines w:val="0"/>
        <w:pageBreakBefore w:val="0"/>
        <w:widowControl w:val="0"/>
        <w:kinsoku/>
        <w:wordWrap/>
        <w:overflowPunct/>
        <w:topLinePunct w:val="0"/>
        <w:autoSpaceDE w:val="0"/>
        <w:autoSpaceDN w:val="0"/>
        <w:bidi w:val="0"/>
        <w:adjustRightInd/>
        <w:snapToGrid/>
        <w:spacing w:line="360" w:lineRule="auto"/>
        <w:ind w:firstLine="44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为采购项目提供整体设计、规范编制或者项目管理、监理、检测等服务的供应商，不得再参加该采购项目的其他采购活动</w:t>
      </w:r>
      <w:r>
        <w:rPr>
          <w:rFonts w:hint="eastAsia" w:ascii="仿宋" w:hAnsi="仿宋" w:eastAsia="仿宋" w:cs="仿宋"/>
          <w:color w:val="auto"/>
          <w:highlight w:val="none"/>
        </w:rPr>
        <w:br w:type="page"/>
      </w:r>
    </w:p>
    <w:p w14:paraId="2A87F374">
      <w:pPr>
        <w:pStyle w:val="2"/>
        <w:spacing w:line="360" w:lineRule="auto"/>
        <w:ind w:right="180"/>
        <w:rPr>
          <w:rFonts w:ascii="仿宋" w:hAnsi="仿宋" w:eastAsia="仿宋" w:cs="仿宋"/>
          <w:color w:val="auto"/>
          <w:highlight w:val="none"/>
        </w:rPr>
      </w:pPr>
      <w:bookmarkStart w:id="37" w:name="_Toc13557"/>
      <w:r>
        <w:rPr>
          <w:rFonts w:hint="eastAsia" w:ascii="仿宋" w:hAnsi="仿宋" w:eastAsia="仿宋" w:cs="仿宋"/>
          <w:color w:val="auto"/>
          <w:highlight w:val="none"/>
        </w:rPr>
        <w:t>第五章 投标文件格式</w:t>
      </w:r>
      <w:bookmarkEnd w:id="37"/>
    </w:p>
    <w:p w14:paraId="3C935FB0">
      <w:pPr>
        <w:pStyle w:val="7"/>
        <w:spacing w:line="360" w:lineRule="auto"/>
        <w:rPr>
          <w:b/>
          <w:color w:val="auto"/>
          <w:sz w:val="20"/>
          <w:highlight w:val="none"/>
        </w:rPr>
      </w:pPr>
    </w:p>
    <w:p w14:paraId="7CCAC5C4">
      <w:pPr>
        <w:pStyle w:val="7"/>
        <w:spacing w:line="360" w:lineRule="auto"/>
        <w:rPr>
          <w:b/>
          <w:color w:val="auto"/>
          <w:sz w:val="20"/>
          <w:highlight w:val="none"/>
        </w:rPr>
      </w:pPr>
    </w:p>
    <w:p w14:paraId="216EBB90">
      <w:pPr>
        <w:pStyle w:val="7"/>
        <w:spacing w:line="360" w:lineRule="auto"/>
        <w:rPr>
          <w:b/>
          <w:color w:val="auto"/>
          <w:sz w:val="20"/>
          <w:highlight w:val="none"/>
        </w:rPr>
      </w:pPr>
    </w:p>
    <w:p w14:paraId="301E4660">
      <w:pPr>
        <w:tabs>
          <w:tab w:val="left" w:pos="2889"/>
        </w:tabs>
        <w:spacing w:line="360" w:lineRule="auto"/>
        <w:ind w:right="223"/>
        <w:jc w:val="center"/>
        <w:rPr>
          <w:b/>
          <w:color w:val="auto"/>
          <w:sz w:val="56"/>
          <w:highlight w:val="none"/>
        </w:rPr>
      </w:pPr>
      <w:r>
        <w:rPr>
          <w:rFonts w:hint="eastAsia"/>
          <w:b/>
          <w:color w:val="auto"/>
          <w:sz w:val="56"/>
          <w:highlight w:val="none"/>
          <w:u w:val="single"/>
        </w:rPr>
        <w:tab/>
      </w:r>
      <w:r>
        <w:rPr>
          <w:rFonts w:hint="eastAsia"/>
          <w:b/>
          <w:color w:val="auto"/>
          <w:sz w:val="56"/>
          <w:highlight w:val="none"/>
        </w:rPr>
        <w:t>（项目名称）</w:t>
      </w:r>
    </w:p>
    <w:p w14:paraId="147E9A28">
      <w:pPr>
        <w:pStyle w:val="7"/>
        <w:spacing w:line="360" w:lineRule="auto"/>
        <w:rPr>
          <w:b/>
          <w:color w:val="auto"/>
          <w:sz w:val="62"/>
          <w:highlight w:val="none"/>
        </w:rPr>
      </w:pPr>
    </w:p>
    <w:p w14:paraId="57ECBCBB">
      <w:pPr>
        <w:pStyle w:val="7"/>
        <w:spacing w:line="360" w:lineRule="auto"/>
        <w:rPr>
          <w:b/>
          <w:color w:val="auto"/>
          <w:sz w:val="45"/>
          <w:highlight w:val="none"/>
        </w:rPr>
      </w:pPr>
    </w:p>
    <w:p w14:paraId="301147B9">
      <w:pPr>
        <w:spacing w:line="360" w:lineRule="auto"/>
        <w:ind w:right="182"/>
        <w:jc w:val="center"/>
        <w:rPr>
          <w:b/>
          <w:color w:val="auto"/>
          <w:sz w:val="160"/>
          <w:highlight w:val="none"/>
        </w:rPr>
      </w:pPr>
      <w:r>
        <w:rPr>
          <w:rFonts w:hint="eastAsia"/>
          <w:b/>
          <w:color w:val="auto"/>
          <w:sz w:val="160"/>
          <w:highlight w:val="none"/>
        </w:rPr>
        <w:t>投标文件</w:t>
      </w:r>
    </w:p>
    <w:p w14:paraId="3E8A7516">
      <w:pPr>
        <w:spacing w:line="360" w:lineRule="auto"/>
        <w:ind w:firstLine="1280" w:firstLineChars="400"/>
        <w:rPr>
          <w:color w:val="auto"/>
          <w:sz w:val="32"/>
          <w:szCs w:val="32"/>
          <w:highlight w:val="none"/>
        </w:rPr>
      </w:pPr>
      <w:r>
        <w:rPr>
          <w:rFonts w:hint="eastAsia"/>
          <w:color w:val="auto"/>
          <w:sz w:val="32"/>
          <w:szCs w:val="32"/>
          <w:highlight w:val="none"/>
        </w:rPr>
        <w:t>采 购 人：</w:t>
      </w:r>
      <w:r>
        <w:rPr>
          <w:rFonts w:hint="eastAsia"/>
          <w:color w:val="auto"/>
          <w:sz w:val="32"/>
          <w:szCs w:val="32"/>
          <w:highlight w:val="none"/>
          <w:u w:val="single"/>
        </w:rPr>
        <w:t xml:space="preserve">                       </w:t>
      </w:r>
    </w:p>
    <w:p w14:paraId="042A9D21">
      <w:pPr>
        <w:spacing w:line="360" w:lineRule="auto"/>
        <w:ind w:firstLine="1280" w:firstLineChars="400"/>
        <w:rPr>
          <w:color w:val="auto"/>
          <w:sz w:val="32"/>
          <w:szCs w:val="32"/>
          <w:highlight w:val="none"/>
        </w:rPr>
      </w:pPr>
      <w:r>
        <w:rPr>
          <w:rFonts w:hint="eastAsia"/>
          <w:color w:val="auto"/>
          <w:sz w:val="32"/>
          <w:szCs w:val="32"/>
          <w:highlight w:val="none"/>
        </w:rPr>
        <w:t>项目名称：</w:t>
      </w:r>
      <w:r>
        <w:rPr>
          <w:rFonts w:hint="eastAsia"/>
          <w:color w:val="auto"/>
          <w:sz w:val="32"/>
          <w:szCs w:val="32"/>
          <w:highlight w:val="none"/>
          <w:u w:val="single"/>
        </w:rPr>
        <w:t xml:space="preserve">                       </w:t>
      </w:r>
    </w:p>
    <w:p w14:paraId="7BABEBCF">
      <w:pPr>
        <w:spacing w:line="360" w:lineRule="auto"/>
        <w:ind w:firstLine="1280" w:firstLineChars="400"/>
        <w:rPr>
          <w:color w:val="auto"/>
          <w:sz w:val="32"/>
          <w:szCs w:val="32"/>
          <w:highlight w:val="none"/>
          <w:u w:val="single"/>
        </w:rPr>
      </w:pPr>
      <w:r>
        <w:rPr>
          <w:rFonts w:hint="eastAsia"/>
          <w:color w:val="auto"/>
          <w:sz w:val="32"/>
          <w:szCs w:val="32"/>
          <w:highlight w:val="none"/>
        </w:rPr>
        <w:t>项目编号：</w:t>
      </w:r>
      <w:r>
        <w:rPr>
          <w:rFonts w:hint="eastAsia"/>
          <w:color w:val="auto"/>
          <w:sz w:val="32"/>
          <w:szCs w:val="32"/>
          <w:highlight w:val="none"/>
          <w:u w:val="single"/>
        </w:rPr>
        <w:t xml:space="preserve">                       </w:t>
      </w:r>
    </w:p>
    <w:p w14:paraId="43AABD65">
      <w:pPr>
        <w:spacing w:line="360" w:lineRule="auto"/>
        <w:ind w:firstLine="640" w:firstLineChars="200"/>
        <w:rPr>
          <w:color w:val="auto"/>
          <w:sz w:val="32"/>
          <w:szCs w:val="32"/>
          <w:highlight w:val="none"/>
        </w:rPr>
      </w:pPr>
    </w:p>
    <w:p w14:paraId="75E8119C">
      <w:pPr>
        <w:spacing w:line="360" w:lineRule="auto"/>
        <w:ind w:firstLine="640" w:firstLineChars="200"/>
        <w:rPr>
          <w:color w:val="auto"/>
          <w:sz w:val="32"/>
          <w:szCs w:val="32"/>
          <w:highlight w:val="none"/>
        </w:rPr>
      </w:pPr>
    </w:p>
    <w:p w14:paraId="02C21844">
      <w:pPr>
        <w:spacing w:line="360" w:lineRule="auto"/>
        <w:ind w:firstLine="640" w:firstLineChars="200"/>
        <w:rPr>
          <w:color w:val="auto"/>
          <w:sz w:val="32"/>
          <w:szCs w:val="32"/>
          <w:highlight w:val="none"/>
        </w:rPr>
      </w:pPr>
    </w:p>
    <w:p w14:paraId="43BA2FF3">
      <w:pPr>
        <w:spacing w:line="360" w:lineRule="auto"/>
        <w:ind w:firstLine="480" w:firstLineChars="200"/>
        <w:rPr>
          <w:color w:val="auto"/>
          <w:sz w:val="24"/>
          <w:highlight w:val="none"/>
        </w:rPr>
      </w:pPr>
      <w:r>
        <w:rPr>
          <w:rFonts w:hint="eastAsia"/>
          <w:color w:val="auto"/>
          <w:sz w:val="24"/>
          <w:highlight w:val="none"/>
        </w:rPr>
        <w:t>供应商</w:t>
      </w:r>
      <w:r>
        <w:rPr>
          <w:color w:val="auto"/>
          <w:highlight w:val="none"/>
        </w:rPr>
        <w:t>（企业电子签章）</w:t>
      </w:r>
      <w:r>
        <w:rPr>
          <w:rFonts w:hint="eastAsia"/>
          <w:color w:val="auto"/>
          <w:sz w:val="24"/>
          <w:highlight w:val="none"/>
        </w:rPr>
        <w:t>：</w:t>
      </w:r>
      <w:r>
        <w:rPr>
          <w:rFonts w:hint="eastAsia"/>
          <w:color w:val="auto"/>
          <w:sz w:val="24"/>
          <w:highlight w:val="none"/>
          <w:u w:val="single"/>
        </w:rPr>
        <w:t xml:space="preserve">                      </w:t>
      </w:r>
    </w:p>
    <w:p w14:paraId="7BDE61B7">
      <w:pPr>
        <w:spacing w:line="360" w:lineRule="auto"/>
        <w:ind w:firstLine="480" w:firstLineChars="200"/>
        <w:rPr>
          <w:color w:val="auto"/>
          <w:sz w:val="24"/>
          <w:highlight w:val="none"/>
        </w:rPr>
      </w:pPr>
      <w:r>
        <w:rPr>
          <w:rFonts w:hint="eastAsia"/>
          <w:color w:val="auto"/>
          <w:sz w:val="24"/>
          <w:highlight w:val="none"/>
        </w:rPr>
        <w:t>法定代表人或其委托代理人：</w:t>
      </w:r>
      <w:r>
        <w:rPr>
          <w:rFonts w:hint="eastAsia"/>
          <w:color w:val="auto"/>
          <w:sz w:val="24"/>
          <w:highlight w:val="none"/>
          <w:u w:val="single"/>
        </w:rPr>
        <w:t xml:space="preserve">           </w:t>
      </w:r>
      <w:r>
        <w:rPr>
          <w:rFonts w:hint="eastAsia"/>
          <w:color w:val="auto"/>
          <w:sz w:val="24"/>
          <w:highlight w:val="none"/>
        </w:rPr>
        <w:t>（签字或盖章）</w:t>
      </w:r>
    </w:p>
    <w:p w14:paraId="4C8EF262">
      <w:pPr>
        <w:spacing w:line="360" w:lineRule="auto"/>
        <w:ind w:left="2240"/>
        <w:rPr>
          <w:rFonts w:ascii="宋体" w:eastAsia="宋体"/>
          <w:b/>
          <w:color w:val="auto"/>
          <w:sz w:val="36"/>
          <w:highlight w:val="none"/>
        </w:rPr>
      </w:pPr>
      <w:r>
        <w:rPr>
          <w:rFonts w:hint="eastAsia"/>
          <w:color w:val="auto"/>
          <w:sz w:val="24"/>
          <w:highlight w:val="none"/>
        </w:rPr>
        <w:t>日期：</w:t>
      </w:r>
      <w:r>
        <w:rPr>
          <w:rFonts w:hint="eastAsia"/>
          <w:color w:val="auto"/>
          <w:sz w:val="24"/>
          <w:highlight w:val="none"/>
          <w:u w:val="single"/>
        </w:rPr>
        <w:t xml:space="preserve">     </w:t>
      </w:r>
      <w:r>
        <w:rPr>
          <w:rFonts w:hint="eastAsia"/>
          <w:color w:val="auto"/>
          <w:sz w:val="24"/>
          <w:highlight w:val="none"/>
        </w:rPr>
        <w:t>年</w:t>
      </w:r>
      <w:r>
        <w:rPr>
          <w:rFonts w:hint="eastAsia"/>
          <w:color w:val="auto"/>
          <w:sz w:val="24"/>
          <w:highlight w:val="none"/>
          <w:u w:val="single"/>
        </w:rPr>
        <w:t xml:space="preserve">     </w:t>
      </w:r>
      <w:r>
        <w:rPr>
          <w:rFonts w:hint="eastAsia"/>
          <w:color w:val="auto"/>
          <w:sz w:val="24"/>
          <w:highlight w:val="none"/>
        </w:rPr>
        <w:t>月</w:t>
      </w:r>
      <w:r>
        <w:rPr>
          <w:rFonts w:hint="eastAsia"/>
          <w:color w:val="auto"/>
          <w:sz w:val="24"/>
          <w:highlight w:val="none"/>
          <w:u w:val="single"/>
        </w:rPr>
        <w:t xml:space="preserve">    </w:t>
      </w:r>
      <w:r>
        <w:rPr>
          <w:rFonts w:hint="eastAsia"/>
          <w:color w:val="auto"/>
          <w:sz w:val="24"/>
          <w:highlight w:val="none"/>
        </w:rPr>
        <w:t>日</w:t>
      </w:r>
    </w:p>
    <w:p w14:paraId="7CFD3F47">
      <w:pPr>
        <w:rPr>
          <w:rFonts w:ascii="宋体" w:eastAsia="宋体"/>
          <w:b/>
          <w:color w:val="auto"/>
          <w:sz w:val="36"/>
          <w:highlight w:val="none"/>
        </w:rPr>
      </w:pPr>
      <w:r>
        <w:rPr>
          <w:rFonts w:hint="eastAsia" w:ascii="宋体" w:eastAsia="宋体"/>
          <w:b/>
          <w:color w:val="auto"/>
          <w:sz w:val="36"/>
          <w:highlight w:val="none"/>
        </w:rPr>
        <w:br w:type="page"/>
      </w:r>
    </w:p>
    <w:p w14:paraId="1A719216">
      <w:pPr>
        <w:spacing w:line="360" w:lineRule="auto"/>
        <w:ind w:right="182"/>
        <w:jc w:val="center"/>
        <w:rPr>
          <w:b/>
          <w:color w:val="auto"/>
          <w:sz w:val="44"/>
          <w:highlight w:val="none"/>
        </w:rPr>
      </w:pPr>
      <w:bookmarkStart w:id="38" w:name="一、投标函"/>
      <w:bookmarkEnd w:id="38"/>
      <w:r>
        <w:rPr>
          <w:b/>
          <w:color w:val="auto"/>
          <w:sz w:val="44"/>
          <w:highlight w:val="none"/>
        </w:rPr>
        <w:t>目  录</w:t>
      </w:r>
    </w:p>
    <w:p w14:paraId="11FE233F">
      <w:pPr>
        <w:pStyle w:val="7"/>
        <w:spacing w:line="360" w:lineRule="auto"/>
        <w:rPr>
          <w:b/>
          <w:color w:val="auto"/>
          <w:szCs w:val="11"/>
          <w:highlight w:val="none"/>
        </w:rPr>
      </w:pPr>
    </w:p>
    <w:p w14:paraId="5D9AE5C7">
      <w:pPr>
        <w:spacing w:line="480" w:lineRule="auto"/>
        <w:rPr>
          <w:color w:val="auto"/>
          <w:sz w:val="28"/>
          <w:szCs w:val="28"/>
          <w:highlight w:val="none"/>
        </w:rPr>
      </w:pPr>
      <w:r>
        <w:rPr>
          <w:color w:val="auto"/>
          <w:sz w:val="28"/>
          <w:szCs w:val="28"/>
          <w:highlight w:val="none"/>
        </w:rPr>
        <w:t>一、投标函</w:t>
      </w:r>
    </w:p>
    <w:p w14:paraId="1A6DDE7C">
      <w:pPr>
        <w:spacing w:line="480" w:lineRule="auto"/>
        <w:rPr>
          <w:color w:val="auto"/>
          <w:sz w:val="28"/>
          <w:szCs w:val="28"/>
          <w:highlight w:val="none"/>
        </w:rPr>
      </w:pPr>
      <w:r>
        <w:rPr>
          <w:color w:val="auto"/>
          <w:sz w:val="28"/>
          <w:szCs w:val="28"/>
          <w:highlight w:val="none"/>
        </w:rPr>
        <w:t>二、法定代表人身份证明书</w:t>
      </w:r>
    </w:p>
    <w:p w14:paraId="6F3476D1">
      <w:pPr>
        <w:spacing w:line="480" w:lineRule="auto"/>
        <w:rPr>
          <w:color w:val="auto"/>
          <w:sz w:val="28"/>
          <w:szCs w:val="28"/>
          <w:highlight w:val="none"/>
        </w:rPr>
      </w:pPr>
      <w:r>
        <w:rPr>
          <w:rFonts w:hint="eastAsia"/>
          <w:color w:val="auto"/>
          <w:sz w:val="28"/>
          <w:szCs w:val="28"/>
          <w:highlight w:val="none"/>
        </w:rPr>
        <w:t>三、资格证明材料</w:t>
      </w:r>
    </w:p>
    <w:p w14:paraId="03FCF0B3">
      <w:pPr>
        <w:spacing w:line="480" w:lineRule="auto"/>
        <w:rPr>
          <w:color w:val="auto"/>
          <w:sz w:val="28"/>
          <w:szCs w:val="28"/>
          <w:highlight w:val="none"/>
        </w:rPr>
      </w:pPr>
      <w:r>
        <w:rPr>
          <w:rFonts w:hint="eastAsia"/>
          <w:color w:val="auto"/>
          <w:sz w:val="28"/>
          <w:szCs w:val="28"/>
          <w:highlight w:val="none"/>
        </w:rPr>
        <w:t>四</w:t>
      </w:r>
      <w:r>
        <w:rPr>
          <w:color w:val="auto"/>
          <w:sz w:val="28"/>
          <w:szCs w:val="28"/>
          <w:highlight w:val="none"/>
        </w:rPr>
        <w:t>、投标报价表格</w:t>
      </w:r>
    </w:p>
    <w:p w14:paraId="19AAB89B">
      <w:pPr>
        <w:spacing w:line="480" w:lineRule="auto"/>
        <w:rPr>
          <w:color w:val="auto"/>
          <w:sz w:val="28"/>
          <w:szCs w:val="28"/>
          <w:highlight w:val="none"/>
        </w:rPr>
      </w:pPr>
      <w:r>
        <w:rPr>
          <w:rFonts w:hint="eastAsia"/>
          <w:color w:val="auto"/>
          <w:sz w:val="28"/>
          <w:szCs w:val="28"/>
          <w:highlight w:val="none"/>
        </w:rPr>
        <w:t>1.</w:t>
      </w:r>
      <w:r>
        <w:rPr>
          <w:color w:val="auto"/>
          <w:sz w:val="28"/>
          <w:szCs w:val="28"/>
          <w:highlight w:val="none"/>
        </w:rPr>
        <w:t>投标主要内容汇总表</w:t>
      </w:r>
    </w:p>
    <w:p w14:paraId="4578C0EA">
      <w:pPr>
        <w:spacing w:line="480" w:lineRule="auto"/>
        <w:rPr>
          <w:color w:val="auto"/>
          <w:sz w:val="28"/>
          <w:szCs w:val="28"/>
          <w:highlight w:val="none"/>
        </w:rPr>
      </w:pPr>
      <w:r>
        <w:rPr>
          <w:rFonts w:hint="eastAsia"/>
          <w:color w:val="auto"/>
          <w:sz w:val="28"/>
          <w:szCs w:val="28"/>
          <w:highlight w:val="none"/>
        </w:rPr>
        <w:t>2.</w:t>
      </w:r>
      <w:r>
        <w:rPr>
          <w:color w:val="auto"/>
          <w:sz w:val="28"/>
          <w:szCs w:val="28"/>
          <w:highlight w:val="none"/>
        </w:rPr>
        <w:t>投标分项报价表</w:t>
      </w:r>
    </w:p>
    <w:p w14:paraId="448DAA19">
      <w:pPr>
        <w:spacing w:line="480" w:lineRule="auto"/>
        <w:rPr>
          <w:color w:val="auto"/>
          <w:sz w:val="28"/>
          <w:szCs w:val="28"/>
          <w:highlight w:val="none"/>
        </w:rPr>
      </w:pPr>
      <w:r>
        <w:rPr>
          <w:rFonts w:hint="eastAsia"/>
          <w:color w:val="auto"/>
          <w:sz w:val="28"/>
          <w:szCs w:val="28"/>
          <w:highlight w:val="none"/>
        </w:rPr>
        <w:t>五</w:t>
      </w:r>
      <w:r>
        <w:rPr>
          <w:color w:val="auto"/>
          <w:sz w:val="28"/>
          <w:szCs w:val="28"/>
          <w:highlight w:val="none"/>
        </w:rPr>
        <w:t>、商务条款偏离表</w:t>
      </w:r>
    </w:p>
    <w:p w14:paraId="09C359CD">
      <w:pPr>
        <w:spacing w:line="480" w:lineRule="auto"/>
        <w:rPr>
          <w:color w:val="auto"/>
          <w:sz w:val="28"/>
          <w:szCs w:val="28"/>
          <w:highlight w:val="none"/>
        </w:rPr>
      </w:pPr>
      <w:r>
        <w:rPr>
          <w:rFonts w:hint="eastAsia"/>
          <w:color w:val="auto"/>
          <w:sz w:val="28"/>
          <w:szCs w:val="28"/>
          <w:highlight w:val="none"/>
        </w:rPr>
        <w:t>六</w:t>
      </w:r>
      <w:r>
        <w:rPr>
          <w:color w:val="auto"/>
          <w:sz w:val="28"/>
          <w:szCs w:val="28"/>
          <w:highlight w:val="none"/>
        </w:rPr>
        <w:t xml:space="preserve">、技术规格偏离表 </w:t>
      </w:r>
    </w:p>
    <w:p w14:paraId="2658C359">
      <w:pPr>
        <w:spacing w:line="480" w:lineRule="auto"/>
        <w:rPr>
          <w:color w:val="auto"/>
          <w:sz w:val="28"/>
          <w:szCs w:val="28"/>
          <w:highlight w:val="none"/>
        </w:rPr>
      </w:pPr>
      <w:r>
        <w:rPr>
          <w:rFonts w:hint="eastAsia"/>
          <w:color w:val="auto"/>
          <w:sz w:val="28"/>
          <w:szCs w:val="28"/>
          <w:highlight w:val="none"/>
        </w:rPr>
        <w:t>七</w:t>
      </w:r>
      <w:r>
        <w:rPr>
          <w:color w:val="auto"/>
          <w:sz w:val="28"/>
          <w:szCs w:val="28"/>
          <w:highlight w:val="none"/>
        </w:rPr>
        <w:t>、</w:t>
      </w:r>
      <w:r>
        <w:rPr>
          <w:rFonts w:hint="eastAsia"/>
          <w:color w:val="auto"/>
          <w:sz w:val="28"/>
          <w:szCs w:val="28"/>
          <w:highlight w:val="none"/>
        </w:rPr>
        <w:t>评审材料</w:t>
      </w:r>
    </w:p>
    <w:p w14:paraId="364AF7D0">
      <w:pPr>
        <w:spacing w:line="480" w:lineRule="auto"/>
        <w:rPr>
          <w:color w:val="auto"/>
          <w:sz w:val="28"/>
          <w:szCs w:val="28"/>
          <w:highlight w:val="none"/>
        </w:rPr>
      </w:pPr>
      <w:r>
        <w:rPr>
          <w:rFonts w:hint="eastAsia"/>
          <w:color w:val="auto"/>
          <w:sz w:val="28"/>
          <w:szCs w:val="28"/>
          <w:highlight w:val="none"/>
        </w:rPr>
        <w:t>八</w:t>
      </w:r>
      <w:r>
        <w:rPr>
          <w:color w:val="auto"/>
          <w:sz w:val="28"/>
          <w:szCs w:val="28"/>
          <w:highlight w:val="none"/>
        </w:rPr>
        <w:t>、中小企业扶持</w:t>
      </w:r>
    </w:p>
    <w:p w14:paraId="7511AF2A">
      <w:pPr>
        <w:spacing w:line="480" w:lineRule="auto"/>
        <w:rPr>
          <w:color w:val="auto"/>
          <w:sz w:val="28"/>
          <w:szCs w:val="28"/>
          <w:highlight w:val="none"/>
        </w:rPr>
      </w:pPr>
      <w:r>
        <w:rPr>
          <w:rFonts w:hint="eastAsia"/>
          <w:color w:val="auto"/>
          <w:sz w:val="28"/>
          <w:szCs w:val="28"/>
          <w:highlight w:val="none"/>
        </w:rPr>
        <w:t>九</w:t>
      </w:r>
      <w:r>
        <w:rPr>
          <w:color w:val="auto"/>
          <w:sz w:val="28"/>
          <w:szCs w:val="28"/>
          <w:highlight w:val="none"/>
        </w:rPr>
        <w:t>、商品包装和快递包装承诺书</w:t>
      </w:r>
    </w:p>
    <w:p w14:paraId="4279DED6">
      <w:pPr>
        <w:spacing w:line="480" w:lineRule="auto"/>
        <w:rPr>
          <w:color w:val="auto"/>
          <w:sz w:val="28"/>
          <w:szCs w:val="28"/>
          <w:highlight w:val="none"/>
        </w:rPr>
      </w:pPr>
      <w:r>
        <w:rPr>
          <w:rFonts w:hint="eastAsia"/>
          <w:color w:val="auto"/>
          <w:sz w:val="28"/>
          <w:szCs w:val="28"/>
          <w:highlight w:val="none"/>
        </w:rPr>
        <w:t>十</w:t>
      </w:r>
      <w:r>
        <w:rPr>
          <w:color w:val="auto"/>
          <w:sz w:val="28"/>
          <w:szCs w:val="28"/>
          <w:highlight w:val="none"/>
        </w:rPr>
        <w:t>、产品适用政府采购政策情况表（节能、环保）</w:t>
      </w:r>
    </w:p>
    <w:p w14:paraId="586685E4">
      <w:pPr>
        <w:spacing w:line="480" w:lineRule="auto"/>
        <w:rPr>
          <w:color w:val="auto"/>
          <w:sz w:val="28"/>
          <w:szCs w:val="28"/>
          <w:highlight w:val="none"/>
        </w:rPr>
      </w:pPr>
      <w:r>
        <w:rPr>
          <w:rFonts w:hint="eastAsia"/>
          <w:color w:val="auto"/>
          <w:sz w:val="28"/>
          <w:szCs w:val="28"/>
          <w:highlight w:val="none"/>
        </w:rPr>
        <w:t>十一、关于符合本国产品标准的声明函</w:t>
      </w:r>
    </w:p>
    <w:p w14:paraId="702B66F9">
      <w:pPr>
        <w:spacing w:line="480" w:lineRule="auto"/>
        <w:rPr>
          <w:color w:val="auto"/>
          <w:highlight w:val="none"/>
        </w:rPr>
      </w:pPr>
      <w:r>
        <w:rPr>
          <w:color w:val="auto"/>
          <w:sz w:val="28"/>
          <w:szCs w:val="28"/>
          <w:highlight w:val="none"/>
        </w:rPr>
        <w:t>十</w:t>
      </w:r>
      <w:r>
        <w:rPr>
          <w:rFonts w:hint="eastAsia"/>
          <w:color w:val="auto"/>
          <w:sz w:val="28"/>
          <w:szCs w:val="28"/>
          <w:highlight w:val="none"/>
        </w:rPr>
        <w:t>二</w:t>
      </w:r>
      <w:r>
        <w:rPr>
          <w:color w:val="auto"/>
          <w:sz w:val="28"/>
          <w:szCs w:val="28"/>
          <w:highlight w:val="none"/>
        </w:rPr>
        <w:t>、其他文件</w:t>
      </w:r>
    </w:p>
    <w:p w14:paraId="4C1A54EB">
      <w:pPr>
        <w:spacing w:line="360" w:lineRule="auto"/>
        <w:ind w:left="1669" w:right="1848"/>
        <w:jc w:val="center"/>
        <w:rPr>
          <w:rFonts w:ascii="宋体" w:eastAsia="宋体"/>
          <w:b/>
          <w:color w:val="auto"/>
          <w:sz w:val="32"/>
          <w:highlight w:val="none"/>
        </w:rPr>
      </w:pPr>
    </w:p>
    <w:p w14:paraId="29389BF5">
      <w:pPr>
        <w:spacing w:line="360" w:lineRule="auto"/>
        <w:ind w:left="1669" w:right="1848"/>
        <w:jc w:val="center"/>
        <w:rPr>
          <w:rFonts w:ascii="宋体" w:eastAsia="宋体"/>
          <w:b/>
          <w:color w:val="auto"/>
          <w:sz w:val="32"/>
          <w:highlight w:val="none"/>
        </w:rPr>
      </w:pPr>
    </w:p>
    <w:p w14:paraId="7BC3BEA5">
      <w:pPr>
        <w:spacing w:line="360" w:lineRule="auto"/>
        <w:ind w:left="1669" w:right="1848"/>
        <w:jc w:val="center"/>
        <w:rPr>
          <w:rFonts w:ascii="宋体" w:eastAsia="宋体"/>
          <w:b/>
          <w:color w:val="auto"/>
          <w:sz w:val="32"/>
          <w:highlight w:val="none"/>
        </w:rPr>
      </w:pPr>
    </w:p>
    <w:p w14:paraId="1F75CC6F">
      <w:pPr>
        <w:rPr>
          <w:rFonts w:ascii="宋体" w:eastAsia="宋体"/>
          <w:b/>
          <w:color w:val="auto"/>
          <w:sz w:val="32"/>
          <w:highlight w:val="none"/>
        </w:rPr>
      </w:pPr>
      <w:r>
        <w:rPr>
          <w:rFonts w:hint="eastAsia" w:ascii="宋体" w:eastAsia="宋体"/>
          <w:b/>
          <w:color w:val="auto"/>
          <w:sz w:val="32"/>
          <w:highlight w:val="none"/>
        </w:rPr>
        <w:br w:type="page"/>
      </w:r>
    </w:p>
    <w:p w14:paraId="053087FC">
      <w:pPr>
        <w:spacing w:line="360" w:lineRule="auto"/>
        <w:ind w:left="1669" w:right="1848"/>
        <w:jc w:val="center"/>
        <w:rPr>
          <w:rFonts w:ascii="黑体" w:eastAsia="黑体"/>
          <w:b/>
          <w:color w:val="auto"/>
          <w:sz w:val="32"/>
          <w:szCs w:val="32"/>
          <w:highlight w:val="none"/>
        </w:rPr>
      </w:pPr>
      <w:r>
        <w:rPr>
          <w:rFonts w:hint="eastAsia" w:ascii="宋体" w:eastAsia="宋体"/>
          <w:b/>
          <w:color w:val="auto"/>
          <w:sz w:val="32"/>
          <w:szCs w:val="32"/>
          <w:highlight w:val="none"/>
        </w:rPr>
        <w:t>一、</w:t>
      </w:r>
      <w:r>
        <w:rPr>
          <w:rFonts w:hint="eastAsia" w:ascii="黑体" w:eastAsia="黑体"/>
          <w:b/>
          <w:color w:val="auto"/>
          <w:sz w:val="32"/>
          <w:szCs w:val="32"/>
          <w:highlight w:val="none"/>
        </w:rPr>
        <w:t>投标函</w:t>
      </w:r>
    </w:p>
    <w:p w14:paraId="31DD70DD">
      <w:pPr>
        <w:pStyle w:val="7"/>
        <w:tabs>
          <w:tab w:val="left" w:pos="1836"/>
        </w:tabs>
        <w:spacing w:line="360" w:lineRule="auto"/>
        <w:ind w:firstLine="560" w:firstLineChars="200"/>
        <w:jc w:val="both"/>
        <w:rPr>
          <w:color w:val="auto"/>
          <w:highlight w:val="none"/>
        </w:rPr>
      </w:pPr>
      <w:r>
        <w:rPr>
          <w:color w:val="auto"/>
          <w:highlight w:val="none"/>
        </w:rPr>
        <w:t>致：</w:t>
      </w:r>
      <w:r>
        <w:rPr>
          <w:rFonts w:hint="eastAsia"/>
          <w:color w:val="auto"/>
          <w:highlight w:val="none"/>
        </w:rPr>
        <w:t>（</w:t>
      </w:r>
      <w:r>
        <w:rPr>
          <w:color w:val="auto"/>
          <w:highlight w:val="none"/>
          <w:u w:val="single"/>
        </w:rPr>
        <w:t xml:space="preserve">采购人）  </w:t>
      </w:r>
    </w:p>
    <w:p w14:paraId="173FAF78">
      <w:pPr>
        <w:pStyle w:val="7"/>
        <w:tabs>
          <w:tab w:val="left" w:pos="3437"/>
          <w:tab w:val="left" w:pos="7351"/>
        </w:tabs>
        <w:spacing w:line="360" w:lineRule="auto"/>
        <w:ind w:firstLine="560" w:firstLineChars="200"/>
        <w:jc w:val="both"/>
        <w:rPr>
          <w:color w:val="auto"/>
          <w:highlight w:val="none"/>
        </w:rPr>
      </w:pPr>
      <w:r>
        <w:rPr>
          <w:color w:val="auto"/>
          <w:highlight w:val="none"/>
        </w:rPr>
        <w:t>我们收到了</w:t>
      </w:r>
      <w:r>
        <w:rPr>
          <w:rFonts w:hint="eastAsia" w:ascii="Times New Roman" w:eastAsia="宋体"/>
          <w:color w:val="auto"/>
          <w:highlight w:val="none"/>
          <w:u w:val="single"/>
        </w:rPr>
        <w:t xml:space="preserve">                       </w:t>
      </w:r>
      <w:r>
        <w:rPr>
          <w:color w:val="auto"/>
          <w:highlight w:val="none"/>
        </w:rPr>
        <w:t>项目（豫财招标采购</w:t>
      </w:r>
      <w:r>
        <w:rPr>
          <w:rFonts w:hint="eastAsia"/>
          <w:color w:val="auto"/>
          <w:highlight w:val="none"/>
        </w:rPr>
        <w:t>－</w:t>
      </w:r>
      <w:r>
        <w:rPr>
          <w:color w:val="auto"/>
          <w:highlight w:val="none"/>
        </w:rPr>
        <w:t xml:space="preserve"> </w:t>
      </w:r>
      <w:r>
        <w:rPr>
          <w:rFonts w:hint="eastAsia" w:ascii="Times New Roman" w:eastAsia="宋体"/>
          <w:color w:val="auto"/>
          <w:highlight w:val="none"/>
          <w:u w:val="single"/>
        </w:rPr>
        <w:t xml:space="preserve">                  </w:t>
      </w:r>
      <w:r>
        <w:rPr>
          <w:color w:val="auto"/>
          <w:highlight w:val="none"/>
        </w:rPr>
        <w:t>）的采购文件，经详细研究，我们决定参加该项目的投标活动并按要求提交投标文件。我们郑重声明以下诸点并负法律责任</w:t>
      </w:r>
      <w:r>
        <w:rPr>
          <w:rFonts w:hint="eastAsia"/>
          <w:color w:val="auto"/>
          <w:highlight w:val="none"/>
        </w:rPr>
        <w:t>：</w:t>
      </w:r>
    </w:p>
    <w:p w14:paraId="5CC3B748">
      <w:pPr>
        <w:pStyle w:val="19"/>
        <w:numPr>
          <w:ilvl w:val="0"/>
          <w:numId w:val="19"/>
        </w:numPr>
        <w:spacing w:line="360" w:lineRule="auto"/>
        <w:ind w:left="0" w:firstLine="560" w:firstLineChars="200"/>
        <w:jc w:val="both"/>
        <w:rPr>
          <w:color w:val="auto"/>
          <w:sz w:val="28"/>
          <w:szCs w:val="28"/>
          <w:highlight w:val="none"/>
        </w:rPr>
      </w:pPr>
      <w:r>
        <w:rPr>
          <w:color w:val="auto"/>
          <w:sz w:val="28"/>
          <w:highlight w:val="none"/>
        </w:rPr>
        <w:t>愿按照采购文件中规定的条款和要求，提供完成采购文件规定的全部工作，投标总报价为（大写）</w:t>
      </w:r>
      <w:r>
        <w:rPr>
          <w:rFonts w:hint="eastAsia"/>
          <w:color w:val="auto"/>
          <w:sz w:val="28"/>
          <w:highlight w:val="none"/>
          <w:u w:val="single"/>
        </w:rPr>
        <w:t xml:space="preserve">                       </w:t>
      </w:r>
      <w:r>
        <w:rPr>
          <w:color w:val="auto"/>
          <w:sz w:val="28"/>
          <w:highlight w:val="none"/>
        </w:rPr>
        <w:t>元人民币，（小写）：</w:t>
      </w:r>
      <w:r>
        <w:rPr>
          <w:rFonts w:hint="eastAsia"/>
          <w:color w:val="auto"/>
          <w:sz w:val="28"/>
          <w:highlight w:val="none"/>
          <w:u w:val="single"/>
        </w:rPr>
        <w:t xml:space="preserve">           </w:t>
      </w:r>
      <w:r>
        <w:rPr>
          <w:color w:val="auto"/>
          <w:sz w:val="28"/>
          <w:highlight w:val="none"/>
        </w:rPr>
        <w:t>元），投标有效期</w:t>
      </w:r>
      <w:r>
        <w:rPr>
          <w:rFonts w:hint="eastAsia"/>
          <w:color w:val="auto"/>
          <w:sz w:val="28"/>
          <w:highlight w:val="none"/>
          <w:u w:val="single"/>
        </w:rPr>
        <w:t xml:space="preserve">             </w:t>
      </w:r>
      <w:r>
        <w:rPr>
          <w:color w:val="auto"/>
          <w:sz w:val="28"/>
          <w:highlight w:val="none"/>
        </w:rPr>
        <w:t>天。</w:t>
      </w:r>
    </w:p>
    <w:p w14:paraId="5B5B3819">
      <w:pPr>
        <w:pStyle w:val="19"/>
        <w:numPr>
          <w:ilvl w:val="0"/>
          <w:numId w:val="19"/>
        </w:numPr>
        <w:spacing w:line="360" w:lineRule="auto"/>
        <w:ind w:left="0" w:firstLine="560" w:firstLineChars="200"/>
        <w:jc w:val="both"/>
        <w:rPr>
          <w:color w:val="auto"/>
          <w:sz w:val="28"/>
          <w:highlight w:val="none"/>
        </w:rPr>
      </w:pPr>
      <w:r>
        <w:rPr>
          <w:color w:val="auto"/>
          <w:sz w:val="28"/>
          <w:highlight w:val="none"/>
        </w:rPr>
        <w:t>如果我们的投标文件被接受，我们将履行招标文件中规定的各项要求。</w:t>
      </w:r>
    </w:p>
    <w:p w14:paraId="5583EE73">
      <w:pPr>
        <w:pStyle w:val="19"/>
        <w:numPr>
          <w:ilvl w:val="0"/>
          <w:numId w:val="19"/>
        </w:numPr>
        <w:spacing w:line="360" w:lineRule="auto"/>
        <w:ind w:left="0" w:firstLine="560" w:firstLineChars="200"/>
        <w:jc w:val="both"/>
        <w:rPr>
          <w:color w:val="auto"/>
          <w:sz w:val="28"/>
          <w:highlight w:val="none"/>
        </w:rPr>
      </w:pPr>
      <w:r>
        <w:rPr>
          <w:color w:val="auto"/>
          <w:sz w:val="28"/>
          <w:highlight w:val="none"/>
        </w:rPr>
        <w:t>我们同意本招标文件中有关投标有效期的规定。如果中标，有效期延长至合同终止日止。</w:t>
      </w:r>
    </w:p>
    <w:p w14:paraId="415F83AD">
      <w:pPr>
        <w:pStyle w:val="19"/>
        <w:numPr>
          <w:ilvl w:val="0"/>
          <w:numId w:val="19"/>
        </w:numPr>
        <w:spacing w:line="360" w:lineRule="auto"/>
        <w:ind w:left="0" w:firstLine="560" w:firstLineChars="200"/>
        <w:jc w:val="both"/>
        <w:rPr>
          <w:color w:val="auto"/>
          <w:sz w:val="28"/>
          <w:highlight w:val="none"/>
        </w:rPr>
      </w:pPr>
      <w:r>
        <w:rPr>
          <w:color w:val="auto"/>
          <w:sz w:val="28"/>
          <w:highlight w:val="none"/>
        </w:rPr>
        <w:t>我们愿提供招标文件中要求的所有文件资料。</w:t>
      </w:r>
    </w:p>
    <w:p w14:paraId="084B4BC8">
      <w:pPr>
        <w:pStyle w:val="19"/>
        <w:numPr>
          <w:ilvl w:val="0"/>
          <w:numId w:val="19"/>
        </w:numPr>
        <w:spacing w:line="360" w:lineRule="auto"/>
        <w:ind w:left="0" w:firstLine="560" w:firstLineChars="200"/>
        <w:jc w:val="both"/>
        <w:rPr>
          <w:color w:val="auto"/>
          <w:sz w:val="28"/>
          <w:highlight w:val="none"/>
        </w:rPr>
      </w:pPr>
      <w:r>
        <w:rPr>
          <w:color w:val="auto"/>
          <w:sz w:val="28"/>
          <w:highlight w:val="none"/>
        </w:rPr>
        <w:t>我们已经详细审核了全部采购文件，如有需要澄清的问题，我们同意按采购文件规定的时间向采购人提出。逾期不提，我公司同意放弃对这方面有不明及误解的权利。</w:t>
      </w:r>
    </w:p>
    <w:p w14:paraId="4BA6F985">
      <w:pPr>
        <w:pStyle w:val="19"/>
        <w:numPr>
          <w:ilvl w:val="0"/>
          <w:numId w:val="19"/>
        </w:numPr>
        <w:spacing w:line="360" w:lineRule="auto"/>
        <w:ind w:left="0" w:firstLine="560" w:firstLineChars="200"/>
        <w:jc w:val="both"/>
        <w:rPr>
          <w:color w:val="auto"/>
          <w:sz w:val="28"/>
          <w:highlight w:val="none"/>
        </w:rPr>
      </w:pPr>
      <w:r>
        <w:rPr>
          <w:color w:val="auto"/>
          <w:sz w:val="28"/>
          <w:highlight w:val="none"/>
        </w:rPr>
        <w:t>我们承诺，与采购人聘请的为此项目提供咨询服务及任何附属机构均无关联，非采购人的附属机构。</w:t>
      </w:r>
    </w:p>
    <w:p w14:paraId="5FBF3031">
      <w:pPr>
        <w:pStyle w:val="19"/>
        <w:numPr>
          <w:ilvl w:val="0"/>
          <w:numId w:val="19"/>
        </w:numPr>
        <w:spacing w:line="360" w:lineRule="auto"/>
        <w:ind w:left="0" w:firstLine="560" w:firstLineChars="200"/>
        <w:jc w:val="both"/>
        <w:rPr>
          <w:color w:val="auto"/>
          <w:sz w:val="28"/>
          <w:highlight w:val="none"/>
        </w:rPr>
      </w:pPr>
      <w:r>
        <w:rPr>
          <w:color w:val="auto"/>
          <w:sz w:val="28"/>
          <w:highlight w:val="none"/>
        </w:rPr>
        <w:t>我公司同意提供按照采购人可能要求的与其投标有关的一切数据或资料，完全理解采购人不一定接受最低价的投标或收到的任何投标。</w:t>
      </w:r>
    </w:p>
    <w:p w14:paraId="44A8AF94">
      <w:pPr>
        <w:pStyle w:val="19"/>
        <w:numPr>
          <w:ilvl w:val="0"/>
          <w:numId w:val="19"/>
        </w:numPr>
        <w:spacing w:line="360" w:lineRule="auto"/>
        <w:ind w:left="0" w:firstLine="560" w:firstLineChars="200"/>
        <w:jc w:val="both"/>
        <w:rPr>
          <w:color w:val="auto"/>
          <w:sz w:val="28"/>
          <w:highlight w:val="none"/>
        </w:rPr>
      </w:pPr>
      <w:r>
        <w:rPr>
          <w:color w:val="auto"/>
          <w:sz w:val="28"/>
          <w:highlight w:val="none"/>
        </w:rPr>
        <w:t>如果我们的投标文件被接受，我们将按招标文件的规定签订并严格履行合同中的责任和义务。</w:t>
      </w:r>
    </w:p>
    <w:p w14:paraId="2A167A4E">
      <w:pPr>
        <w:pStyle w:val="19"/>
        <w:numPr>
          <w:ilvl w:val="0"/>
          <w:numId w:val="19"/>
        </w:numPr>
        <w:spacing w:line="360" w:lineRule="auto"/>
        <w:ind w:left="0" w:firstLine="560" w:firstLineChars="200"/>
        <w:rPr>
          <w:color w:val="auto"/>
          <w:sz w:val="28"/>
          <w:szCs w:val="28"/>
          <w:highlight w:val="none"/>
        </w:rPr>
      </w:pPr>
      <w:r>
        <w:rPr>
          <w:color w:val="auto"/>
          <w:sz w:val="28"/>
          <w:highlight w:val="none"/>
        </w:rPr>
        <w:t>我公司公平竞争参加本次招标活动。杜绝任何</w:t>
      </w:r>
      <w:r>
        <w:rPr>
          <w:color w:val="auto"/>
          <w:sz w:val="28"/>
          <w:szCs w:val="28"/>
          <w:highlight w:val="none"/>
        </w:rPr>
        <w:t>形式的商业贿赂行为。不向国家工作人员、政府采购代理机构工作人员、评审专家</w:t>
      </w:r>
      <w:bookmarkStart w:id="39" w:name="二、法定代表人身份证明书"/>
      <w:bookmarkEnd w:id="39"/>
      <w:r>
        <w:rPr>
          <w:color w:val="auto"/>
          <w:sz w:val="28"/>
          <w:szCs w:val="28"/>
          <w:highlight w:val="none"/>
        </w:rPr>
        <w:t>及其亲属提供礼品礼金、有价证券、购物券、回扣、佣金、咨询费、劳务费、赞助费、宣传费、宴请；不为其报销各种消费凭证，不支付其旅游、娱乐等费用。</w:t>
      </w:r>
    </w:p>
    <w:p w14:paraId="3B5EC985">
      <w:pPr>
        <w:pStyle w:val="19"/>
        <w:numPr>
          <w:ilvl w:val="0"/>
          <w:numId w:val="19"/>
        </w:numPr>
        <w:spacing w:line="360" w:lineRule="auto"/>
        <w:ind w:left="0" w:firstLine="560" w:firstLineChars="200"/>
        <w:rPr>
          <w:color w:val="auto"/>
          <w:sz w:val="28"/>
          <w:highlight w:val="none"/>
        </w:rPr>
      </w:pPr>
      <w:r>
        <w:rPr>
          <w:color w:val="auto"/>
          <w:sz w:val="28"/>
          <w:highlight w:val="none"/>
        </w:rPr>
        <w:t>我公司独立参加投标，未组成联合体参加投标。</w:t>
      </w:r>
    </w:p>
    <w:p w14:paraId="3E65BC39">
      <w:pPr>
        <w:pStyle w:val="19"/>
        <w:numPr>
          <w:ilvl w:val="0"/>
          <w:numId w:val="19"/>
        </w:numPr>
        <w:spacing w:line="360" w:lineRule="auto"/>
        <w:ind w:left="0" w:firstLine="560" w:firstLineChars="200"/>
        <w:jc w:val="both"/>
        <w:rPr>
          <w:color w:val="auto"/>
          <w:sz w:val="28"/>
          <w:highlight w:val="none"/>
        </w:rPr>
      </w:pPr>
      <w:r>
        <w:rPr>
          <w:color w:val="auto"/>
          <w:sz w:val="28"/>
          <w:highlight w:val="none"/>
        </w:rPr>
        <w:t>除不可抗力外，我公司如果发生以下行为，将在行为发生的10 个工作日内，向贵方支付本招标文件公布的</w:t>
      </w:r>
      <w:r>
        <w:rPr>
          <w:color w:val="auto"/>
          <w:sz w:val="28"/>
          <w:highlight w:val="none"/>
          <w:u w:val="single"/>
        </w:rPr>
        <w:t>最高限价的2%</w:t>
      </w:r>
      <w:r>
        <w:rPr>
          <w:color w:val="auto"/>
          <w:sz w:val="28"/>
          <w:highlight w:val="none"/>
        </w:rPr>
        <w:t>作为违约赔偿金。</w:t>
      </w:r>
    </w:p>
    <w:p w14:paraId="5FF2A66E">
      <w:pPr>
        <w:pStyle w:val="7"/>
        <w:spacing w:line="360" w:lineRule="auto"/>
        <w:ind w:firstLine="560" w:firstLineChars="200"/>
        <w:rPr>
          <w:color w:val="auto"/>
          <w:highlight w:val="none"/>
        </w:rPr>
      </w:pPr>
      <w:r>
        <w:rPr>
          <w:color w:val="auto"/>
          <w:highlight w:val="none"/>
        </w:rPr>
        <w:t>①在招标文件规定的投标有效期内实质上修改或撤回投标；</w:t>
      </w:r>
    </w:p>
    <w:p w14:paraId="7AE7ADFD">
      <w:pPr>
        <w:pStyle w:val="7"/>
        <w:spacing w:line="360" w:lineRule="auto"/>
        <w:ind w:firstLine="560" w:firstLineChars="200"/>
        <w:rPr>
          <w:color w:val="auto"/>
          <w:highlight w:val="none"/>
        </w:rPr>
      </w:pPr>
      <w:r>
        <w:rPr>
          <w:color w:val="auto"/>
          <w:highlight w:val="none"/>
        </w:rPr>
        <w:t>②中标后不依法与采购人签订合同；</w:t>
      </w:r>
    </w:p>
    <w:p w14:paraId="250AAF8F">
      <w:pPr>
        <w:pStyle w:val="7"/>
        <w:spacing w:line="360" w:lineRule="auto"/>
        <w:ind w:firstLine="560" w:firstLineChars="200"/>
        <w:rPr>
          <w:color w:val="auto"/>
          <w:highlight w:val="none"/>
        </w:rPr>
      </w:pPr>
      <w:r>
        <w:rPr>
          <w:color w:val="auto"/>
          <w:highlight w:val="none"/>
        </w:rPr>
        <w:t>③在投标文件中提供虚假材料。</w:t>
      </w:r>
    </w:p>
    <w:p w14:paraId="25FDC31D">
      <w:pPr>
        <w:pStyle w:val="19"/>
        <w:numPr>
          <w:ilvl w:val="0"/>
          <w:numId w:val="19"/>
        </w:numPr>
        <w:spacing w:line="360" w:lineRule="auto"/>
        <w:ind w:left="0" w:firstLine="560" w:firstLineChars="200"/>
        <w:rPr>
          <w:color w:val="auto"/>
          <w:sz w:val="28"/>
          <w:highlight w:val="none"/>
        </w:rPr>
      </w:pPr>
      <w:r>
        <w:rPr>
          <w:color w:val="auto"/>
          <w:sz w:val="28"/>
          <w:highlight w:val="none"/>
        </w:rPr>
        <w:t xml:space="preserve"> </w:t>
      </w:r>
      <w:r>
        <w:rPr>
          <w:rFonts w:hint="eastAsia"/>
          <w:color w:val="auto"/>
          <w:sz w:val="28"/>
          <w:highlight w:val="none"/>
          <w:u w:val="single"/>
        </w:rPr>
        <w:t xml:space="preserve">                        </w:t>
      </w:r>
      <w:r>
        <w:rPr>
          <w:rFonts w:ascii="Times New Roman" w:eastAsia="Times New Roman"/>
          <w:color w:val="auto"/>
          <w:sz w:val="28"/>
          <w:highlight w:val="none"/>
          <w:u w:val="single"/>
        </w:rPr>
        <w:tab/>
      </w:r>
      <w:r>
        <w:rPr>
          <w:color w:val="auto"/>
          <w:sz w:val="28"/>
          <w:highlight w:val="none"/>
        </w:rPr>
        <w:t>（其他补充说明）。</w:t>
      </w:r>
    </w:p>
    <w:p w14:paraId="1332F1ED">
      <w:pPr>
        <w:pStyle w:val="7"/>
        <w:spacing w:line="360" w:lineRule="auto"/>
        <w:ind w:firstLine="600" w:firstLineChars="200"/>
        <w:rPr>
          <w:color w:val="auto"/>
          <w:sz w:val="30"/>
          <w:highlight w:val="none"/>
        </w:rPr>
      </w:pPr>
    </w:p>
    <w:p w14:paraId="2477C207">
      <w:pPr>
        <w:pStyle w:val="7"/>
        <w:spacing w:line="360" w:lineRule="auto"/>
        <w:ind w:firstLine="540" w:firstLineChars="200"/>
        <w:rPr>
          <w:color w:val="auto"/>
          <w:sz w:val="27"/>
          <w:highlight w:val="none"/>
        </w:rPr>
      </w:pPr>
    </w:p>
    <w:p w14:paraId="215B5179">
      <w:pPr>
        <w:pStyle w:val="7"/>
        <w:spacing w:line="360" w:lineRule="auto"/>
        <w:ind w:firstLine="560" w:firstLineChars="200"/>
        <w:rPr>
          <w:color w:val="auto"/>
          <w:highlight w:val="none"/>
        </w:rPr>
      </w:pPr>
      <w:r>
        <w:rPr>
          <w:color w:val="auto"/>
          <w:highlight w:val="none"/>
        </w:rPr>
        <w:t>与本投标有关的正式通讯地址：</w:t>
      </w:r>
    </w:p>
    <w:p w14:paraId="47515B02">
      <w:pPr>
        <w:pStyle w:val="7"/>
        <w:tabs>
          <w:tab w:val="left" w:pos="4840"/>
        </w:tabs>
        <w:spacing w:line="360" w:lineRule="auto"/>
        <w:ind w:firstLine="560" w:firstLineChars="200"/>
        <w:rPr>
          <w:color w:val="auto"/>
          <w:highlight w:val="none"/>
        </w:rPr>
      </w:pPr>
      <w:r>
        <w:rPr>
          <w:color w:val="auto"/>
          <w:highlight w:val="none"/>
        </w:rPr>
        <w:t>地 址：</w:t>
      </w:r>
      <w:r>
        <w:rPr>
          <w:color w:val="auto"/>
          <w:highlight w:val="none"/>
        </w:rPr>
        <w:tab/>
      </w:r>
      <w:r>
        <w:rPr>
          <w:color w:val="auto"/>
          <w:highlight w:val="none"/>
        </w:rPr>
        <w:t>邮 编：</w:t>
      </w:r>
    </w:p>
    <w:p w14:paraId="171D4394">
      <w:pPr>
        <w:pStyle w:val="7"/>
        <w:tabs>
          <w:tab w:val="left" w:pos="4840"/>
        </w:tabs>
        <w:spacing w:line="360" w:lineRule="auto"/>
        <w:ind w:firstLine="560" w:firstLineChars="200"/>
        <w:rPr>
          <w:color w:val="auto"/>
          <w:highlight w:val="none"/>
        </w:rPr>
      </w:pPr>
      <w:r>
        <w:rPr>
          <w:color w:val="auto"/>
          <w:highlight w:val="none"/>
        </w:rPr>
        <w:t>电 话：</w:t>
      </w:r>
      <w:r>
        <w:rPr>
          <w:color w:val="auto"/>
          <w:highlight w:val="none"/>
        </w:rPr>
        <w:tab/>
      </w:r>
      <w:r>
        <w:rPr>
          <w:color w:val="auto"/>
          <w:highlight w:val="none"/>
        </w:rPr>
        <w:t>电子邮箱：</w:t>
      </w:r>
    </w:p>
    <w:p w14:paraId="58B6552A">
      <w:pPr>
        <w:pStyle w:val="7"/>
        <w:spacing w:line="360" w:lineRule="auto"/>
        <w:ind w:firstLine="560" w:firstLineChars="200"/>
        <w:rPr>
          <w:color w:val="auto"/>
          <w:highlight w:val="none"/>
        </w:rPr>
      </w:pPr>
    </w:p>
    <w:p w14:paraId="65EE0246">
      <w:pPr>
        <w:pStyle w:val="7"/>
        <w:spacing w:line="360" w:lineRule="auto"/>
        <w:ind w:firstLine="580" w:firstLineChars="200"/>
        <w:rPr>
          <w:color w:val="auto"/>
          <w:sz w:val="29"/>
          <w:highlight w:val="none"/>
        </w:rPr>
      </w:pPr>
    </w:p>
    <w:p w14:paraId="76DA2559">
      <w:pPr>
        <w:pStyle w:val="7"/>
        <w:spacing w:line="360" w:lineRule="auto"/>
        <w:ind w:firstLine="560" w:firstLineChars="200"/>
        <w:rPr>
          <w:color w:val="auto"/>
          <w:highlight w:val="none"/>
        </w:rPr>
      </w:pPr>
      <w:r>
        <w:rPr>
          <w:color w:val="auto"/>
          <w:highlight w:val="none"/>
        </w:rPr>
        <w:t>投标人（企业电子签章）：</w:t>
      </w:r>
    </w:p>
    <w:p w14:paraId="29D7B315">
      <w:pPr>
        <w:pStyle w:val="7"/>
        <w:spacing w:line="360" w:lineRule="auto"/>
        <w:ind w:firstLine="560" w:firstLineChars="200"/>
        <w:rPr>
          <w:color w:val="auto"/>
          <w:highlight w:val="none"/>
        </w:rPr>
      </w:pPr>
      <w:r>
        <w:rPr>
          <w:rFonts w:hint="eastAsia"/>
          <w:color w:val="auto"/>
          <w:szCs w:val="21"/>
          <w:highlight w:val="none"/>
        </w:rPr>
        <w:t>法定代表人或其委托代理人（签字或盖章）：</w:t>
      </w:r>
    </w:p>
    <w:p w14:paraId="52FDE7E5">
      <w:pPr>
        <w:pStyle w:val="7"/>
        <w:spacing w:line="360" w:lineRule="auto"/>
        <w:ind w:firstLine="560" w:firstLineChars="200"/>
        <w:rPr>
          <w:color w:val="auto"/>
          <w:highlight w:val="none"/>
        </w:rPr>
      </w:pPr>
    </w:p>
    <w:p w14:paraId="71B63007">
      <w:pPr>
        <w:spacing w:line="360" w:lineRule="auto"/>
        <w:ind w:firstLine="560" w:firstLineChars="200"/>
        <w:jc w:val="right"/>
        <w:rPr>
          <w:color w:val="auto"/>
          <w:sz w:val="28"/>
          <w:szCs w:val="28"/>
          <w:highlight w:val="none"/>
        </w:rPr>
      </w:pPr>
      <w:r>
        <w:rPr>
          <w:color w:val="auto"/>
          <w:sz w:val="28"/>
          <w:szCs w:val="28"/>
          <w:highlight w:val="none"/>
        </w:rPr>
        <w:t>日期：</w:t>
      </w:r>
      <w:r>
        <w:rPr>
          <w:color w:val="auto"/>
          <w:sz w:val="28"/>
          <w:szCs w:val="28"/>
          <w:highlight w:val="none"/>
        </w:rPr>
        <w:tab/>
      </w:r>
      <w:r>
        <w:rPr>
          <w:color w:val="auto"/>
          <w:sz w:val="28"/>
          <w:szCs w:val="28"/>
          <w:highlight w:val="none"/>
        </w:rPr>
        <w:t>年 月 日</w:t>
      </w:r>
    </w:p>
    <w:p w14:paraId="50FD8010">
      <w:pPr>
        <w:rPr>
          <w:rFonts w:ascii="黑体" w:eastAsia="黑体"/>
          <w:color w:val="auto"/>
          <w:highlight w:val="none"/>
        </w:rPr>
      </w:pPr>
      <w:r>
        <w:rPr>
          <w:rFonts w:hint="eastAsia" w:ascii="黑体" w:eastAsia="黑体"/>
          <w:color w:val="auto"/>
          <w:highlight w:val="none"/>
        </w:rPr>
        <w:br w:type="page"/>
      </w:r>
    </w:p>
    <w:p w14:paraId="2826BA09">
      <w:pPr>
        <w:spacing w:line="360" w:lineRule="auto"/>
        <w:ind w:firstLine="643" w:firstLineChars="200"/>
        <w:jc w:val="both"/>
        <w:rPr>
          <w:rFonts w:ascii="宋体" w:eastAsia="宋体"/>
          <w:b/>
          <w:color w:val="auto"/>
          <w:sz w:val="32"/>
          <w:szCs w:val="32"/>
          <w:highlight w:val="none"/>
        </w:rPr>
      </w:pPr>
      <w:r>
        <w:rPr>
          <w:rFonts w:hint="eastAsia" w:ascii="宋体" w:eastAsia="宋体"/>
          <w:b/>
          <w:color w:val="auto"/>
          <w:sz w:val="32"/>
          <w:szCs w:val="32"/>
          <w:highlight w:val="none"/>
        </w:rPr>
        <w:t>二、</w:t>
      </w:r>
      <w:bookmarkStart w:id="40" w:name="_Toc211963777"/>
      <w:bookmarkStart w:id="41" w:name="_Toc15048337"/>
      <w:bookmarkStart w:id="42" w:name="_Toc166561419"/>
      <w:r>
        <w:rPr>
          <w:rFonts w:hint="eastAsia" w:ascii="宋体" w:eastAsia="宋体"/>
          <w:b/>
          <w:color w:val="auto"/>
          <w:sz w:val="32"/>
          <w:szCs w:val="32"/>
          <w:highlight w:val="none"/>
        </w:rPr>
        <w:t>法定代表人（或非法人组织负责人）身份证明书</w:t>
      </w:r>
      <w:bookmarkEnd w:id="40"/>
      <w:bookmarkEnd w:id="41"/>
      <w:bookmarkEnd w:id="42"/>
    </w:p>
    <w:p w14:paraId="70BBA509">
      <w:pPr>
        <w:spacing w:line="360" w:lineRule="auto"/>
        <w:ind w:firstLine="560" w:firstLineChars="200"/>
        <w:jc w:val="both"/>
        <w:rPr>
          <w:rFonts w:ascii="宋体" w:hAnsi="宋体" w:cs="宋体"/>
          <w:color w:val="auto"/>
          <w:sz w:val="28"/>
          <w:szCs w:val="28"/>
          <w:highlight w:val="none"/>
        </w:rPr>
      </w:pPr>
    </w:p>
    <w:p w14:paraId="69B74C31">
      <w:pPr>
        <w:spacing w:line="360" w:lineRule="auto"/>
        <w:ind w:firstLine="560" w:firstLineChars="200"/>
        <w:jc w:val="both"/>
        <w:rPr>
          <w:rFonts w:ascii="宋体" w:hAnsi="宋体"/>
          <w:color w:val="auto"/>
          <w:sz w:val="28"/>
          <w:szCs w:val="28"/>
          <w:highlight w:val="none"/>
        </w:rPr>
      </w:pPr>
      <w:r>
        <w:rPr>
          <w:rFonts w:hint="eastAsia" w:ascii="宋体" w:hAnsi="宋体"/>
          <w:color w:val="auto"/>
          <w:sz w:val="28"/>
          <w:szCs w:val="28"/>
          <w:highlight w:val="none"/>
        </w:rPr>
        <w:t>投标人</w:t>
      </w:r>
      <w:r>
        <w:rPr>
          <w:rFonts w:hint="eastAsia" w:ascii="宋体" w:hAnsi="宋体" w:cs="宋体"/>
          <w:color w:val="auto"/>
          <w:sz w:val="28"/>
          <w:szCs w:val="28"/>
          <w:highlight w:val="none"/>
        </w:rPr>
        <w:t>名称：</w:t>
      </w:r>
      <w:r>
        <w:rPr>
          <w:rFonts w:ascii="宋体" w:hAnsi="宋体" w:cs="宋体"/>
          <w:color w:val="auto"/>
          <w:sz w:val="28"/>
          <w:szCs w:val="28"/>
          <w:highlight w:val="none"/>
          <w:u w:val="single"/>
        </w:rPr>
        <w:t xml:space="preserve">                     </w:t>
      </w:r>
      <w:r>
        <w:rPr>
          <w:rFonts w:hint="eastAsia" w:ascii="宋体" w:hAnsi="宋体" w:cs="宋体"/>
          <w:color w:val="auto"/>
          <w:sz w:val="28"/>
          <w:szCs w:val="28"/>
          <w:highlight w:val="none"/>
        </w:rPr>
        <w:t xml:space="preserve">  单位性质：</w:t>
      </w:r>
      <w:r>
        <w:rPr>
          <w:rFonts w:ascii="宋体" w:hAnsi="宋体" w:cs="宋体"/>
          <w:color w:val="auto"/>
          <w:sz w:val="28"/>
          <w:szCs w:val="28"/>
          <w:highlight w:val="none"/>
          <w:u w:val="single"/>
        </w:rPr>
        <w:t xml:space="preserve">     </w:t>
      </w:r>
      <w:r>
        <w:rPr>
          <w:rFonts w:hint="eastAsia" w:ascii="宋体" w:hAnsi="宋体" w:cs="宋体"/>
          <w:color w:val="auto"/>
          <w:sz w:val="28"/>
          <w:szCs w:val="28"/>
          <w:highlight w:val="none"/>
          <w:u w:val="single"/>
        </w:rPr>
        <w:t xml:space="preserve">   </w:t>
      </w:r>
      <w:r>
        <w:rPr>
          <w:rFonts w:ascii="宋体" w:hAnsi="宋体" w:cs="宋体"/>
          <w:color w:val="auto"/>
          <w:sz w:val="28"/>
          <w:szCs w:val="28"/>
          <w:highlight w:val="none"/>
          <w:u w:val="single"/>
        </w:rPr>
        <w:t xml:space="preserve">   </w:t>
      </w:r>
    </w:p>
    <w:p w14:paraId="37F2F2CE">
      <w:pPr>
        <w:spacing w:line="360" w:lineRule="auto"/>
        <w:ind w:firstLine="560" w:firstLineChars="200"/>
        <w:jc w:val="both"/>
        <w:rPr>
          <w:rFonts w:ascii="宋体" w:hAnsi="宋体"/>
          <w:color w:val="auto"/>
          <w:sz w:val="28"/>
          <w:szCs w:val="28"/>
          <w:highlight w:val="none"/>
        </w:rPr>
      </w:pPr>
      <w:r>
        <w:rPr>
          <w:rFonts w:hint="eastAsia" w:ascii="宋体" w:hAnsi="宋体"/>
          <w:color w:val="auto"/>
          <w:sz w:val="28"/>
          <w:szCs w:val="28"/>
          <w:highlight w:val="none"/>
        </w:rPr>
        <w:t>投标人</w:t>
      </w:r>
      <w:r>
        <w:rPr>
          <w:rFonts w:hint="eastAsia" w:ascii="宋体" w:hAnsi="宋体" w:cs="宋体"/>
          <w:color w:val="auto"/>
          <w:sz w:val="28"/>
          <w:szCs w:val="28"/>
          <w:highlight w:val="none"/>
        </w:rPr>
        <w:t>地址：</w:t>
      </w:r>
      <w:r>
        <w:rPr>
          <w:rFonts w:ascii="宋体" w:hAnsi="宋体" w:cs="宋体"/>
          <w:color w:val="auto"/>
          <w:sz w:val="28"/>
          <w:szCs w:val="28"/>
          <w:highlight w:val="none"/>
          <w:u w:val="single"/>
        </w:rPr>
        <w:t xml:space="preserve">    </w:t>
      </w:r>
      <w:r>
        <w:rPr>
          <w:rFonts w:hint="eastAsia" w:ascii="宋体" w:hAnsi="宋体" w:cs="宋体"/>
          <w:color w:val="auto"/>
          <w:sz w:val="28"/>
          <w:szCs w:val="28"/>
          <w:highlight w:val="none"/>
          <w:u w:val="single"/>
        </w:rPr>
        <w:t xml:space="preserve">                 </w:t>
      </w:r>
      <w:r>
        <w:rPr>
          <w:rFonts w:ascii="宋体" w:hAnsi="宋体" w:cs="宋体"/>
          <w:color w:val="auto"/>
          <w:sz w:val="28"/>
          <w:szCs w:val="28"/>
          <w:highlight w:val="none"/>
          <w:u w:val="single"/>
        </w:rPr>
        <w:t xml:space="preserve">                       </w:t>
      </w:r>
    </w:p>
    <w:p w14:paraId="7E599E1A">
      <w:pPr>
        <w:spacing w:line="360" w:lineRule="auto"/>
        <w:ind w:firstLine="560" w:firstLineChars="200"/>
        <w:jc w:val="both"/>
        <w:rPr>
          <w:rFonts w:ascii="宋体" w:hAnsi="宋体"/>
          <w:color w:val="auto"/>
          <w:sz w:val="28"/>
          <w:szCs w:val="28"/>
          <w:highlight w:val="none"/>
        </w:rPr>
      </w:pPr>
      <w:r>
        <w:rPr>
          <w:rFonts w:hint="eastAsia" w:ascii="宋体" w:hAnsi="宋体" w:cs="宋体"/>
          <w:color w:val="auto"/>
          <w:sz w:val="28"/>
          <w:szCs w:val="28"/>
          <w:highlight w:val="none"/>
        </w:rPr>
        <w:t>成立时间：</w:t>
      </w:r>
      <w:r>
        <w:rPr>
          <w:rFonts w:ascii="宋体" w:hAnsi="宋体" w:cs="宋体"/>
          <w:color w:val="auto"/>
          <w:sz w:val="28"/>
          <w:szCs w:val="28"/>
          <w:highlight w:val="none"/>
          <w:u w:val="single"/>
        </w:rPr>
        <w:t xml:space="preserve">     </w:t>
      </w:r>
      <w:r>
        <w:rPr>
          <w:rFonts w:hint="eastAsia" w:ascii="宋体" w:hAnsi="宋体" w:cs="宋体"/>
          <w:color w:val="auto"/>
          <w:sz w:val="28"/>
          <w:szCs w:val="28"/>
          <w:highlight w:val="none"/>
        </w:rPr>
        <w:t>年</w:t>
      </w:r>
      <w:r>
        <w:rPr>
          <w:rFonts w:ascii="宋体" w:hAnsi="宋体" w:cs="宋体"/>
          <w:color w:val="auto"/>
          <w:sz w:val="28"/>
          <w:szCs w:val="28"/>
          <w:highlight w:val="none"/>
          <w:u w:val="single"/>
        </w:rPr>
        <w:t xml:space="preserve">     </w:t>
      </w:r>
      <w:r>
        <w:rPr>
          <w:rFonts w:hint="eastAsia" w:ascii="宋体" w:hAnsi="宋体" w:cs="宋体"/>
          <w:color w:val="auto"/>
          <w:sz w:val="28"/>
          <w:szCs w:val="28"/>
          <w:highlight w:val="none"/>
        </w:rPr>
        <w:t>月</w:t>
      </w:r>
      <w:r>
        <w:rPr>
          <w:rFonts w:ascii="宋体" w:hAnsi="宋体" w:cs="宋体"/>
          <w:color w:val="auto"/>
          <w:sz w:val="28"/>
          <w:szCs w:val="28"/>
          <w:highlight w:val="none"/>
          <w:u w:val="single"/>
        </w:rPr>
        <w:t xml:space="preserve">     </w:t>
      </w:r>
      <w:r>
        <w:rPr>
          <w:rFonts w:hint="eastAsia" w:ascii="宋体" w:hAnsi="宋体" w:cs="宋体"/>
          <w:color w:val="auto"/>
          <w:sz w:val="28"/>
          <w:szCs w:val="28"/>
          <w:highlight w:val="none"/>
        </w:rPr>
        <w:t>日   经营期限：</w:t>
      </w:r>
      <w:r>
        <w:rPr>
          <w:rFonts w:ascii="宋体" w:hAnsi="宋体" w:cs="宋体"/>
          <w:color w:val="auto"/>
          <w:sz w:val="28"/>
          <w:szCs w:val="28"/>
          <w:highlight w:val="none"/>
          <w:u w:val="single"/>
        </w:rPr>
        <w:t xml:space="preserve">               </w:t>
      </w:r>
    </w:p>
    <w:p w14:paraId="4F134068">
      <w:pPr>
        <w:spacing w:line="360" w:lineRule="auto"/>
        <w:ind w:firstLine="560" w:firstLineChars="200"/>
        <w:jc w:val="both"/>
        <w:rPr>
          <w:rFonts w:ascii="宋体" w:hAnsi="宋体" w:cs="宋体"/>
          <w:color w:val="auto"/>
          <w:sz w:val="28"/>
          <w:szCs w:val="28"/>
          <w:highlight w:val="none"/>
          <w:u w:val="single"/>
        </w:rPr>
      </w:pPr>
      <w:r>
        <w:rPr>
          <w:rFonts w:hint="eastAsia" w:ascii="宋体" w:hAnsi="宋体" w:cs="宋体"/>
          <w:color w:val="auto"/>
          <w:sz w:val="28"/>
          <w:szCs w:val="28"/>
          <w:highlight w:val="none"/>
        </w:rPr>
        <w:t>姓名：</w:t>
      </w:r>
      <w:r>
        <w:rPr>
          <w:rFonts w:ascii="宋体" w:hAnsi="宋体" w:cs="宋体"/>
          <w:color w:val="auto"/>
          <w:sz w:val="28"/>
          <w:szCs w:val="28"/>
          <w:highlight w:val="none"/>
          <w:u w:val="single"/>
        </w:rPr>
        <w:t xml:space="preserve">      </w:t>
      </w:r>
      <w:r>
        <w:rPr>
          <w:rFonts w:hint="eastAsia" w:ascii="宋体" w:hAnsi="宋体" w:cs="宋体"/>
          <w:color w:val="auto"/>
          <w:sz w:val="28"/>
          <w:szCs w:val="28"/>
          <w:highlight w:val="none"/>
          <w:u w:val="single"/>
        </w:rPr>
        <w:t xml:space="preserve"> </w:t>
      </w:r>
      <w:r>
        <w:rPr>
          <w:rFonts w:hint="eastAsia" w:ascii="宋体" w:hAnsi="宋体" w:cs="宋体"/>
          <w:color w:val="auto"/>
          <w:sz w:val="28"/>
          <w:szCs w:val="28"/>
          <w:highlight w:val="none"/>
        </w:rPr>
        <w:t xml:space="preserve">  性别：</w:t>
      </w:r>
      <w:r>
        <w:rPr>
          <w:rFonts w:ascii="宋体" w:hAnsi="宋体" w:cs="宋体"/>
          <w:color w:val="auto"/>
          <w:sz w:val="28"/>
          <w:szCs w:val="28"/>
          <w:highlight w:val="none"/>
          <w:u w:val="single"/>
        </w:rPr>
        <w:t xml:space="preserve">    </w:t>
      </w:r>
      <w:r>
        <w:rPr>
          <w:rFonts w:hint="eastAsia" w:ascii="宋体" w:hAnsi="宋体" w:cs="宋体"/>
          <w:color w:val="auto"/>
          <w:sz w:val="28"/>
          <w:szCs w:val="28"/>
          <w:highlight w:val="none"/>
        </w:rPr>
        <w:t xml:space="preserve"> 年龄：</w:t>
      </w:r>
      <w:r>
        <w:rPr>
          <w:rFonts w:ascii="宋体" w:hAnsi="宋体" w:cs="宋体"/>
          <w:color w:val="auto"/>
          <w:sz w:val="28"/>
          <w:szCs w:val="28"/>
          <w:highlight w:val="none"/>
          <w:u w:val="single"/>
        </w:rPr>
        <w:t xml:space="preserve">   </w:t>
      </w:r>
      <w:r>
        <w:rPr>
          <w:rFonts w:hint="eastAsia" w:ascii="宋体" w:hAnsi="宋体" w:cs="宋体"/>
          <w:color w:val="auto"/>
          <w:sz w:val="28"/>
          <w:szCs w:val="28"/>
          <w:highlight w:val="none"/>
          <w:u w:val="single"/>
        </w:rPr>
        <w:t xml:space="preserve"> </w:t>
      </w:r>
      <w:r>
        <w:rPr>
          <w:rFonts w:ascii="宋体" w:hAnsi="宋体" w:cs="宋体"/>
          <w:color w:val="auto"/>
          <w:sz w:val="28"/>
          <w:szCs w:val="28"/>
          <w:highlight w:val="none"/>
          <w:u w:val="single"/>
        </w:rPr>
        <w:t xml:space="preserve"> </w:t>
      </w:r>
      <w:r>
        <w:rPr>
          <w:rFonts w:hint="eastAsia" w:ascii="宋体" w:hAnsi="宋体" w:cs="宋体"/>
          <w:color w:val="auto"/>
          <w:sz w:val="28"/>
          <w:szCs w:val="28"/>
          <w:highlight w:val="none"/>
        </w:rPr>
        <w:t xml:space="preserve"> 职务：</w:t>
      </w:r>
      <w:r>
        <w:rPr>
          <w:rFonts w:ascii="宋体" w:hAnsi="宋体" w:cs="宋体"/>
          <w:color w:val="auto"/>
          <w:sz w:val="28"/>
          <w:szCs w:val="28"/>
          <w:highlight w:val="none"/>
          <w:u w:val="single"/>
        </w:rPr>
        <w:t xml:space="preserve">  </w:t>
      </w:r>
      <w:r>
        <w:rPr>
          <w:rFonts w:hint="eastAsia" w:ascii="宋体" w:hAnsi="宋体" w:cs="宋体"/>
          <w:color w:val="auto"/>
          <w:sz w:val="28"/>
          <w:szCs w:val="28"/>
          <w:highlight w:val="none"/>
          <w:u w:val="single"/>
        </w:rPr>
        <w:t xml:space="preserve">  </w:t>
      </w:r>
      <w:r>
        <w:rPr>
          <w:rFonts w:ascii="宋体" w:hAnsi="宋体" w:cs="宋体"/>
          <w:color w:val="auto"/>
          <w:sz w:val="28"/>
          <w:szCs w:val="28"/>
          <w:highlight w:val="none"/>
          <w:u w:val="single"/>
        </w:rPr>
        <w:t xml:space="preserve">  </w:t>
      </w:r>
      <w:r>
        <w:rPr>
          <w:rFonts w:hint="eastAsia" w:ascii="宋体" w:hAnsi="宋体" w:cs="宋体"/>
          <w:color w:val="auto"/>
          <w:sz w:val="28"/>
          <w:szCs w:val="28"/>
          <w:highlight w:val="none"/>
        </w:rPr>
        <w:t>系</w:t>
      </w:r>
      <w:r>
        <w:rPr>
          <w:rFonts w:hint="eastAsia" w:ascii="宋体" w:hAnsi="宋体" w:cs="宋体"/>
          <w:color w:val="auto"/>
          <w:sz w:val="28"/>
          <w:szCs w:val="28"/>
          <w:highlight w:val="none"/>
          <w:u w:val="single"/>
        </w:rPr>
        <w:t xml:space="preserve">      </w:t>
      </w:r>
    </w:p>
    <w:p w14:paraId="309AC474">
      <w:pPr>
        <w:spacing w:line="360" w:lineRule="auto"/>
        <w:jc w:val="both"/>
        <w:rPr>
          <w:rFonts w:ascii="宋体" w:hAnsi="宋体"/>
          <w:color w:val="auto"/>
          <w:sz w:val="28"/>
          <w:szCs w:val="28"/>
          <w:highlight w:val="none"/>
        </w:rPr>
      </w:pPr>
      <w:r>
        <w:rPr>
          <w:rFonts w:ascii="宋体" w:hAnsi="宋体" w:cs="宋体"/>
          <w:color w:val="auto"/>
          <w:sz w:val="28"/>
          <w:szCs w:val="28"/>
          <w:highlight w:val="none"/>
          <w:u w:val="single"/>
        </w:rPr>
        <w:t xml:space="preserve">  </w:t>
      </w:r>
      <w:r>
        <w:rPr>
          <w:rFonts w:hint="eastAsia" w:ascii="宋体" w:hAnsi="宋体" w:cs="宋体"/>
          <w:color w:val="auto"/>
          <w:sz w:val="28"/>
          <w:szCs w:val="28"/>
          <w:highlight w:val="none"/>
          <w:u w:val="single"/>
        </w:rPr>
        <w:t xml:space="preserve">          </w:t>
      </w:r>
      <w:r>
        <w:rPr>
          <w:rFonts w:ascii="宋体" w:hAnsi="宋体" w:cs="宋体"/>
          <w:color w:val="auto"/>
          <w:sz w:val="28"/>
          <w:szCs w:val="28"/>
          <w:highlight w:val="none"/>
          <w:u w:val="single"/>
        </w:rPr>
        <w:t xml:space="preserve">  </w:t>
      </w:r>
      <w:r>
        <w:rPr>
          <w:rFonts w:hint="eastAsia" w:ascii="宋体" w:hAnsi="宋体" w:cs="宋体"/>
          <w:color w:val="auto"/>
          <w:sz w:val="28"/>
          <w:szCs w:val="28"/>
          <w:highlight w:val="none"/>
        </w:rPr>
        <w:t>（投标人名称）的法定代表人（或非法人组织负责人）。</w:t>
      </w:r>
    </w:p>
    <w:p w14:paraId="3C6F547B">
      <w:pPr>
        <w:spacing w:line="360" w:lineRule="auto"/>
        <w:ind w:firstLine="562" w:firstLineChars="200"/>
        <w:jc w:val="both"/>
        <w:rPr>
          <w:rFonts w:ascii="宋体" w:hAnsi="宋体"/>
          <w:color w:val="auto"/>
          <w:sz w:val="28"/>
          <w:szCs w:val="28"/>
          <w:highlight w:val="none"/>
        </w:rPr>
      </w:pPr>
      <w:r>
        <w:rPr>
          <w:rFonts w:hint="eastAsia" w:ascii="宋体" w:hAnsi="宋体" w:cs="宋体"/>
          <w:b/>
          <w:color w:val="auto"/>
          <w:sz w:val="28"/>
          <w:szCs w:val="28"/>
          <w:highlight w:val="none"/>
        </w:rPr>
        <w:t>特此证明。</w:t>
      </w:r>
    </w:p>
    <w:tbl>
      <w:tblPr>
        <w:tblStyle w:val="15"/>
        <w:tblW w:w="8758" w:type="dxa"/>
        <w:tblInd w:w="213"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8758"/>
      </w:tblGrid>
      <w:tr w14:paraId="6B52FA13">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081" w:hRule="exact"/>
        </w:trPr>
        <w:tc>
          <w:tcPr>
            <w:tcW w:w="8758" w:type="dxa"/>
          </w:tcPr>
          <w:p w14:paraId="1608D152">
            <w:pPr>
              <w:pStyle w:val="12"/>
              <w:spacing w:before="0" w:beforeAutospacing="0" w:after="0" w:afterAutospacing="0" w:line="360" w:lineRule="auto"/>
              <w:ind w:firstLine="560" w:firstLineChars="200"/>
              <w:jc w:val="both"/>
              <w:rPr>
                <w:color w:val="auto"/>
                <w:sz w:val="28"/>
                <w:szCs w:val="28"/>
                <w:highlight w:val="none"/>
              </w:rPr>
            </w:pPr>
            <w:r>
              <w:rPr>
                <w:rFonts w:hint="eastAsia" w:cs="宋体"/>
                <w:color w:val="auto"/>
                <w:sz w:val="28"/>
                <w:szCs w:val="28"/>
                <w:highlight w:val="none"/>
              </w:rPr>
              <w:t>此处应附法定代表人（或非法人组织负责人）身份证（正反面）原件扫描件。</w:t>
            </w:r>
          </w:p>
        </w:tc>
      </w:tr>
    </w:tbl>
    <w:p w14:paraId="69508916">
      <w:pPr>
        <w:spacing w:line="360" w:lineRule="auto"/>
        <w:ind w:firstLine="560" w:firstLineChars="200"/>
        <w:jc w:val="both"/>
        <w:rPr>
          <w:rFonts w:ascii="宋体" w:hAnsi="宋体"/>
          <w:color w:val="auto"/>
          <w:sz w:val="28"/>
          <w:szCs w:val="28"/>
          <w:highlight w:val="none"/>
        </w:rPr>
      </w:pPr>
    </w:p>
    <w:p w14:paraId="51A7F745">
      <w:pPr>
        <w:spacing w:line="360" w:lineRule="auto"/>
        <w:ind w:firstLine="560" w:firstLineChars="200"/>
        <w:jc w:val="both"/>
        <w:rPr>
          <w:rFonts w:ascii="宋体" w:hAnsi="宋体" w:cs="宋体"/>
          <w:color w:val="auto"/>
          <w:sz w:val="28"/>
          <w:szCs w:val="28"/>
          <w:highlight w:val="none"/>
        </w:rPr>
      </w:pPr>
      <w:r>
        <w:rPr>
          <w:rFonts w:hint="eastAsia" w:ascii="宋体" w:hAnsi="宋体"/>
          <w:color w:val="auto"/>
          <w:sz w:val="28"/>
          <w:szCs w:val="28"/>
          <w:highlight w:val="none"/>
        </w:rPr>
        <w:t>投标人</w:t>
      </w:r>
      <w:r>
        <w:rPr>
          <w:rFonts w:hint="eastAsia" w:ascii="宋体" w:hAnsi="宋体" w:cs="宋体"/>
          <w:color w:val="auto"/>
          <w:sz w:val="28"/>
          <w:szCs w:val="28"/>
          <w:highlight w:val="none"/>
        </w:rPr>
        <w:t>：</w:t>
      </w:r>
      <w:r>
        <w:rPr>
          <w:rFonts w:ascii="宋体" w:hAnsi="宋体" w:cs="宋体"/>
          <w:color w:val="auto"/>
          <w:sz w:val="28"/>
          <w:szCs w:val="28"/>
          <w:highlight w:val="none"/>
          <w:u w:val="single"/>
        </w:rPr>
        <w:t xml:space="preserve">                   </w:t>
      </w:r>
      <w:r>
        <w:rPr>
          <w:rFonts w:hint="eastAsia" w:ascii="宋体" w:hAnsi="宋体"/>
          <w:color w:val="auto"/>
          <w:sz w:val="28"/>
          <w:szCs w:val="28"/>
          <w:highlight w:val="none"/>
        </w:rPr>
        <w:t>（</w:t>
      </w:r>
      <w:bookmarkStart w:id="43" w:name="_Hlk165886313"/>
      <w:r>
        <w:rPr>
          <w:rFonts w:hint="eastAsia" w:ascii="宋体" w:hAnsi="宋体"/>
          <w:color w:val="auto"/>
          <w:sz w:val="28"/>
          <w:szCs w:val="28"/>
          <w:highlight w:val="none"/>
        </w:rPr>
        <w:t>企业电子签章</w:t>
      </w:r>
      <w:bookmarkEnd w:id="43"/>
      <w:r>
        <w:rPr>
          <w:rFonts w:hint="eastAsia" w:ascii="宋体" w:hAnsi="宋体"/>
          <w:color w:val="auto"/>
          <w:sz w:val="28"/>
          <w:szCs w:val="28"/>
          <w:highlight w:val="none"/>
        </w:rPr>
        <w:t>）</w:t>
      </w:r>
    </w:p>
    <w:p w14:paraId="4A9ED8F6">
      <w:pPr>
        <w:pStyle w:val="8"/>
        <w:tabs>
          <w:tab w:val="left" w:pos="5580"/>
        </w:tabs>
        <w:spacing w:line="360" w:lineRule="auto"/>
        <w:ind w:firstLine="560" w:firstLineChars="200"/>
        <w:jc w:val="both"/>
        <w:rPr>
          <w:rFonts w:hAnsi="宋体"/>
          <w:color w:val="auto"/>
          <w:sz w:val="28"/>
          <w:szCs w:val="28"/>
          <w:highlight w:val="none"/>
          <w:u w:val="single"/>
        </w:rPr>
      </w:pPr>
      <w:r>
        <w:rPr>
          <w:rFonts w:hint="eastAsia" w:hAnsi="宋体"/>
          <w:color w:val="auto"/>
          <w:sz w:val="28"/>
          <w:szCs w:val="28"/>
          <w:highlight w:val="none"/>
        </w:rPr>
        <w:t>电话：</w:t>
      </w:r>
      <w:r>
        <w:rPr>
          <w:rFonts w:hint="eastAsia" w:hAnsi="宋体"/>
          <w:color w:val="auto"/>
          <w:sz w:val="28"/>
          <w:szCs w:val="28"/>
          <w:highlight w:val="none"/>
          <w:u w:val="single"/>
        </w:rPr>
        <w:t xml:space="preserve">                    </w:t>
      </w:r>
      <w:r>
        <w:rPr>
          <w:rFonts w:hint="eastAsia" w:hAnsi="宋体"/>
          <w:color w:val="auto"/>
          <w:sz w:val="28"/>
          <w:szCs w:val="28"/>
          <w:highlight w:val="none"/>
        </w:rPr>
        <w:t xml:space="preserve">   电子邮箱：</w:t>
      </w:r>
      <w:r>
        <w:rPr>
          <w:rFonts w:hint="eastAsia" w:hAnsi="宋体"/>
          <w:color w:val="auto"/>
          <w:sz w:val="28"/>
          <w:szCs w:val="28"/>
          <w:highlight w:val="none"/>
          <w:u w:val="single"/>
        </w:rPr>
        <w:t xml:space="preserve"> </w:t>
      </w:r>
      <w:r>
        <w:rPr>
          <w:rFonts w:hAnsi="宋体"/>
          <w:color w:val="auto"/>
          <w:sz w:val="28"/>
          <w:szCs w:val="28"/>
          <w:highlight w:val="none"/>
          <w:u w:val="single"/>
        </w:rPr>
        <w:t xml:space="preserve">              </w:t>
      </w:r>
    </w:p>
    <w:p w14:paraId="4AF63B6B">
      <w:pPr>
        <w:spacing w:line="360" w:lineRule="auto"/>
        <w:ind w:firstLine="560" w:firstLineChars="200"/>
        <w:jc w:val="both"/>
        <w:rPr>
          <w:rFonts w:ascii="宋体" w:hAnsi="宋体" w:cs="宋体"/>
          <w:color w:val="auto"/>
          <w:sz w:val="28"/>
          <w:szCs w:val="28"/>
          <w:highlight w:val="none"/>
        </w:rPr>
      </w:pPr>
      <w:r>
        <w:rPr>
          <w:rFonts w:hint="eastAsia" w:ascii="宋体" w:hAnsi="宋体" w:cs="宋体"/>
          <w:color w:val="auto"/>
          <w:sz w:val="28"/>
          <w:szCs w:val="28"/>
          <w:highlight w:val="none"/>
        </w:rPr>
        <w:t>日期：</w:t>
      </w:r>
      <w:r>
        <w:rPr>
          <w:rFonts w:ascii="宋体" w:hAnsi="宋体" w:cs="宋体"/>
          <w:color w:val="auto"/>
          <w:sz w:val="28"/>
          <w:szCs w:val="28"/>
          <w:highlight w:val="none"/>
        </w:rPr>
        <w:t xml:space="preserve">   </w:t>
      </w:r>
      <w:r>
        <w:rPr>
          <w:rFonts w:hint="eastAsia" w:ascii="宋体" w:hAnsi="宋体" w:cs="宋体"/>
          <w:color w:val="auto"/>
          <w:sz w:val="28"/>
          <w:szCs w:val="28"/>
          <w:highlight w:val="none"/>
        </w:rPr>
        <w:t>年</w:t>
      </w:r>
      <w:r>
        <w:rPr>
          <w:rFonts w:ascii="宋体" w:hAnsi="宋体" w:cs="宋体"/>
          <w:color w:val="auto"/>
          <w:sz w:val="28"/>
          <w:szCs w:val="28"/>
          <w:highlight w:val="none"/>
        </w:rPr>
        <w:t xml:space="preserve">   </w:t>
      </w:r>
      <w:r>
        <w:rPr>
          <w:rFonts w:hint="eastAsia" w:ascii="宋体" w:hAnsi="宋体" w:cs="宋体"/>
          <w:color w:val="auto"/>
          <w:sz w:val="28"/>
          <w:szCs w:val="28"/>
          <w:highlight w:val="none"/>
        </w:rPr>
        <w:t>月</w:t>
      </w:r>
      <w:r>
        <w:rPr>
          <w:rFonts w:ascii="宋体" w:hAnsi="宋体" w:cs="宋体"/>
          <w:color w:val="auto"/>
          <w:sz w:val="28"/>
          <w:szCs w:val="28"/>
          <w:highlight w:val="none"/>
        </w:rPr>
        <w:t xml:space="preserve">   </w:t>
      </w:r>
      <w:r>
        <w:rPr>
          <w:rFonts w:hint="eastAsia" w:ascii="宋体" w:hAnsi="宋体" w:cs="宋体"/>
          <w:color w:val="auto"/>
          <w:sz w:val="28"/>
          <w:szCs w:val="28"/>
          <w:highlight w:val="none"/>
        </w:rPr>
        <w:t>日</w:t>
      </w:r>
    </w:p>
    <w:p w14:paraId="635260D8">
      <w:pPr>
        <w:spacing w:line="360" w:lineRule="auto"/>
        <w:ind w:firstLine="560" w:firstLineChars="200"/>
        <w:jc w:val="both"/>
        <w:rPr>
          <w:rFonts w:ascii="宋体" w:hAnsi="宋体"/>
          <w:color w:val="auto"/>
          <w:sz w:val="28"/>
          <w:szCs w:val="28"/>
          <w:highlight w:val="none"/>
        </w:rPr>
      </w:pPr>
      <w:r>
        <w:rPr>
          <w:rFonts w:hint="eastAsia" w:ascii="宋体" w:hAnsi="宋体"/>
          <w:color w:val="auto"/>
          <w:sz w:val="28"/>
          <w:szCs w:val="28"/>
          <w:highlight w:val="none"/>
        </w:rPr>
        <w:t>注：自然人参加投标的无需提供。</w:t>
      </w:r>
    </w:p>
    <w:p w14:paraId="6A5A2AAA">
      <w:pPr>
        <w:spacing w:line="360" w:lineRule="auto"/>
        <w:ind w:firstLine="560" w:firstLineChars="200"/>
        <w:jc w:val="both"/>
        <w:rPr>
          <w:rFonts w:ascii="宋体" w:hAnsi="宋体"/>
          <w:color w:val="auto"/>
          <w:sz w:val="28"/>
          <w:szCs w:val="28"/>
          <w:highlight w:val="none"/>
        </w:rPr>
      </w:pPr>
    </w:p>
    <w:p w14:paraId="2023A0B0">
      <w:pPr>
        <w:spacing w:line="360" w:lineRule="auto"/>
        <w:ind w:firstLine="440" w:firstLineChars="200"/>
        <w:jc w:val="both"/>
        <w:rPr>
          <w:rFonts w:ascii="宋体" w:hAnsi="宋体"/>
          <w:color w:val="auto"/>
          <w:highlight w:val="none"/>
        </w:rPr>
      </w:pPr>
      <w:r>
        <w:rPr>
          <w:rFonts w:hint="eastAsia"/>
          <w:color w:val="auto"/>
          <w:highlight w:val="none"/>
        </w:rPr>
        <w:br w:type="page"/>
      </w:r>
    </w:p>
    <w:p w14:paraId="11D84D1E">
      <w:pPr>
        <w:spacing w:line="360" w:lineRule="auto"/>
        <w:ind w:firstLine="964" w:firstLineChars="300"/>
        <w:jc w:val="both"/>
        <w:rPr>
          <w:rFonts w:ascii="宋体" w:eastAsia="宋体"/>
          <w:b/>
          <w:color w:val="auto"/>
          <w:sz w:val="32"/>
          <w:szCs w:val="32"/>
          <w:highlight w:val="none"/>
        </w:rPr>
      </w:pPr>
      <w:bookmarkStart w:id="44" w:name="_Toc211963778"/>
      <w:bookmarkStart w:id="45" w:name="_Toc15048338"/>
      <w:bookmarkStart w:id="46" w:name="_Toc166561420"/>
      <w:bookmarkStart w:id="47" w:name="_Toc532473498"/>
      <w:r>
        <w:rPr>
          <w:rFonts w:hint="eastAsia" w:ascii="宋体" w:eastAsia="宋体"/>
          <w:b/>
          <w:color w:val="auto"/>
          <w:sz w:val="32"/>
          <w:szCs w:val="32"/>
          <w:highlight w:val="none"/>
        </w:rPr>
        <w:t>法定代表人（或非法人组织负责人）授权委托书</w:t>
      </w:r>
      <w:bookmarkEnd w:id="44"/>
      <w:bookmarkEnd w:id="45"/>
      <w:bookmarkEnd w:id="46"/>
    </w:p>
    <w:bookmarkEnd w:id="47"/>
    <w:p w14:paraId="32132ED2">
      <w:pPr>
        <w:pStyle w:val="8"/>
        <w:tabs>
          <w:tab w:val="left" w:pos="5580"/>
        </w:tabs>
        <w:spacing w:line="360" w:lineRule="auto"/>
        <w:ind w:firstLine="440" w:firstLineChars="200"/>
        <w:jc w:val="both"/>
        <w:rPr>
          <w:color w:val="auto"/>
          <w:highlight w:val="none"/>
        </w:rPr>
      </w:pPr>
    </w:p>
    <w:p w14:paraId="24F80D9A">
      <w:pPr>
        <w:spacing w:line="360" w:lineRule="auto"/>
        <w:ind w:firstLine="560" w:firstLineChars="200"/>
        <w:jc w:val="both"/>
        <w:rPr>
          <w:rFonts w:ascii="宋体" w:hAnsi="宋体"/>
          <w:color w:val="auto"/>
          <w:sz w:val="28"/>
          <w:szCs w:val="28"/>
          <w:highlight w:val="none"/>
        </w:rPr>
      </w:pPr>
      <w:r>
        <w:rPr>
          <w:rFonts w:hint="eastAsia" w:ascii="宋体" w:hAnsi="宋体"/>
          <w:color w:val="auto"/>
          <w:sz w:val="28"/>
          <w:szCs w:val="28"/>
          <w:highlight w:val="none"/>
        </w:rPr>
        <w:t>本人</w:t>
      </w:r>
      <w:r>
        <w:rPr>
          <w:rFonts w:ascii="宋体" w:hAnsi="宋体"/>
          <w:color w:val="auto"/>
          <w:sz w:val="28"/>
          <w:szCs w:val="28"/>
          <w:highlight w:val="none"/>
        </w:rPr>
        <w:t xml:space="preserve"> </w:t>
      </w:r>
      <w:r>
        <w:rPr>
          <w:rFonts w:hint="eastAsia" w:ascii="宋体" w:hAnsi="宋体"/>
          <w:color w:val="auto"/>
          <w:sz w:val="28"/>
          <w:szCs w:val="28"/>
          <w:highlight w:val="none"/>
          <w:u w:val="single"/>
        </w:rPr>
        <w:t xml:space="preserve">       </w:t>
      </w:r>
      <w:r>
        <w:rPr>
          <w:rFonts w:hint="eastAsia" w:ascii="宋体" w:hAnsi="宋体"/>
          <w:color w:val="auto"/>
          <w:sz w:val="28"/>
          <w:szCs w:val="28"/>
          <w:highlight w:val="none"/>
        </w:rPr>
        <w:t>（姓名）系</w:t>
      </w:r>
      <w:r>
        <w:rPr>
          <w:rFonts w:hint="eastAsia" w:ascii="宋体" w:hAnsi="宋体"/>
          <w:color w:val="auto"/>
          <w:sz w:val="28"/>
          <w:szCs w:val="28"/>
          <w:highlight w:val="none"/>
          <w:u w:val="single"/>
        </w:rPr>
        <w:t xml:space="preserve">                  </w:t>
      </w:r>
      <w:r>
        <w:rPr>
          <w:rFonts w:hint="eastAsia" w:ascii="宋体" w:hAnsi="宋体"/>
          <w:color w:val="auto"/>
          <w:sz w:val="28"/>
          <w:szCs w:val="28"/>
          <w:highlight w:val="none"/>
        </w:rPr>
        <w:t xml:space="preserve">（投标人名称）的法定代表人（或非法人组织负责人），现委托 </w:t>
      </w:r>
      <w:r>
        <w:rPr>
          <w:rFonts w:hint="eastAsia" w:ascii="宋体" w:hAnsi="宋体"/>
          <w:color w:val="auto"/>
          <w:sz w:val="28"/>
          <w:szCs w:val="28"/>
          <w:highlight w:val="none"/>
          <w:u w:val="single"/>
        </w:rPr>
        <w:t xml:space="preserve">  </w:t>
      </w:r>
      <w:r>
        <w:rPr>
          <w:rFonts w:ascii="宋体" w:hAnsi="宋体"/>
          <w:color w:val="auto"/>
          <w:sz w:val="28"/>
          <w:szCs w:val="28"/>
          <w:highlight w:val="none"/>
          <w:u w:val="single"/>
        </w:rPr>
        <w:t xml:space="preserve">  </w:t>
      </w:r>
      <w:r>
        <w:rPr>
          <w:rFonts w:hint="eastAsia" w:ascii="宋体" w:hAnsi="宋体"/>
          <w:color w:val="auto"/>
          <w:sz w:val="28"/>
          <w:szCs w:val="28"/>
          <w:highlight w:val="none"/>
          <w:u w:val="single"/>
        </w:rPr>
        <w:t xml:space="preserve">   </w:t>
      </w:r>
      <w:r>
        <w:rPr>
          <w:rFonts w:hint="eastAsia" w:ascii="宋体" w:hAnsi="宋体"/>
          <w:color w:val="auto"/>
          <w:sz w:val="28"/>
          <w:szCs w:val="28"/>
          <w:highlight w:val="none"/>
        </w:rPr>
        <w:t>（姓名）为我单位的合法代理人。代理人根据授权，参加（</w:t>
      </w:r>
      <w:bookmarkStart w:id="48" w:name="OLE_LINK25"/>
      <w:r>
        <w:rPr>
          <w:rFonts w:hint="eastAsia" w:ascii="宋体" w:hAnsi="宋体"/>
          <w:iCs/>
          <w:color w:val="auto"/>
          <w:sz w:val="28"/>
          <w:szCs w:val="28"/>
          <w:highlight w:val="none"/>
          <w:u w:val="single"/>
        </w:rPr>
        <w:t>项目名称、</w:t>
      </w:r>
      <w:r>
        <w:rPr>
          <w:rFonts w:hint="eastAsia"/>
          <w:iCs/>
          <w:color w:val="auto"/>
          <w:sz w:val="28"/>
          <w:szCs w:val="28"/>
          <w:highlight w:val="none"/>
          <w:u w:val="single"/>
        </w:rPr>
        <w:t>招标编号</w:t>
      </w:r>
      <w:bookmarkEnd w:id="48"/>
      <w:r>
        <w:rPr>
          <w:rFonts w:hint="eastAsia" w:ascii="宋体" w:hAnsi="宋体"/>
          <w:color w:val="auto"/>
          <w:sz w:val="28"/>
          <w:szCs w:val="28"/>
          <w:highlight w:val="none"/>
        </w:rPr>
        <w:t>）的投标，以我单位名义处理一切与之有关的事务，其法律后果由我单位承担。</w:t>
      </w:r>
      <w:r>
        <w:rPr>
          <w:rFonts w:ascii="宋体" w:hAnsi="宋体"/>
          <w:color w:val="auto"/>
          <w:sz w:val="28"/>
          <w:szCs w:val="28"/>
          <w:highlight w:val="none"/>
        </w:rPr>
        <w:t>代理人无权转让委托权。</w:t>
      </w:r>
    </w:p>
    <w:p w14:paraId="5B2E8238">
      <w:pPr>
        <w:spacing w:line="360" w:lineRule="auto"/>
        <w:ind w:firstLine="560" w:firstLineChars="200"/>
        <w:jc w:val="both"/>
        <w:rPr>
          <w:rFonts w:ascii="宋体" w:hAnsi="宋体"/>
          <w:color w:val="auto"/>
          <w:sz w:val="28"/>
          <w:szCs w:val="28"/>
          <w:highlight w:val="none"/>
        </w:rPr>
      </w:pPr>
      <w:r>
        <w:rPr>
          <w:rFonts w:hint="eastAsia" w:ascii="宋体" w:hAnsi="宋体"/>
          <w:color w:val="auto"/>
          <w:sz w:val="28"/>
          <w:szCs w:val="28"/>
          <w:highlight w:val="none"/>
        </w:rPr>
        <w:t>委托期限：</w:t>
      </w:r>
      <w:r>
        <w:rPr>
          <w:rFonts w:hint="eastAsia" w:ascii="宋体" w:hAnsi="宋体"/>
          <w:color w:val="auto"/>
          <w:sz w:val="28"/>
          <w:szCs w:val="28"/>
          <w:highlight w:val="none"/>
        </w:rPr>
        <w:tab/>
      </w:r>
      <w:bookmarkStart w:id="49" w:name="_Hlk165993972"/>
      <w:r>
        <w:rPr>
          <w:rFonts w:ascii="宋体" w:hAnsi="宋体"/>
          <w:color w:val="auto"/>
          <w:sz w:val="28"/>
          <w:szCs w:val="28"/>
          <w:highlight w:val="none"/>
        </w:rPr>
        <w:t>自本授权委托书签署之日起至投标有效期届满之日止。</w:t>
      </w:r>
      <w:bookmarkEnd w:id="49"/>
    </w:p>
    <w:tbl>
      <w:tblPr>
        <w:tblStyle w:val="15"/>
        <w:tblW w:w="9036" w:type="dxa"/>
        <w:tblInd w:w="-34"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9036"/>
      </w:tblGrid>
      <w:tr w14:paraId="05550B0D">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564" w:hRule="exact"/>
        </w:trPr>
        <w:tc>
          <w:tcPr>
            <w:tcW w:w="9036" w:type="dxa"/>
          </w:tcPr>
          <w:p w14:paraId="22467DCE">
            <w:pPr>
              <w:pStyle w:val="12"/>
              <w:spacing w:before="0" w:beforeAutospacing="0" w:after="0" w:afterAutospacing="0" w:line="360" w:lineRule="auto"/>
              <w:ind w:firstLine="560" w:firstLineChars="200"/>
              <w:jc w:val="both"/>
              <w:rPr>
                <w:color w:val="auto"/>
                <w:sz w:val="28"/>
                <w:szCs w:val="28"/>
                <w:highlight w:val="none"/>
              </w:rPr>
            </w:pPr>
            <w:r>
              <w:rPr>
                <w:rFonts w:hint="eastAsia" w:cs="宋体"/>
                <w:color w:val="auto"/>
                <w:sz w:val="28"/>
                <w:szCs w:val="28"/>
                <w:highlight w:val="none"/>
              </w:rPr>
              <w:t>此处应附代理人身份证（正反面）</w:t>
            </w:r>
            <w:r>
              <w:rPr>
                <w:rFonts w:hint="eastAsia"/>
                <w:color w:val="auto"/>
                <w:sz w:val="28"/>
                <w:szCs w:val="28"/>
                <w:highlight w:val="none"/>
              </w:rPr>
              <w:t>原件</w:t>
            </w:r>
            <w:r>
              <w:rPr>
                <w:rFonts w:hint="eastAsia" w:cs="宋体"/>
                <w:color w:val="auto"/>
                <w:sz w:val="28"/>
                <w:szCs w:val="28"/>
                <w:highlight w:val="none"/>
              </w:rPr>
              <w:t>扫描件</w:t>
            </w:r>
          </w:p>
        </w:tc>
      </w:tr>
    </w:tbl>
    <w:p w14:paraId="6A990C97">
      <w:pPr>
        <w:pStyle w:val="8"/>
        <w:tabs>
          <w:tab w:val="left" w:pos="5580"/>
        </w:tabs>
        <w:spacing w:line="360" w:lineRule="auto"/>
        <w:ind w:firstLine="560" w:firstLineChars="200"/>
        <w:jc w:val="both"/>
        <w:rPr>
          <w:rFonts w:hAnsi="宋体"/>
          <w:color w:val="auto"/>
          <w:sz w:val="28"/>
          <w:szCs w:val="28"/>
          <w:highlight w:val="none"/>
        </w:rPr>
      </w:pPr>
    </w:p>
    <w:p w14:paraId="2A95A294">
      <w:pPr>
        <w:pStyle w:val="8"/>
        <w:tabs>
          <w:tab w:val="left" w:pos="5580"/>
        </w:tabs>
        <w:spacing w:line="360" w:lineRule="auto"/>
        <w:ind w:firstLine="560" w:firstLineChars="200"/>
        <w:jc w:val="both"/>
        <w:rPr>
          <w:rFonts w:hAnsi="宋体"/>
          <w:color w:val="auto"/>
          <w:sz w:val="28"/>
          <w:szCs w:val="28"/>
          <w:highlight w:val="none"/>
          <w:u w:val="single"/>
        </w:rPr>
      </w:pPr>
      <w:r>
        <w:rPr>
          <w:rFonts w:hint="eastAsia" w:hAnsi="宋体"/>
          <w:color w:val="auto"/>
          <w:sz w:val="28"/>
          <w:szCs w:val="28"/>
          <w:highlight w:val="none"/>
        </w:rPr>
        <w:t>投标人：</w:t>
      </w:r>
      <w:r>
        <w:rPr>
          <w:rFonts w:hint="eastAsia" w:hAnsi="宋体"/>
          <w:color w:val="auto"/>
          <w:sz w:val="28"/>
          <w:szCs w:val="28"/>
          <w:highlight w:val="none"/>
          <w:u w:val="single"/>
        </w:rPr>
        <w:t xml:space="preserve">          </w:t>
      </w:r>
      <w:r>
        <w:rPr>
          <w:rFonts w:hAnsi="宋体"/>
          <w:color w:val="auto"/>
          <w:sz w:val="28"/>
          <w:szCs w:val="28"/>
          <w:highlight w:val="none"/>
          <w:u w:val="single"/>
        </w:rPr>
        <w:t xml:space="preserve">       </w:t>
      </w:r>
      <w:r>
        <w:rPr>
          <w:rFonts w:hint="eastAsia" w:hAnsi="宋体"/>
          <w:color w:val="auto"/>
          <w:sz w:val="28"/>
          <w:szCs w:val="28"/>
          <w:highlight w:val="none"/>
          <w:u w:val="single"/>
        </w:rPr>
        <w:t xml:space="preserve">  </w:t>
      </w:r>
      <w:r>
        <w:rPr>
          <w:rFonts w:hAnsi="宋体"/>
          <w:color w:val="auto"/>
          <w:sz w:val="28"/>
          <w:szCs w:val="28"/>
          <w:highlight w:val="none"/>
          <w:u w:val="single"/>
        </w:rPr>
        <w:t xml:space="preserve">   </w:t>
      </w:r>
      <w:r>
        <w:rPr>
          <w:rFonts w:hint="eastAsia" w:hAnsi="宋体"/>
          <w:color w:val="auto"/>
          <w:sz w:val="28"/>
          <w:szCs w:val="28"/>
          <w:highlight w:val="none"/>
          <w:u w:val="single"/>
        </w:rPr>
        <w:t xml:space="preserve">       </w:t>
      </w:r>
      <w:r>
        <w:rPr>
          <w:rFonts w:hint="eastAsia" w:hAnsi="宋体" w:cs="宋体"/>
          <w:color w:val="auto"/>
          <w:sz w:val="28"/>
          <w:szCs w:val="28"/>
          <w:highlight w:val="none"/>
        </w:rPr>
        <w:t>（</w:t>
      </w:r>
      <w:r>
        <w:rPr>
          <w:rFonts w:hint="eastAsia" w:hAnsi="宋体"/>
          <w:color w:val="auto"/>
          <w:sz w:val="28"/>
          <w:szCs w:val="28"/>
          <w:highlight w:val="none"/>
        </w:rPr>
        <w:t>加盖单位公章</w:t>
      </w:r>
      <w:r>
        <w:rPr>
          <w:rFonts w:hint="eastAsia" w:hAnsi="宋体" w:cs="宋体"/>
          <w:color w:val="auto"/>
          <w:sz w:val="28"/>
          <w:szCs w:val="28"/>
          <w:highlight w:val="none"/>
        </w:rPr>
        <w:t>）</w:t>
      </w:r>
    </w:p>
    <w:p w14:paraId="498ACBBA">
      <w:pPr>
        <w:pStyle w:val="8"/>
        <w:tabs>
          <w:tab w:val="left" w:pos="5580"/>
        </w:tabs>
        <w:spacing w:line="360" w:lineRule="auto"/>
        <w:ind w:firstLine="560" w:firstLineChars="200"/>
        <w:jc w:val="both"/>
        <w:rPr>
          <w:rFonts w:hAnsi="宋体"/>
          <w:color w:val="auto"/>
          <w:sz w:val="28"/>
          <w:szCs w:val="28"/>
          <w:highlight w:val="none"/>
        </w:rPr>
      </w:pPr>
      <w:r>
        <w:rPr>
          <w:rFonts w:hint="eastAsia" w:ascii="仿宋" w:hAnsi="仿宋"/>
          <w:color w:val="auto"/>
          <w:sz w:val="28"/>
          <w:szCs w:val="28"/>
          <w:highlight w:val="none"/>
        </w:rPr>
        <w:t>法定代表人或其委托代理人（签字或盖章）：</w:t>
      </w:r>
      <w:r>
        <w:rPr>
          <w:rFonts w:hint="eastAsia" w:hAnsi="宋体"/>
          <w:color w:val="auto"/>
          <w:sz w:val="28"/>
          <w:szCs w:val="28"/>
          <w:highlight w:val="none"/>
          <w:u w:val="single"/>
        </w:rPr>
        <w:t xml:space="preserve">         </w:t>
      </w:r>
    </w:p>
    <w:p w14:paraId="04E9135E">
      <w:pPr>
        <w:pStyle w:val="8"/>
        <w:tabs>
          <w:tab w:val="left" w:pos="5580"/>
        </w:tabs>
        <w:spacing w:line="360" w:lineRule="auto"/>
        <w:ind w:firstLine="560" w:firstLineChars="200"/>
        <w:jc w:val="both"/>
        <w:rPr>
          <w:rFonts w:hAnsi="宋体"/>
          <w:color w:val="auto"/>
          <w:sz w:val="28"/>
          <w:szCs w:val="28"/>
          <w:highlight w:val="none"/>
          <w:u w:val="single"/>
        </w:rPr>
      </w:pPr>
      <w:r>
        <w:rPr>
          <w:rFonts w:hint="eastAsia" w:ascii="仿宋" w:hAnsi="仿宋"/>
          <w:color w:val="auto"/>
          <w:sz w:val="28"/>
          <w:szCs w:val="28"/>
          <w:highlight w:val="none"/>
        </w:rPr>
        <w:t>代理人联系电话：</w:t>
      </w:r>
      <w:r>
        <w:rPr>
          <w:rFonts w:hint="eastAsia" w:hAnsi="宋体"/>
          <w:color w:val="auto"/>
          <w:sz w:val="28"/>
          <w:szCs w:val="28"/>
          <w:highlight w:val="none"/>
          <w:u w:val="single"/>
        </w:rPr>
        <w:t xml:space="preserve"> （填写手机号码）</w:t>
      </w:r>
      <w:r>
        <w:rPr>
          <w:rFonts w:hint="eastAsia" w:hAnsi="宋体"/>
          <w:color w:val="auto"/>
          <w:sz w:val="28"/>
          <w:szCs w:val="28"/>
          <w:highlight w:val="none"/>
        </w:rPr>
        <w:t xml:space="preserve"> 代理人电子邮箱：</w:t>
      </w:r>
      <w:r>
        <w:rPr>
          <w:rFonts w:hint="eastAsia" w:hAnsi="宋体"/>
          <w:color w:val="auto"/>
          <w:sz w:val="28"/>
          <w:szCs w:val="28"/>
          <w:highlight w:val="none"/>
          <w:u w:val="single"/>
        </w:rPr>
        <w:t xml:space="preserve"> </w:t>
      </w:r>
      <w:r>
        <w:rPr>
          <w:rFonts w:hAnsi="宋体"/>
          <w:color w:val="auto"/>
          <w:sz w:val="28"/>
          <w:szCs w:val="28"/>
          <w:highlight w:val="none"/>
          <w:u w:val="single"/>
        </w:rPr>
        <w:t xml:space="preserve">                 </w:t>
      </w:r>
    </w:p>
    <w:p w14:paraId="7C98BEB5">
      <w:pPr>
        <w:pStyle w:val="8"/>
        <w:tabs>
          <w:tab w:val="left" w:pos="5580"/>
        </w:tabs>
        <w:spacing w:line="360" w:lineRule="auto"/>
        <w:ind w:firstLine="560" w:firstLineChars="200"/>
        <w:jc w:val="both"/>
        <w:rPr>
          <w:rFonts w:hAnsi="宋体"/>
          <w:color w:val="auto"/>
          <w:sz w:val="28"/>
          <w:szCs w:val="28"/>
          <w:highlight w:val="none"/>
          <w:u w:val="single"/>
        </w:rPr>
      </w:pPr>
      <w:r>
        <w:rPr>
          <w:rFonts w:hint="eastAsia" w:hAnsi="宋体" w:cs="宋体"/>
          <w:color w:val="auto"/>
          <w:sz w:val="28"/>
          <w:szCs w:val="28"/>
          <w:highlight w:val="none"/>
        </w:rPr>
        <w:t>日    期：</w:t>
      </w:r>
      <w:r>
        <w:rPr>
          <w:rFonts w:hAnsi="宋体" w:cs="宋体"/>
          <w:color w:val="auto"/>
          <w:sz w:val="28"/>
          <w:szCs w:val="28"/>
          <w:highlight w:val="none"/>
        </w:rPr>
        <w:t xml:space="preserve">   </w:t>
      </w:r>
      <w:r>
        <w:rPr>
          <w:rFonts w:hint="eastAsia" w:hAnsi="宋体" w:cs="宋体"/>
          <w:color w:val="auto"/>
          <w:sz w:val="28"/>
          <w:szCs w:val="28"/>
          <w:highlight w:val="none"/>
        </w:rPr>
        <w:t>年</w:t>
      </w:r>
      <w:r>
        <w:rPr>
          <w:rFonts w:hAnsi="宋体" w:cs="宋体"/>
          <w:color w:val="auto"/>
          <w:sz w:val="28"/>
          <w:szCs w:val="28"/>
          <w:highlight w:val="none"/>
        </w:rPr>
        <w:t xml:space="preserve">   </w:t>
      </w:r>
      <w:r>
        <w:rPr>
          <w:rFonts w:hint="eastAsia" w:hAnsi="宋体" w:cs="宋体"/>
          <w:color w:val="auto"/>
          <w:sz w:val="28"/>
          <w:szCs w:val="28"/>
          <w:highlight w:val="none"/>
        </w:rPr>
        <w:t>月</w:t>
      </w:r>
      <w:r>
        <w:rPr>
          <w:rFonts w:hAnsi="宋体" w:cs="宋体"/>
          <w:color w:val="auto"/>
          <w:sz w:val="28"/>
          <w:szCs w:val="28"/>
          <w:highlight w:val="none"/>
        </w:rPr>
        <w:t xml:space="preserve">   </w:t>
      </w:r>
      <w:r>
        <w:rPr>
          <w:rFonts w:hint="eastAsia" w:hAnsi="宋体" w:cs="宋体"/>
          <w:color w:val="auto"/>
          <w:sz w:val="28"/>
          <w:szCs w:val="28"/>
          <w:highlight w:val="none"/>
        </w:rPr>
        <w:t>日</w:t>
      </w:r>
    </w:p>
    <w:p w14:paraId="0AD9237D">
      <w:pPr>
        <w:spacing w:line="360" w:lineRule="auto"/>
        <w:ind w:firstLine="562" w:firstLineChars="200"/>
        <w:jc w:val="both"/>
        <w:rPr>
          <w:rFonts w:ascii="宋体" w:hAnsi="宋体"/>
          <w:b/>
          <w:color w:val="auto"/>
          <w:sz w:val="28"/>
          <w:szCs w:val="28"/>
          <w:highlight w:val="none"/>
        </w:rPr>
      </w:pPr>
      <w:bookmarkStart w:id="50" w:name="OLE_LINK63"/>
      <w:bookmarkStart w:id="51" w:name="OLE_LINK38"/>
      <w:bookmarkStart w:id="52" w:name="_Hlk177117276"/>
      <w:r>
        <w:rPr>
          <w:rFonts w:hint="eastAsia" w:ascii="宋体" w:hAnsi="宋体"/>
          <w:b/>
          <w:color w:val="auto"/>
          <w:sz w:val="28"/>
          <w:szCs w:val="28"/>
          <w:highlight w:val="none"/>
        </w:rPr>
        <w:t>说明：1</w:t>
      </w:r>
      <w:r>
        <w:rPr>
          <w:rFonts w:ascii="宋体" w:hAnsi="宋体"/>
          <w:b/>
          <w:color w:val="auto"/>
          <w:sz w:val="28"/>
          <w:szCs w:val="28"/>
          <w:highlight w:val="none"/>
        </w:rPr>
        <w:t>.</w:t>
      </w:r>
      <w:r>
        <w:rPr>
          <w:rFonts w:hint="eastAsia" w:ascii="宋体" w:hAnsi="宋体"/>
          <w:b/>
          <w:color w:val="auto"/>
          <w:sz w:val="28"/>
          <w:szCs w:val="28"/>
          <w:highlight w:val="none"/>
        </w:rPr>
        <w:t>若投标人为事业单位或其他组织或分支机构，则法定代表人（负责人）处的签署人可为单位负责人。</w:t>
      </w:r>
    </w:p>
    <w:p w14:paraId="47331E18">
      <w:pPr>
        <w:pStyle w:val="7"/>
        <w:spacing w:line="360" w:lineRule="auto"/>
        <w:ind w:firstLine="562" w:firstLineChars="200"/>
        <w:jc w:val="both"/>
        <w:rPr>
          <w:color w:val="auto"/>
          <w:highlight w:val="none"/>
        </w:rPr>
      </w:pPr>
      <w:r>
        <w:rPr>
          <w:rFonts w:hint="eastAsia" w:ascii="宋体" w:hAnsi="宋体"/>
          <w:b/>
          <w:color w:val="auto"/>
          <w:highlight w:val="none"/>
        </w:rPr>
        <w:t>2</w:t>
      </w:r>
      <w:r>
        <w:rPr>
          <w:rFonts w:ascii="宋体" w:hAnsi="宋体"/>
          <w:b/>
          <w:color w:val="auto"/>
          <w:highlight w:val="none"/>
        </w:rPr>
        <w:t>.</w:t>
      </w:r>
      <w:r>
        <w:rPr>
          <w:rFonts w:hint="eastAsia" w:ascii="宋体" w:hAnsi="宋体"/>
          <w:b/>
          <w:color w:val="auto"/>
          <w:highlight w:val="none"/>
        </w:rPr>
        <w:t>自然人、法定代表人（或非法人组织负责人）参加投标的无需提供本授权委托书。</w:t>
      </w:r>
      <w:bookmarkEnd w:id="50"/>
      <w:bookmarkEnd w:id="51"/>
      <w:bookmarkEnd w:id="52"/>
      <w:r>
        <w:rPr>
          <w:rFonts w:hint="eastAsia"/>
          <w:color w:val="auto"/>
          <w:highlight w:val="none"/>
        </w:rPr>
        <w:br w:type="page"/>
      </w:r>
    </w:p>
    <w:p w14:paraId="2F6EB304">
      <w:pPr>
        <w:spacing w:line="360" w:lineRule="auto"/>
        <w:jc w:val="center"/>
        <w:rPr>
          <w:b/>
          <w:color w:val="auto"/>
          <w:sz w:val="32"/>
          <w:szCs w:val="32"/>
          <w:highlight w:val="none"/>
        </w:rPr>
      </w:pPr>
      <w:bookmarkStart w:id="53" w:name="三、投标报价表格"/>
      <w:bookmarkEnd w:id="53"/>
      <w:r>
        <w:rPr>
          <w:rFonts w:hint="eastAsia"/>
          <w:b/>
          <w:color w:val="auto"/>
          <w:sz w:val="32"/>
          <w:szCs w:val="32"/>
          <w:highlight w:val="none"/>
        </w:rPr>
        <w:t>三、资格证明材料</w:t>
      </w:r>
    </w:p>
    <w:p w14:paraId="105BECC6">
      <w:pPr>
        <w:jc w:val="center"/>
        <w:rPr>
          <w:b/>
          <w:color w:val="auto"/>
          <w:sz w:val="24"/>
          <w:szCs w:val="24"/>
          <w:highlight w:val="none"/>
        </w:rPr>
      </w:pPr>
      <w:r>
        <w:rPr>
          <w:rFonts w:hint="eastAsia"/>
          <w:b/>
          <w:color w:val="auto"/>
          <w:sz w:val="24"/>
          <w:szCs w:val="24"/>
          <w:highlight w:val="none"/>
        </w:rPr>
        <w:t>按“第二章 投标人须知前附表31.3”要求提供</w:t>
      </w:r>
    </w:p>
    <w:p w14:paraId="6FCF4C01">
      <w:pPr>
        <w:rPr>
          <w:b/>
          <w:color w:val="auto"/>
          <w:sz w:val="32"/>
          <w:szCs w:val="32"/>
          <w:highlight w:val="none"/>
        </w:rPr>
      </w:pPr>
      <w:r>
        <w:rPr>
          <w:rFonts w:hint="eastAsia"/>
          <w:b/>
          <w:color w:val="auto"/>
          <w:sz w:val="32"/>
          <w:szCs w:val="32"/>
          <w:highlight w:val="none"/>
        </w:rPr>
        <w:br w:type="page"/>
      </w:r>
    </w:p>
    <w:p w14:paraId="59E4CDF4">
      <w:pPr>
        <w:rPr>
          <w:b/>
          <w:color w:val="auto"/>
          <w:sz w:val="32"/>
          <w:szCs w:val="32"/>
          <w:highlight w:val="none"/>
        </w:rPr>
      </w:pPr>
    </w:p>
    <w:p w14:paraId="0F165497">
      <w:pPr>
        <w:spacing w:line="360" w:lineRule="auto"/>
        <w:ind w:firstLine="643" w:firstLineChars="200"/>
        <w:jc w:val="center"/>
        <w:rPr>
          <w:b/>
          <w:color w:val="auto"/>
          <w:sz w:val="32"/>
          <w:szCs w:val="32"/>
          <w:highlight w:val="none"/>
        </w:rPr>
      </w:pPr>
      <w:r>
        <w:rPr>
          <w:rFonts w:hint="eastAsia"/>
          <w:b/>
          <w:color w:val="auto"/>
          <w:sz w:val="32"/>
          <w:szCs w:val="32"/>
          <w:highlight w:val="none"/>
        </w:rPr>
        <w:t>四、投标报价表格</w:t>
      </w:r>
    </w:p>
    <w:p w14:paraId="66B7DE79">
      <w:pPr>
        <w:spacing w:line="360" w:lineRule="auto"/>
        <w:ind w:firstLine="562" w:firstLineChars="200"/>
        <w:jc w:val="both"/>
        <w:rPr>
          <w:b/>
          <w:bCs/>
          <w:color w:val="auto"/>
          <w:sz w:val="28"/>
          <w:szCs w:val="28"/>
          <w:highlight w:val="none"/>
        </w:rPr>
      </w:pPr>
    </w:p>
    <w:p w14:paraId="36DEBBF2">
      <w:pPr>
        <w:pStyle w:val="5"/>
        <w:numPr>
          <w:ilvl w:val="1"/>
          <w:numId w:val="19"/>
        </w:numPr>
        <w:spacing w:line="360" w:lineRule="auto"/>
        <w:ind w:left="0" w:firstLine="562" w:firstLineChars="200"/>
        <w:jc w:val="both"/>
        <w:rPr>
          <w:color w:val="auto"/>
          <w:highlight w:val="none"/>
        </w:rPr>
      </w:pPr>
      <w:bookmarkStart w:id="54" w:name="1._投标主要内容汇总表"/>
      <w:bookmarkEnd w:id="54"/>
      <w:r>
        <w:rPr>
          <w:rFonts w:hint="eastAsia"/>
          <w:color w:val="auto"/>
          <w:highlight w:val="none"/>
        </w:rPr>
        <w:t>投标主要内容汇总表</w:t>
      </w:r>
    </w:p>
    <w:p w14:paraId="19DD13A6">
      <w:pPr>
        <w:pStyle w:val="7"/>
        <w:spacing w:line="360" w:lineRule="auto"/>
        <w:ind w:firstLine="683" w:firstLineChars="200"/>
        <w:jc w:val="both"/>
        <w:rPr>
          <w:rFonts w:ascii="黑体"/>
          <w:b/>
          <w:color w:val="auto"/>
          <w:sz w:val="34"/>
          <w:highlight w:val="none"/>
        </w:rPr>
      </w:pPr>
    </w:p>
    <w:p w14:paraId="51478DE3">
      <w:pPr>
        <w:pStyle w:val="5"/>
        <w:tabs>
          <w:tab w:val="left" w:pos="4223"/>
        </w:tabs>
        <w:spacing w:line="360" w:lineRule="auto"/>
        <w:ind w:left="0" w:firstLine="562" w:firstLineChars="200"/>
        <w:jc w:val="both"/>
        <w:rPr>
          <w:rFonts w:ascii="Times New Roman"/>
          <w:color w:val="auto"/>
          <w:highlight w:val="none"/>
        </w:rPr>
      </w:pPr>
      <w:r>
        <w:rPr>
          <w:color w:val="auto"/>
          <w:highlight w:val="none"/>
        </w:rPr>
        <w:t>项目编号：豫财招标采购-</w:t>
      </w:r>
      <w:r>
        <w:rPr>
          <w:rFonts w:hint="eastAsia" w:ascii="Times New Roman" w:eastAsia="宋体"/>
          <w:color w:val="auto"/>
          <w:highlight w:val="none"/>
          <w:u w:val="single"/>
        </w:rPr>
        <w:t xml:space="preserve">                 </w:t>
      </w:r>
    </w:p>
    <w:p w14:paraId="411B1B5A">
      <w:pPr>
        <w:pStyle w:val="5"/>
        <w:tabs>
          <w:tab w:val="left" w:pos="4223"/>
        </w:tabs>
        <w:spacing w:line="360" w:lineRule="auto"/>
        <w:ind w:left="0" w:firstLine="562" w:firstLineChars="200"/>
        <w:jc w:val="both"/>
        <w:rPr>
          <w:color w:val="auto"/>
          <w:highlight w:val="none"/>
        </w:rPr>
      </w:pPr>
      <w:r>
        <w:rPr>
          <w:color w:val="auto"/>
          <w:highlight w:val="none"/>
        </w:rPr>
        <w:t>金额单位：元人民币</w:t>
      </w:r>
    </w:p>
    <w:tbl>
      <w:tblPr>
        <w:tblStyle w:val="15"/>
        <w:tblW w:w="879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40"/>
        <w:gridCol w:w="6850"/>
      </w:tblGrid>
      <w:tr w14:paraId="554C8B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6" w:hRule="atLeast"/>
          <w:jc w:val="center"/>
        </w:trPr>
        <w:tc>
          <w:tcPr>
            <w:tcW w:w="1940" w:type="dxa"/>
            <w:vAlign w:val="center"/>
          </w:tcPr>
          <w:p w14:paraId="47F51606">
            <w:pPr>
              <w:pStyle w:val="20"/>
              <w:jc w:val="center"/>
              <w:rPr>
                <w:b/>
                <w:color w:val="auto"/>
                <w:sz w:val="28"/>
                <w:highlight w:val="none"/>
              </w:rPr>
            </w:pPr>
            <w:r>
              <w:rPr>
                <w:b/>
                <w:color w:val="auto"/>
                <w:sz w:val="28"/>
                <w:highlight w:val="none"/>
              </w:rPr>
              <w:t>标题</w:t>
            </w:r>
          </w:p>
        </w:tc>
        <w:tc>
          <w:tcPr>
            <w:tcW w:w="6850" w:type="dxa"/>
            <w:vAlign w:val="center"/>
          </w:tcPr>
          <w:p w14:paraId="205AC537">
            <w:pPr>
              <w:pStyle w:val="20"/>
              <w:jc w:val="center"/>
              <w:rPr>
                <w:b/>
                <w:color w:val="auto"/>
                <w:sz w:val="28"/>
                <w:highlight w:val="none"/>
              </w:rPr>
            </w:pPr>
            <w:r>
              <w:rPr>
                <w:b/>
                <w:color w:val="auto"/>
                <w:sz w:val="28"/>
                <w:highlight w:val="none"/>
              </w:rPr>
              <w:t>内容</w:t>
            </w:r>
          </w:p>
        </w:tc>
      </w:tr>
      <w:tr w14:paraId="444E37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6" w:hRule="atLeast"/>
          <w:jc w:val="center"/>
        </w:trPr>
        <w:tc>
          <w:tcPr>
            <w:tcW w:w="1940" w:type="dxa"/>
            <w:vAlign w:val="center"/>
          </w:tcPr>
          <w:p w14:paraId="7480254D">
            <w:pPr>
              <w:pStyle w:val="20"/>
              <w:jc w:val="center"/>
              <w:rPr>
                <w:b/>
                <w:color w:val="auto"/>
                <w:sz w:val="28"/>
                <w:highlight w:val="none"/>
              </w:rPr>
            </w:pPr>
            <w:r>
              <w:rPr>
                <w:b/>
                <w:color w:val="auto"/>
                <w:sz w:val="28"/>
                <w:highlight w:val="none"/>
              </w:rPr>
              <w:t>投标人名称</w:t>
            </w:r>
          </w:p>
        </w:tc>
        <w:tc>
          <w:tcPr>
            <w:tcW w:w="6850" w:type="dxa"/>
            <w:vAlign w:val="center"/>
          </w:tcPr>
          <w:p w14:paraId="7323ED29">
            <w:pPr>
              <w:pStyle w:val="20"/>
              <w:jc w:val="center"/>
              <w:rPr>
                <w:rFonts w:ascii="Times New Roman"/>
                <w:color w:val="auto"/>
                <w:sz w:val="26"/>
                <w:highlight w:val="none"/>
              </w:rPr>
            </w:pPr>
          </w:p>
        </w:tc>
      </w:tr>
      <w:tr w14:paraId="284FFA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6" w:hRule="atLeast"/>
          <w:jc w:val="center"/>
        </w:trPr>
        <w:tc>
          <w:tcPr>
            <w:tcW w:w="1940" w:type="dxa"/>
            <w:vAlign w:val="center"/>
          </w:tcPr>
          <w:p w14:paraId="07A8A2BB">
            <w:pPr>
              <w:pStyle w:val="20"/>
              <w:jc w:val="center"/>
              <w:rPr>
                <w:b/>
                <w:color w:val="auto"/>
                <w:sz w:val="28"/>
                <w:highlight w:val="none"/>
              </w:rPr>
            </w:pPr>
            <w:r>
              <w:rPr>
                <w:b/>
                <w:color w:val="auto"/>
                <w:sz w:val="28"/>
                <w:highlight w:val="none"/>
              </w:rPr>
              <w:t>投标总报价</w:t>
            </w:r>
          </w:p>
          <w:p w14:paraId="6B77956E">
            <w:pPr>
              <w:pStyle w:val="20"/>
              <w:jc w:val="center"/>
              <w:rPr>
                <w:b/>
                <w:color w:val="auto"/>
                <w:sz w:val="28"/>
                <w:highlight w:val="none"/>
              </w:rPr>
            </w:pPr>
            <w:r>
              <w:rPr>
                <w:b/>
                <w:color w:val="auto"/>
                <w:sz w:val="28"/>
                <w:highlight w:val="none"/>
              </w:rPr>
              <w:t>（大写）</w:t>
            </w:r>
          </w:p>
        </w:tc>
        <w:tc>
          <w:tcPr>
            <w:tcW w:w="6850" w:type="dxa"/>
            <w:vAlign w:val="center"/>
          </w:tcPr>
          <w:p w14:paraId="65AC9153">
            <w:pPr>
              <w:pStyle w:val="20"/>
              <w:jc w:val="center"/>
              <w:rPr>
                <w:rFonts w:ascii="Times New Roman"/>
                <w:color w:val="auto"/>
                <w:sz w:val="26"/>
                <w:highlight w:val="none"/>
              </w:rPr>
            </w:pPr>
          </w:p>
        </w:tc>
      </w:tr>
      <w:tr w14:paraId="15A3D9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6" w:hRule="atLeast"/>
          <w:jc w:val="center"/>
        </w:trPr>
        <w:tc>
          <w:tcPr>
            <w:tcW w:w="1940" w:type="dxa"/>
            <w:vAlign w:val="center"/>
          </w:tcPr>
          <w:p w14:paraId="1F477A00">
            <w:pPr>
              <w:pStyle w:val="20"/>
              <w:jc w:val="center"/>
              <w:rPr>
                <w:b/>
                <w:color w:val="auto"/>
                <w:sz w:val="28"/>
                <w:highlight w:val="none"/>
              </w:rPr>
            </w:pPr>
            <w:r>
              <w:rPr>
                <w:b/>
                <w:color w:val="auto"/>
                <w:sz w:val="28"/>
                <w:highlight w:val="none"/>
              </w:rPr>
              <w:t>投标总报价</w:t>
            </w:r>
          </w:p>
          <w:p w14:paraId="14200747">
            <w:pPr>
              <w:pStyle w:val="20"/>
              <w:jc w:val="center"/>
              <w:rPr>
                <w:b/>
                <w:color w:val="auto"/>
                <w:sz w:val="28"/>
                <w:highlight w:val="none"/>
              </w:rPr>
            </w:pPr>
            <w:r>
              <w:rPr>
                <w:b/>
                <w:color w:val="auto"/>
                <w:sz w:val="28"/>
                <w:highlight w:val="none"/>
              </w:rPr>
              <w:t>（小写）</w:t>
            </w:r>
          </w:p>
        </w:tc>
        <w:tc>
          <w:tcPr>
            <w:tcW w:w="6850" w:type="dxa"/>
            <w:vAlign w:val="center"/>
          </w:tcPr>
          <w:p w14:paraId="2BC3E7E4">
            <w:pPr>
              <w:pStyle w:val="20"/>
              <w:jc w:val="center"/>
              <w:rPr>
                <w:rFonts w:ascii="Times New Roman"/>
                <w:color w:val="auto"/>
                <w:sz w:val="26"/>
                <w:highlight w:val="none"/>
              </w:rPr>
            </w:pPr>
          </w:p>
        </w:tc>
      </w:tr>
      <w:tr w14:paraId="7F88E4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6" w:hRule="atLeast"/>
          <w:jc w:val="center"/>
        </w:trPr>
        <w:tc>
          <w:tcPr>
            <w:tcW w:w="1940" w:type="dxa"/>
            <w:vAlign w:val="center"/>
          </w:tcPr>
          <w:p w14:paraId="49CA2BD9">
            <w:pPr>
              <w:pStyle w:val="20"/>
              <w:jc w:val="center"/>
              <w:rPr>
                <w:b/>
                <w:color w:val="auto"/>
                <w:sz w:val="28"/>
                <w:highlight w:val="none"/>
              </w:rPr>
            </w:pPr>
            <w:r>
              <w:rPr>
                <w:b/>
                <w:color w:val="auto"/>
                <w:sz w:val="28"/>
                <w:highlight w:val="none"/>
              </w:rPr>
              <w:t>交货期</w:t>
            </w:r>
          </w:p>
        </w:tc>
        <w:tc>
          <w:tcPr>
            <w:tcW w:w="6850" w:type="dxa"/>
            <w:vAlign w:val="center"/>
          </w:tcPr>
          <w:p w14:paraId="6C010E27">
            <w:pPr>
              <w:pStyle w:val="20"/>
              <w:jc w:val="center"/>
              <w:rPr>
                <w:color w:val="auto"/>
                <w:sz w:val="28"/>
                <w:highlight w:val="none"/>
              </w:rPr>
            </w:pPr>
          </w:p>
        </w:tc>
      </w:tr>
      <w:tr w14:paraId="6B85B1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6" w:hRule="atLeast"/>
          <w:jc w:val="center"/>
        </w:trPr>
        <w:tc>
          <w:tcPr>
            <w:tcW w:w="1940" w:type="dxa"/>
            <w:vAlign w:val="center"/>
          </w:tcPr>
          <w:p w14:paraId="4551E81F">
            <w:pPr>
              <w:pStyle w:val="20"/>
              <w:jc w:val="center"/>
              <w:rPr>
                <w:b/>
                <w:color w:val="auto"/>
                <w:sz w:val="28"/>
                <w:highlight w:val="none"/>
              </w:rPr>
            </w:pPr>
            <w:r>
              <w:rPr>
                <w:rFonts w:hint="eastAsia"/>
                <w:b/>
                <w:color w:val="auto"/>
                <w:sz w:val="28"/>
                <w:highlight w:val="none"/>
              </w:rPr>
              <w:t>交货地点</w:t>
            </w:r>
          </w:p>
        </w:tc>
        <w:tc>
          <w:tcPr>
            <w:tcW w:w="6850" w:type="dxa"/>
            <w:vAlign w:val="center"/>
          </w:tcPr>
          <w:p w14:paraId="5F20EAE4">
            <w:pPr>
              <w:pStyle w:val="20"/>
              <w:jc w:val="center"/>
              <w:rPr>
                <w:color w:val="auto"/>
                <w:sz w:val="28"/>
                <w:highlight w:val="none"/>
              </w:rPr>
            </w:pPr>
          </w:p>
        </w:tc>
      </w:tr>
      <w:tr w14:paraId="6D7C64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6" w:hRule="atLeast"/>
          <w:jc w:val="center"/>
        </w:trPr>
        <w:tc>
          <w:tcPr>
            <w:tcW w:w="1940" w:type="dxa"/>
            <w:vAlign w:val="center"/>
          </w:tcPr>
          <w:p w14:paraId="41BAB504">
            <w:pPr>
              <w:pStyle w:val="20"/>
              <w:jc w:val="center"/>
              <w:rPr>
                <w:b/>
                <w:color w:val="auto"/>
                <w:sz w:val="28"/>
                <w:highlight w:val="none"/>
              </w:rPr>
            </w:pPr>
            <w:r>
              <w:rPr>
                <w:b/>
                <w:color w:val="auto"/>
                <w:sz w:val="28"/>
                <w:highlight w:val="none"/>
              </w:rPr>
              <w:t>质保期</w:t>
            </w:r>
          </w:p>
        </w:tc>
        <w:tc>
          <w:tcPr>
            <w:tcW w:w="6850" w:type="dxa"/>
            <w:vAlign w:val="center"/>
          </w:tcPr>
          <w:p w14:paraId="32BF3C63">
            <w:pPr>
              <w:pStyle w:val="20"/>
              <w:jc w:val="center"/>
              <w:rPr>
                <w:color w:val="auto"/>
                <w:sz w:val="28"/>
                <w:highlight w:val="none"/>
              </w:rPr>
            </w:pPr>
          </w:p>
        </w:tc>
      </w:tr>
      <w:tr w14:paraId="0617D1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6" w:hRule="atLeast"/>
          <w:jc w:val="center"/>
        </w:trPr>
        <w:tc>
          <w:tcPr>
            <w:tcW w:w="1940" w:type="dxa"/>
            <w:vAlign w:val="center"/>
          </w:tcPr>
          <w:p w14:paraId="0E33B0D2">
            <w:pPr>
              <w:pStyle w:val="20"/>
              <w:jc w:val="center"/>
              <w:rPr>
                <w:b/>
                <w:color w:val="auto"/>
                <w:sz w:val="28"/>
                <w:highlight w:val="none"/>
              </w:rPr>
            </w:pPr>
            <w:r>
              <w:rPr>
                <w:rFonts w:hint="eastAsia"/>
                <w:b/>
                <w:color w:val="auto"/>
                <w:sz w:val="28"/>
                <w:highlight w:val="none"/>
              </w:rPr>
              <w:t>质量标准</w:t>
            </w:r>
          </w:p>
        </w:tc>
        <w:tc>
          <w:tcPr>
            <w:tcW w:w="6850" w:type="dxa"/>
            <w:vAlign w:val="center"/>
          </w:tcPr>
          <w:p w14:paraId="118E15B6">
            <w:pPr>
              <w:pStyle w:val="20"/>
              <w:jc w:val="center"/>
              <w:rPr>
                <w:color w:val="auto"/>
                <w:sz w:val="28"/>
                <w:highlight w:val="none"/>
              </w:rPr>
            </w:pPr>
          </w:p>
        </w:tc>
      </w:tr>
      <w:tr w14:paraId="7F35E8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6" w:hRule="atLeast"/>
          <w:jc w:val="center"/>
        </w:trPr>
        <w:tc>
          <w:tcPr>
            <w:tcW w:w="1940" w:type="dxa"/>
            <w:vAlign w:val="center"/>
          </w:tcPr>
          <w:p w14:paraId="5839A6F3">
            <w:pPr>
              <w:pStyle w:val="20"/>
              <w:jc w:val="center"/>
              <w:rPr>
                <w:b/>
                <w:color w:val="auto"/>
                <w:sz w:val="28"/>
                <w:highlight w:val="none"/>
              </w:rPr>
            </w:pPr>
            <w:r>
              <w:rPr>
                <w:b/>
                <w:color w:val="auto"/>
                <w:sz w:val="28"/>
                <w:highlight w:val="none"/>
              </w:rPr>
              <w:t>投标有效期</w:t>
            </w:r>
          </w:p>
        </w:tc>
        <w:tc>
          <w:tcPr>
            <w:tcW w:w="6850" w:type="dxa"/>
            <w:vAlign w:val="center"/>
          </w:tcPr>
          <w:p w14:paraId="36C6AF0A">
            <w:pPr>
              <w:pStyle w:val="20"/>
              <w:jc w:val="center"/>
              <w:rPr>
                <w:color w:val="auto"/>
                <w:sz w:val="28"/>
                <w:highlight w:val="none"/>
              </w:rPr>
            </w:pPr>
          </w:p>
        </w:tc>
      </w:tr>
      <w:tr w14:paraId="5E8347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6" w:hRule="atLeast"/>
          <w:jc w:val="center"/>
        </w:trPr>
        <w:tc>
          <w:tcPr>
            <w:tcW w:w="1940" w:type="dxa"/>
            <w:vAlign w:val="center"/>
          </w:tcPr>
          <w:p w14:paraId="522B1639">
            <w:pPr>
              <w:pStyle w:val="20"/>
              <w:jc w:val="center"/>
              <w:rPr>
                <w:b/>
                <w:color w:val="auto"/>
                <w:sz w:val="28"/>
                <w:highlight w:val="none"/>
              </w:rPr>
            </w:pPr>
            <w:r>
              <w:rPr>
                <w:b/>
                <w:color w:val="auto"/>
                <w:sz w:val="28"/>
                <w:highlight w:val="none"/>
              </w:rPr>
              <w:t>其他声明</w:t>
            </w:r>
          </w:p>
        </w:tc>
        <w:tc>
          <w:tcPr>
            <w:tcW w:w="6850" w:type="dxa"/>
            <w:vAlign w:val="center"/>
          </w:tcPr>
          <w:p w14:paraId="5A007487">
            <w:pPr>
              <w:pStyle w:val="20"/>
              <w:jc w:val="center"/>
              <w:rPr>
                <w:rFonts w:ascii="Times New Roman"/>
                <w:color w:val="auto"/>
                <w:sz w:val="26"/>
                <w:highlight w:val="none"/>
              </w:rPr>
            </w:pPr>
          </w:p>
        </w:tc>
      </w:tr>
    </w:tbl>
    <w:p w14:paraId="6D5A8E8D">
      <w:pPr>
        <w:pStyle w:val="7"/>
        <w:spacing w:line="360" w:lineRule="auto"/>
        <w:ind w:firstLine="562" w:firstLineChars="200"/>
        <w:jc w:val="both"/>
        <w:rPr>
          <w:b/>
          <w:color w:val="auto"/>
          <w:highlight w:val="none"/>
        </w:rPr>
      </w:pPr>
    </w:p>
    <w:p w14:paraId="461BB900">
      <w:pPr>
        <w:pStyle w:val="7"/>
        <w:spacing w:line="360" w:lineRule="auto"/>
        <w:ind w:firstLine="560" w:firstLineChars="200"/>
        <w:jc w:val="both"/>
        <w:rPr>
          <w:color w:val="auto"/>
          <w:highlight w:val="none"/>
        </w:rPr>
      </w:pPr>
      <w:r>
        <w:rPr>
          <w:color w:val="auto"/>
          <w:highlight w:val="none"/>
        </w:rPr>
        <w:t>投标人（企业电子签章）：</w:t>
      </w:r>
    </w:p>
    <w:p w14:paraId="3094FF8E">
      <w:pPr>
        <w:pStyle w:val="7"/>
        <w:spacing w:line="360" w:lineRule="auto"/>
        <w:ind w:firstLine="800" w:firstLineChars="200"/>
        <w:jc w:val="both"/>
        <w:rPr>
          <w:color w:val="auto"/>
          <w:sz w:val="40"/>
          <w:highlight w:val="none"/>
        </w:rPr>
      </w:pPr>
    </w:p>
    <w:p w14:paraId="5F1CBA29">
      <w:pPr>
        <w:pStyle w:val="7"/>
        <w:spacing w:line="360" w:lineRule="auto"/>
        <w:ind w:firstLine="560" w:firstLineChars="200"/>
        <w:jc w:val="both"/>
        <w:rPr>
          <w:color w:val="auto"/>
          <w:highlight w:val="none"/>
        </w:rPr>
      </w:pPr>
      <w:r>
        <w:rPr>
          <w:rFonts w:hint="eastAsia"/>
          <w:color w:val="auto"/>
          <w:szCs w:val="21"/>
          <w:highlight w:val="none"/>
        </w:rPr>
        <w:t>法定代表人或其委托代理人：</w:t>
      </w:r>
      <w:r>
        <w:rPr>
          <w:rFonts w:hint="eastAsia"/>
          <w:color w:val="auto"/>
          <w:szCs w:val="21"/>
          <w:highlight w:val="none"/>
          <w:u w:val="single"/>
        </w:rPr>
        <w:t>（签字或盖章）</w:t>
      </w:r>
    </w:p>
    <w:p w14:paraId="6C1E8CFC">
      <w:pPr>
        <w:spacing w:line="360" w:lineRule="auto"/>
        <w:ind w:firstLine="400" w:firstLineChars="200"/>
        <w:jc w:val="both"/>
        <w:rPr>
          <w:color w:val="auto"/>
          <w:sz w:val="20"/>
          <w:highlight w:val="none"/>
        </w:rPr>
      </w:pPr>
      <w:r>
        <w:rPr>
          <w:color w:val="auto"/>
          <w:sz w:val="20"/>
          <w:highlight w:val="none"/>
        </w:rPr>
        <w:br w:type="page"/>
      </w:r>
    </w:p>
    <w:p w14:paraId="6B13946F">
      <w:pPr>
        <w:pStyle w:val="7"/>
        <w:spacing w:line="360" w:lineRule="auto"/>
        <w:ind w:firstLine="400" w:firstLineChars="200"/>
        <w:jc w:val="both"/>
        <w:rPr>
          <w:color w:val="auto"/>
          <w:sz w:val="20"/>
          <w:highlight w:val="none"/>
        </w:rPr>
      </w:pPr>
    </w:p>
    <w:p w14:paraId="69324DF3">
      <w:pPr>
        <w:pStyle w:val="5"/>
        <w:numPr>
          <w:ilvl w:val="1"/>
          <w:numId w:val="19"/>
        </w:numPr>
        <w:tabs>
          <w:tab w:val="left" w:pos="423"/>
        </w:tabs>
        <w:spacing w:line="360" w:lineRule="auto"/>
        <w:ind w:left="0" w:firstLine="562" w:firstLineChars="200"/>
        <w:jc w:val="both"/>
        <w:rPr>
          <w:rFonts w:ascii="黑体" w:eastAsia="黑体"/>
          <w:color w:val="auto"/>
          <w:highlight w:val="none"/>
        </w:rPr>
      </w:pPr>
      <w:bookmarkStart w:id="55" w:name="2._投标分项报价表"/>
      <w:bookmarkEnd w:id="55"/>
      <w:r>
        <w:rPr>
          <w:rFonts w:hint="eastAsia" w:ascii="黑体" w:eastAsia="黑体"/>
          <w:color w:val="auto"/>
          <w:highlight w:val="none"/>
        </w:rPr>
        <w:t>投标分项报价表</w:t>
      </w:r>
    </w:p>
    <w:p w14:paraId="49E54535">
      <w:pPr>
        <w:spacing w:line="360" w:lineRule="auto"/>
        <w:ind w:firstLine="440" w:firstLineChars="200"/>
        <w:jc w:val="both"/>
        <w:rPr>
          <w:color w:val="auto"/>
          <w:highlight w:val="none"/>
        </w:rPr>
      </w:pPr>
      <w:r>
        <w:rPr>
          <w:color w:val="auto"/>
          <w:highlight w:val="none"/>
        </w:rPr>
        <w:t>项目编号</w:t>
      </w:r>
      <w:r>
        <w:rPr>
          <w:rFonts w:hint="eastAsia"/>
          <w:color w:val="auto"/>
          <w:highlight w:val="none"/>
        </w:rPr>
        <w:t>：</w:t>
      </w:r>
      <w:r>
        <w:rPr>
          <w:color w:val="auto"/>
          <w:highlight w:val="none"/>
        </w:rPr>
        <w:t xml:space="preserve"> 豫财招标采购</w:t>
      </w:r>
      <w:r>
        <w:rPr>
          <w:rFonts w:hint="eastAsia"/>
          <w:color w:val="auto"/>
          <w:highlight w:val="none"/>
        </w:rPr>
        <w:t>－</w:t>
      </w:r>
    </w:p>
    <w:p w14:paraId="7B9CEB9A">
      <w:pPr>
        <w:pStyle w:val="5"/>
        <w:tabs>
          <w:tab w:val="left" w:pos="423"/>
        </w:tabs>
        <w:spacing w:line="360" w:lineRule="auto"/>
        <w:ind w:left="0" w:firstLine="562" w:firstLineChars="200"/>
        <w:jc w:val="both"/>
        <w:rPr>
          <w:rFonts w:ascii="黑体" w:eastAsia="黑体"/>
          <w:color w:val="auto"/>
          <w:highlight w:val="none"/>
        </w:rPr>
      </w:pPr>
      <w:r>
        <w:rPr>
          <w:color w:val="auto"/>
          <w:highlight w:val="none"/>
        </w:rPr>
        <w:t>报价单位：人民币元</w:t>
      </w:r>
    </w:p>
    <w:tbl>
      <w:tblPr>
        <w:tblStyle w:val="15"/>
        <w:tblW w:w="961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13"/>
        <w:gridCol w:w="972"/>
        <w:gridCol w:w="825"/>
        <w:gridCol w:w="510"/>
        <w:gridCol w:w="1065"/>
        <w:gridCol w:w="975"/>
        <w:gridCol w:w="855"/>
        <w:gridCol w:w="705"/>
        <w:gridCol w:w="705"/>
        <w:gridCol w:w="735"/>
        <w:gridCol w:w="825"/>
        <w:gridCol w:w="825"/>
      </w:tblGrid>
      <w:tr w14:paraId="0990B1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jc w:val="center"/>
        </w:trPr>
        <w:tc>
          <w:tcPr>
            <w:tcW w:w="613" w:type="dxa"/>
            <w:vAlign w:val="center"/>
          </w:tcPr>
          <w:p w14:paraId="4E075B9F">
            <w:pPr>
              <w:pStyle w:val="11"/>
              <w:spacing w:before="0"/>
              <w:ind w:left="0"/>
              <w:jc w:val="center"/>
              <w:rPr>
                <w:b/>
                <w:bCs/>
                <w:color w:val="auto"/>
                <w:sz w:val="21"/>
                <w:szCs w:val="21"/>
                <w:highlight w:val="none"/>
              </w:rPr>
            </w:pPr>
            <w:r>
              <w:rPr>
                <w:b/>
                <w:bCs/>
                <w:color w:val="auto"/>
                <w:sz w:val="21"/>
                <w:szCs w:val="21"/>
                <w:highlight w:val="none"/>
              </w:rPr>
              <w:t>序号</w:t>
            </w:r>
          </w:p>
        </w:tc>
        <w:tc>
          <w:tcPr>
            <w:tcW w:w="972" w:type="dxa"/>
            <w:vAlign w:val="center"/>
          </w:tcPr>
          <w:p w14:paraId="0B52B32A">
            <w:pPr>
              <w:pStyle w:val="11"/>
              <w:spacing w:before="0"/>
              <w:ind w:left="0"/>
              <w:jc w:val="center"/>
              <w:rPr>
                <w:b/>
                <w:bCs/>
                <w:color w:val="auto"/>
                <w:sz w:val="21"/>
                <w:szCs w:val="21"/>
                <w:highlight w:val="none"/>
              </w:rPr>
            </w:pPr>
            <w:r>
              <w:rPr>
                <w:b/>
                <w:bCs/>
                <w:color w:val="auto"/>
                <w:sz w:val="21"/>
                <w:szCs w:val="21"/>
                <w:highlight w:val="none"/>
              </w:rPr>
              <w:t>货物</w:t>
            </w:r>
          </w:p>
          <w:p w14:paraId="7EB001E9">
            <w:pPr>
              <w:pStyle w:val="11"/>
              <w:spacing w:before="0"/>
              <w:ind w:left="0"/>
              <w:jc w:val="center"/>
              <w:rPr>
                <w:b/>
                <w:bCs/>
                <w:color w:val="auto"/>
                <w:sz w:val="21"/>
                <w:szCs w:val="21"/>
                <w:highlight w:val="none"/>
              </w:rPr>
            </w:pPr>
            <w:r>
              <w:rPr>
                <w:b/>
                <w:bCs/>
                <w:color w:val="auto"/>
                <w:sz w:val="21"/>
                <w:szCs w:val="21"/>
                <w:highlight w:val="none"/>
              </w:rPr>
              <w:t>名称</w:t>
            </w:r>
          </w:p>
        </w:tc>
        <w:tc>
          <w:tcPr>
            <w:tcW w:w="825" w:type="dxa"/>
            <w:vAlign w:val="center"/>
          </w:tcPr>
          <w:p w14:paraId="41463591">
            <w:pPr>
              <w:pStyle w:val="11"/>
              <w:spacing w:before="0"/>
              <w:ind w:left="0"/>
              <w:jc w:val="center"/>
              <w:rPr>
                <w:b/>
                <w:bCs/>
                <w:color w:val="auto"/>
                <w:sz w:val="21"/>
                <w:szCs w:val="21"/>
                <w:highlight w:val="none"/>
              </w:rPr>
            </w:pPr>
            <w:r>
              <w:rPr>
                <w:b/>
                <w:bCs/>
                <w:color w:val="auto"/>
                <w:sz w:val="21"/>
                <w:szCs w:val="21"/>
                <w:highlight w:val="none"/>
              </w:rPr>
              <w:t>品牌</w:t>
            </w:r>
          </w:p>
        </w:tc>
        <w:tc>
          <w:tcPr>
            <w:tcW w:w="510" w:type="dxa"/>
            <w:vAlign w:val="center"/>
          </w:tcPr>
          <w:p w14:paraId="3D81C123">
            <w:pPr>
              <w:pStyle w:val="11"/>
              <w:spacing w:before="0"/>
              <w:ind w:left="0"/>
              <w:jc w:val="center"/>
              <w:rPr>
                <w:b/>
                <w:bCs/>
                <w:color w:val="auto"/>
                <w:sz w:val="21"/>
                <w:szCs w:val="21"/>
                <w:highlight w:val="none"/>
              </w:rPr>
            </w:pPr>
            <w:r>
              <w:rPr>
                <w:rFonts w:hint="eastAsia"/>
                <w:b/>
                <w:bCs/>
                <w:color w:val="auto"/>
                <w:sz w:val="21"/>
                <w:szCs w:val="21"/>
                <w:highlight w:val="none"/>
              </w:rPr>
              <w:t>规格</w:t>
            </w:r>
            <w:r>
              <w:rPr>
                <w:b/>
                <w:bCs/>
                <w:color w:val="auto"/>
                <w:sz w:val="21"/>
                <w:szCs w:val="21"/>
                <w:highlight w:val="none"/>
              </w:rPr>
              <w:t>型号</w:t>
            </w:r>
          </w:p>
        </w:tc>
        <w:tc>
          <w:tcPr>
            <w:tcW w:w="1065" w:type="dxa"/>
            <w:vAlign w:val="center"/>
          </w:tcPr>
          <w:p w14:paraId="35DB1DCD">
            <w:pPr>
              <w:pStyle w:val="11"/>
              <w:spacing w:before="0"/>
              <w:ind w:left="0"/>
              <w:jc w:val="center"/>
              <w:rPr>
                <w:b/>
                <w:bCs/>
                <w:color w:val="auto"/>
                <w:sz w:val="21"/>
                <w:szCs w:val="21"/>
                <w:highlight w:val="none"/>
              </w:rPr>
            </w:pPr>
            <w:r>
              <w:rPr>
                <w:b/>
                <w:bCs/>
                <w:color w:val="auto"/>
                <w:sz w:val="21"/>
                <w:szCs w:val="21"/>
                <w:highlight w:val="none"/>
              </w:rPr>
              <w:t>制造商</w:t>
            </w:r>
          </w:p>
          <w:p w14:paraId="32132341">
            <w:pPr>
              <w:pStyle w:val="11"/>
              <w:spacing w:before="0"/>
              <w:ind w:left="0"/>
              <w:jc w:val="center"/>
              <w:rPr>
                <w:b/>
                <w:bCs/>
                <w:color w:val="auto"/>
                <w:sz w:val="21"/>
                <w:szCs w:val="21"/>
                <w:highlight w:val="none"/>
              </w:rPr>
            </w:pPr>
            <w:r>
              <w:rPr>
                <w:b/>
                <w:bCs/>
                <w:color w:val="auto"/>
                <w:sz w:val="21"/>
                <w:szCs w:val="21"/>
                <w:highlight w:val="none"/>
              </w:rPr>
              <w:t>名称</w:t>
            </w:r>
          </w:p>
        </w:tc>
        <w:tc>
          <w:tcPr>
            <w:tcW w:w="975" w:type="dxa"/>
            <w:vAlign w:val="center"/>
          </w:tcPr>
          <w:p w14:paraId="233C5007">
            <w:pPr>
              <w:pStyle w:val="11"/>
              <w:spacing w:before="0"/>
              <w:ind w:left="0"/>
              <w:jc w:val="center"/>
              <w:rPr>
                <w:b/>
                <w:bCs/>
                <w:color w:val="auto"/>
                <w:sz w:val="21"/>
                <w:szCs w:val="21"/>
                <w:highlight w:val="none"/>
              </w:rPr>
            </w:pPr>
            <w:r>
              <w:rPr>
                <w:b/>
                <w:bCs/>
                <w:color w:val="auto"/>
                <w:sz w:val="21"/>
                <w:szCs w:val="21"/>
                <w:highlight w:val="none"/>
              </w:rPr>
              <w:t>原产地</w:t>
            </w:r>
          </w:p>
        </w:tc>
        <w:tc>
          <w:tcPr>
            <w:tcW w:w="855" w:type="dxa"/>
            <w:vAlign w:val="center"/>
          </w:tcPr>
          <w:p w14:paraId="5BD6E718">
            <w:pPr>
              <w:pStyle w:val="11"/>
              <w:spacing w:before="0"/>
              <w:ind w:left="0"/>
              <w:jc w:val="center"/>
              <w:rPr>
                <w:b/>
                <w:bCs/>
                <w:color w:val="auto"/>
                <w:sz w:val="21"/>
                <w:szCs w:val="21"/>
                <w:highlight w:val="none"/>
              </w:rPr>
            </w:pPr>
            <w:r>
              <w:rPr>
                <w:b/>
                <w:bCs/>
                <w:color w:val="auto"/>
                <w:sz w:val="21"/>
                <w:szCs w:val="21"/>
                <w:highlight w:val="none"/>
              </w:rPr>
              <w:t>国别</w:t>
            </w:r>
          </w:p>
        </w:tc>
        <w:tc>
          <w:tcPr>
            <w:tcW w:w="705" w:type="dxa"/>
            <w:vAlign w:val="center"/>
          </w:tcPr>
          <w:p w14:paraId="5E6C79A8">
            <w:pPr>
              <w:pStyle w:val="11"/>
              <w:spacing w:before="0"/>
              <w:ind w:left="0"/>
              <w:jc w:val="center"/>
              <w:rPr>
                <w:b/>
                <w:bCs/>
                <w:color w:val="auto"/>
                <w:sz w:val="21"/>
                <w:szCs w:val="21"/>
                <w:highlight w:val="none"/>
              </w:rPr>
            </w:pPr>
            <w:r>
              <w:rPr>
                <w:b/>
                <w:bCs/>
                <w:color w:val="auto"/>
                <w:sz w:val="21"/>
                <w:szCs w:val="21"/>
                <w:highlight w:val="none"/>
              </w:rPr>
              <w:t>是否</w:t>
            </w:r>
          </w:p>
          <w:p w14:paraId="0283F821">
            <w:pPr>
              <w:pStyle w:val="11"/>
              <w:spacing w:before="0"/>
              <w:ind w:left="0"/>
              <w:jc w:val="center"/>
              <w:rPr>
                <w:b/>
                <w:bCs/>
                <w:color w:val="auto"/>
                <w:sz w:val="21"/>
                <w:szCs w:val="21"/>
                <w:highlight w:val="none"/>
              </w:rPr>
            </w:pPr>
            <w:r>
              <w:rPr>
                <w:b/>
                <w:bCs/>
                <w:color w:val="auto"/>
                <w:sz w:val="21"/>
                <w:szCs w:val="21"/>
                <w:highlight w:val="none"/>
              </w:rPr>
              <w:t>进口</w:t>
            </w:r>
          </w:p>
        </w:tc>
        <w:tc>
          <w:tcPr>
            <w:tcW w:w="705" w:type="dxa"/>
            <w:vAlign w:val="center"/>
          </w:tcPr>
          <w:p w14:paraId="1BD2B227">
            <w:pPr>
              <w:pStyle w:val="11"/>
              <w:spacing w:before="0"/>
              <w:ind w:left="0"/>
              <w:jc w:val="center"/>
              <w:rPr>
                <w:b/>
                <w:bCs/>
                <w:color w:val="auto"/>
                <w:sz w:val="21"/>
                <w:szCs w:val="21"/>
                <w:highlight w:val="none"/>
              </w:rPr>
            </w:pPr>
            <w:r>
              <w:rPr>
                <w:b/>
                <w:bCs/>
                <w:color w:val="auto"/>
                <w:sz w:val="21"/>
                <w:szCs w:val="21"/>
                <w:highlight w:val="none"/>
              </w:rPr>
              <w:t>单位</w:t>
            </w:r>
          </w:p>
        </w:tc>
        <w:tc>
          <w:tcPr>
            <w:tcW w:w="735" w:type="dxa"/>
            <w:vAlign w:val="center"/>
          </w:tcPr>
          <w:p w14:paraId="7D09436E">
            <w:pPr>
              <w:pStyle w:val="11"/>
              <w:spacing w:before="0"/>
              <w:ind w:left="0"/>
              <w:jc w:val="center"/>
              <w:rPr>
                <w:b/>
                <w:bCs/>
                <w:color w:val="auto"/>
                <w:sz w:val="21"/>
                <w:szCs w:val="21"/>
                <w:highlight w:val="none"/>
              </w:rPr>
            </w:pPr>
            <w:r>
              <w:rPr>
                <w:b/>
                <w:bCs/>
                <w:color w:val="auto"/>
                <w:sz w:val="21"/>
                <w:szCs w:val="21"/>
                <w:highlight w:val="none"/>
              </w:rPr>
              <w:t>数量</w:t>
            </w:r>
          </w:p>
        </w:tc>
        <w:tc>
          <w:tcPr>
            <w:tcW w:w="825" w:type="dxa"/>
            <w:vAlign w:val="center"/>
          </w:tcPr>
          <w:p w14:paraId="676CCBD1">
            <w:pPr>
              <w:pStyle w:val="11"/>
              <w:spacing w:before="0"/>
              <w:ind w:left="0"/>
              <w:jc w:val="center"/>
              <w:rPr>
                <w:b/>
                <w:bCs/>
                <w:color w:val="auto"/>
                <w:sz w:val="21"/>
                <w:szCs w:val="21"/>
                <w:highlight w:val="none"/>
              </w:rPr>
            </w:pPr>
            <w:r>
              <w:rPr>
                <w:b/>
                <w:bCs/>
                <w:color w:val="auto"/>
                <w:sz w:val="21"/>
                <w:szCs w:val="21"/>
                <w:highlight w:val="none"/>
              </w:rPr>
              <w:t>单价</w:t>
            </w:r>
          </w:p>
        </w:tc>
        <w:tc>
          <w:tcPr>
            <w:tcW w:w="825" w:type="dxa"/>
            <w:vAlign w:val="center"/>
          </w:tcPr>
          <w:p w14:paraId="53D410AD">
            <w:pPr>
              <w:pStyle w:val="11"/>
              <w:spacing w:before="0"/>
              <w:ind w:left="0"/>
              <w:jc w:val="center"/>
              <w:rPr>
                <w:b/>
                <w:bCs/>
                <w:color w:val="auto"/>
                <w:sz w:val="21"/>
                <w:szCs w:val="21"/>
                <w:highlight w:val="none"/>
              </w:rPr>
            </w:pPr>
            <w:r>
              <w:rPr>
                <w:b/>
                <w:bCs/>
                <w:color w:val="auto"/>
                <w:sz w:val="21"/>
                <w:szCs w:val="21"/>
                <w:highlight w:val="none"/>
              </w:rPr>
              <w:t>小计</w:t>
            </w:r>
          </w:p>
        </w:tc>
      </w:tr>
      <w:tr w14:paraId="02011B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3" w:hRule="atLeast"/>
          <w:jc w:val="center"/>
        </w:trPr>
        <w:tc>
          <w:tcPr>
            <w:tcW w:w="613" w:type="dxa"/>
            <w:vAlign w:val="center"/>
          </w:tcPr>
          <w:p w14:paraId="0EF3E171">
            <w:pPr>
              <w:pStyle w:val="20"/>
              <w:spacing w:line="360" w:lineRule="auto"/>
              <w:jc w:val="center"/>
              <w:rPr>
                <w:color w:val="auto"/>
                <w:sz w:val="21"/>
                <w:szCs w:val="21"/>
                <w:highlight w:val="none"/>
              </w:rPr>
            </w:pPr>
            <w:r>
              <w:rPr>
                <w:color w:val="auto"/>
                <w:sz w:val="21"/>
                <w:szCs w:val="21"/>
                <w:highlight w:val="none"/>
              </w:rPr>
              <w:t>1</w:t>
            </w:r>
          </w:p>
        </w:tc>
        <w:tc>
          <w:tcPr>
            <w:tcW w:w="972" w:type="dxa"/>
            <w:vAlign w:val="center"/>
          </w:tcPr>
          <w:p w14:paraId="3D1C7807">
            <w:pPr>
              <w:pStyle w:val="20"/>
              <w:spacing w:line="360" w:lineRule="auto"/>
              <w:jc w:val="center"/>
              <w:rPr>
                <w:rFonts w:ascii="Times New Roman"/>
                <w:color w:val="auto"/>
                <w:sz w:val="21"/>
                <w:szCs w:val="21"/>
                <w:highlight w:val="none"/>
              </w:rPr>
            </w:pPr>
          </w:p>
        </w:tc>
        <w:tc>
          <w:tcPr>
            <w:tcW w:w="825" w:type="dxa"/>
            <w:vAlign w:val="center"/>
          </w:tcPr>
          <w:p w14:paraId="0835856E">
            <w:pPr>
              <w:pStyle w:val="20"/>
              <w:spacing w:line="360" w:lineRule="auto"/>
              <w:jc w:val="center"/>
              <w:rPr>
                <w:rFonts w:ascii="Times New Roman"/>
                <w:color w:val="auto"/>
                <w:sz w:val="21"/>
                <w:szCs w:val="21"/>
                <w:highlight w:val="none"/>
              </w:rPr>
            </w:pPr>
          </w:p>
        </w:tc>
        <w:tc>
          <w:tcPr>
            <w:tcW w:w="510" w:type="dxa"/>
            <w:vAlign w:val="center"/>
          </w:tcPr>
          <w:p w14:paraId="084C7B1F">
            <w:pPr>
              <w:pStyle w:val="20"/>
              <w:spacing w:line="360" w:lineRule="auto"/>
              <w:jc w:val="center"/>
              <w:rPr>
                <w:rFonts w:ascii="Times New Roman"/>
                <w:color w:val="auto"/>
                <w:sz w:val="21"/>
                <w:szCs w:val="21"/>
                <w:highlight w:val="none"/>
              </w:rPr>
            </w:pPr>
          </w:p>
        </w:tc>
        <w:tc>
          <w:tcPr>
            <w:tcW w:w="1065" w:type="dxa"/>
            <w:vAlign w:val="center"/>
          </w:tcPr>
          <w:p w14:paraId="791C038A">
            <w:pPr>
              <w:pStyle w:val="20"/>
              <w:spacing w:line="360" w:lineRule="auto"/>
              <w:jc w:val="center"/>
              <w:rPr>
                <w:rFonts w:ascii="Times New Roman"/>
                <w:color w:val="auto"/>
                <w:sz w:val="21"/>
                <w:szCs w:val="21"/>
                <w:highlight w:val="none"/>
              </w:rPr>
            </w:pPr>
          </w:p>
        </w:tc>
        <w:tc>
          <w:tcPr>
            <w:tcW w:w="975" w:type="dxa"/>
            <w:vAlign w:val="center"/>
          </w:tcPr>
          <w:p w14:paraId="42C0B693">
            <w:pPr>
              <w:pStyle w:val="20"/>
              <w:spacing w:line="360" w:lineRule="auto"/>
              <w:jc w:val="center"/>
              <w:rPr>
                <w:rFonts w:ascii="Times New Roman"/>
                <w:color w:val="auto"/>
                <w:sz w:val="21"/>
                <w:szCs w:val="21"/>
                <w:highlight w:val="none"/>
              </w:rPr>
            </w:pPr>
          </w:p>
        </w:tc>
        <w:tc>
          <w:tcPr>
            <w:tcW w:w="855" w:type="dxa"/>
            <w:vAlign w:val="center"/>
          </w:tcPr>
          <w:p w14:paraId="7628FF8A">
            <w:pPr>
              <w:pStyle w:val="20"/>
              <w:spacing w:line="360" w:lineRule="auto"/>
              <w:jc w:val="center"/>
              <w:rPr>
                <w:rFonts w:ascii="Times New Roman"/>
                <w:color w:val="auto"/>
                <w:sz w:val="21"/>
                <w:szCs w:val="21"/>
                <w:highlight w:val="none"/>
              </w:rPr>
            </w:pPr>
          </w:p>
        </w:tc>
        <w:tc>
          <w:tcPr>
            <w:tcW w:w="705" w:type="dxa"/>
            <w:vAlign w:val="center"/>
          </w:tcPr>
          <w:p w14:paraId="1DE03EAE">
            <w:pPr>
              <w:pStyle w:val="20"/>
              <w:spacing w:line="360" w:lineRule="auto"/>
              <w:jc w:val="center"/>
              <w:rPr>
                <w:rFonts w:ascii="Times New Roman"/>
                <w:color w:val="auto"/>
                <w:sz w:val="21"/>
                <w:szCs w:val="21"/>
                <w:highlight w:val="none"/>
              </w:rPr>
            </w:pPr>
          </w:p>
        </w:tc>
        <w:tc>
          <w:tcPr>
            <w:tcW w:w="705" w:type="dxa"/>
            <w:vAlign w:val="center"/>
          </w:tcPr>
          <w:p w14:paraId="3ED16244">
            <w:pPr>
              <w:pStyle w:val="20"/>
              <w:spacing w:line="360" w:lineRule="auto"/>
              <w:jc w:val="center"/>
              <w:rPr>
                <w:rFonts w:ascii="Times New Roman"/>
                <w:color w:val="auto"/>
                <w:sz w:val="21"/>
                <w:szCs w:val="21"/>
                <w:highlight w:val="none"/>
              </w:rPr>
            </w:pPr>
          </w:p>
        </w:tc>
        <w:tc>
          <w:tcPr>
            <w:tcW w:w="735" w:type="dxa"/>
            <w:vAlign w:val="center"/>
          </w:tcPr>
          <w:p w14:paraId="01B3A85E">
            <w:pPr>
              <w:pStyle w:val="20"/>
              <w:spacing w:line="360" w:lineRule="auto"/>
              <w:jc w:val="center"/>
              <w:rPr>
                <w:rFonts w:ascii="Times New Roman"/>
                <w:color w:val="auto"/>
                <w:sz w:val="21"/>
                <w:szCs w:val="21"/>
                <w:highlight w:val="none"/>
              </w:rPr>
            </w:pPr>
          </w:p>
        </w:tc>
        <w:tc>
          <w:tcPr>
            <w:tcW w:w="825" w:type="dxa"/>
            <w:vAlign w:val="center"/>
          </w:tcPr>
          <w:p w14:paraId="644ED392">
            <w:pPr>
              <w:pStyle w:val="20"/>
              <w:spacing w:line="360" w:lineRule="auto"/>
              <w:jc w:val="center"/>
              <w:rPr>
                <w:rFonts w:ascii="Times New Roman"/>
                <w:color w:val="auto"/>
                <w:sz w:val="21"/>
                <w:szCs w:val="21"/>
                <w:highlight w:val="none"/>
              </w:rPr>
            </w:pPr>
          </w:p>
        </w:tc>
        <w:tc>
          <w:tcPr>
            <w:tcW w:w="825" w:type="dxa"/>
            <w:vAlign w:val="center"/>
          </w:tcPr>
          <w:p w14:paraId="3F177570">
            <w:pPr>
              <w:pStyle w:val="20"/>
              <w:spacing w:line="360" w:lineRule="auto"/>
              <w:jc w:val="center"/>
              <w:rPr>
                <w:rFonts w:ascii="Times New Roman"/>
                <w:color w:val="auto"/>
                <w:sz w:val="21"/>
                <w:szCs w:val="21"/>
                <w:highlight w:val="none"/>
              </w:rPr>
            </w:pPr>
          </w:p>
        </w:tc>
      </w:tr>
      <w:tr w14:paraId="23500F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613" w:type="dxa"/>
            <w:vAlign w:val="center"/>
          </w:tcPr>
          <w:p w14:paraId="7F8EF14A">
            <w:pPr>
              <w:pStyle w:val="20"/>
              <w:spacing w:line="360" w:lineRule="auto"/>
              <w:jc w:val="center"/>
              <w:rPr>
                <w:color w:val="auto"/>
                <w:sz w:val="21"/>
                <w:szCs w:val="21"/>
                <w:highlight w:val="none"/>
              </w:rPr>
            </w:pPr>
            <w:r>
              <w:rPr>
                <w:color w:val="auto"/>
                <w:sz w:val="21"/>
                <w:szCs w:val="21"/>
                <w:highlight w:val="none"/>
              </w:rPr>
              <w:t>2</w:t>
            </w:r>
          </w:p>
        </w:tc>
        <w:tc>
          <w:tcPr>
            <w:tcW w:w="972" w:type="dxa"/>
            <w:vAlign w:val="center"/>
          </w:tcPr>
          <w:p w14:paraId="29CBAE5B">
            <w:pPr>
              <w:pStyle w:val="20"/>
              <w:spacing w:line="360" w:lineRule="auto"/>
              <w:jc w:val="center"/>
              <w:rPr>
                <w:rFonts w:ascii="Times New Roman"/>
                <w:color w:val="auto"/>
                <w:sz w:val="21"/>
                <w:szCs w:val="21"/>
                <w:highlight w:val="none"/>
              </w:rPr>
            </w:pPr>
          </w:p>
        </w:tc>
        <w:tc>
          <w:tcPr>
            <w:tcW w:w="825" w:type="dxa"/>
            <w:vAlign w:val="center"/>
          </w:tcPr>
          <w:p w14:paraId="05EC9707">
            <w:pPr>
              <w:pStyle w:val="20"/>
              <w:spacing w:line="360" w:lineRule="auto"/>
              <w:jc w:val="center"/>
              <w:rPr>
                <w:rFonts w:ascii="Times New Roman"/>
                <w:color w:val="auto"/>
                <w:sz w:val="21"/>
                <w:szCs w:val="21"/>
                <w:highlight w:val="none"/>
              </w:rPr>
            </w:pPr>
          </w:p>
        </w:tc>
        <w:tc>
          <w:tcPr>
            <w:tcW w:w="510" w:type="dxa"/>
            <w:vAlign w:val="center"/>
          </w:tcPr>
          <w:p w14:paraId="606AA356">
            <w:pPr>
              <w:pStyle w:val="20"/>
              <w:spacing w:line="360" w:lineRule="auto"/>
              <w:jc w:val="center"/>
              <w:rPr>
                <w:rFonts w:ascii="Times New Roman"/>
                <w:color w:val="auto"/>
                <w:sz w:val="21"/>
                <w:szCs w:val="21"/>
                <w:highlight w:val="none"/>
              </w:rPr>
            </w:pPr>
          </w:p>
        </w:tc>
        <w:tc>
          <w:tcPr>
            <w:tcW w:w="1065" w:type="dxa"/>
            <w:vAlign w:val="center"/>
          </w:tcPr>
          <w:p w14:paraId="7608F221">
            <w:pPr>
              <w:pStyle w:val="20"/>
              <w:spacing w:line="360" w:lineRule="auto"/>
              <w:jc w:val="center"/>
              <w:rPr>
                <w:rFonts w:ascii="Times New Roman"/>
                <w:color w:val="auto"/>
                <w:sz w:val="21"/>
                <w:szCs w:val="21"/>
                <w:highlight w:val="none"/>
              </w:rPr>
            </w:pPr>
          </w:p>
        </w:tc>
        <w:tc>
          <w:tcPr>
            <w:tcW w:w="975" w:type="dxa"/>
            <w:vAlign w:val="center"/>
          </w:tcPr>
          <w:p w14:paraId="503DDEAA">
            <w:pPr>
              <w:pStyle w:val="20"/>
              <w:spacing w:line="360" w:lineRule="auto"/>
              <w:jc w:val="center"/>
              <w:rPr>
                <w:rFonts w:ascii="Times New Roman"/>
                <w:color w:val="auto"/>
                <w:sz w:val="21"/>
                <w:szCs w:val="21"/>
                <w:highlight w:val="none"/>
              </w:rPr>
            </w:pPr>
          </w:p>
        </w:tc>
        <w:tc>
          <w:tcPr>
            <w:tcW w:w="855" w:type="dxa"/>
            <w:vAlign w:val="center"/>
          </w:tcPr>
          <w:p w14:paraId="7093F134">
            <w:pPr>
              <w:pStyle w:val="20"/>
              <w:spacing w:line="360" w:lineRule="auto"/>
              <w:jc w:val="center"/>
              <w:rPr>
                <w:rFonts w:ascii="Times New Roman"/>
                <w:color w:val="auto"/>
                <w:sz w:val="21"/>
                <w:szCs w:val="21"/>
                <w:highlight w:val="none"/>
              </w:rPr>
            </w:pPr>
          </w:p>
        </w:tc>
        <w:tc>
          <w:tcPr>
            <w:tcW w:w="705" w:type="dxa"/>
            <w:vAlign w:val="center"/>
          </w:tcPr>
          <w:p w14:paraId="769942BC">
            <w:pPr>
              <w:pStyle w:val="20"/>
              <w:spacing w:line="360" w:lineRule="auto"/>
              <w:jc w:val="center"/>
              <w:rPr>
                <w:rFonts w:ascii="Times New Roman"/>
                <w:color w:val="auto"/>
                <w:sz w:val="21"/>
                <w:szCs w:val="21"/>
                <w:highlight w:val="none"/>
              </w:rPr>
            </w:pPr>
          </w:p>
        </w:tc>
        <w:tc>
          <w:tcPr>
            <w:tcW w:w="705" w:type="dxa"/>
            <w:vAlign w:val="center"/>
          </w:tcPr>
          <w:p w14:paraId="70A22765">
            <w:pPr>
              <w:pStyle w:val="20"/>
              <w:spacing w:line="360" w:lineRule="auto"/>
              <w:jc w:val="center"/>
              <w:rPr>
                <w:rFonts w:ascii="Times New Roman"/>
                <w:color w:val="auto"/>
                <w:sz w:val="21"/>
                <w:szCs w:val="21"/>
                <w:highlight w:val="none"/>
              </w:rPr>
            </w:pPr>
          </w:p>
        </w:tc>
        <w:tc>
          <w:tcPr>
            <w:tcW w:w="735" w:type="dxa"/>
            <w:vAlign w:val="center"/>
          </w:tcPr>
          <w:p w14:paraId="17CE4CB3">
            <w:pPr>
              <w:pStyle w:val="20"/>
              <w:spacing w:line="360" w:lineRule="auto"/>
              <w:jc w:val="center"/>
              <w:rPr>
                <w:rFonts w:ascii="Times New Roman"/>
                <w:color w:val="auto"/>
                <w:sz w:val="21"/>
                <w:szCs w:val="21"/>
                <w:highlight w:val="none"/>
              </w:rPr>
            </w:pPr>
          </w:p>
        </w:tc>
        <w:tc>
          <w:tcPr>
            <w:tcW w:w="825" w:type="dxa"/>
            <w:vAlign w:val="center"/>
          </w:tcPr>
          <w:p w14:paraId="60611E01">
            <w:pPr>
              <w:pStyle w:val="20"/>
              <w:spacing w:line="360" w:lineRule="auto"/>
              <w:jc w:val="center"/>
              <w:rPr>
                <w:rFonts w:ascii="Times New Roman"/>
                <w:color w:val="auto"/>
                <w:sz w:val="21"/>
                <w:szCs w:val="21"/>
                <w:highlight w:val="none"/>
              </w:rPr>
            </w:pPr>
          </w:p>
        </w:tc>
        <w:tc>
          <w:tcPr>
            <w:tcW w:w="825" w:type="dxa"/>
            <w:vAlign w:val="center"/>
          </w:tcPr>
          <w:p w14:paraId="08C9084C">
            <w:pPr>
              <w:pStyle w:val="20"/>
              <w:spacing w:line="360" w:lineRule="auto"/>
              <w:jc w:val="center"/>
              <w:rPr>
                <w:rFonts w:ascii="Times New Roman"/>
                <w:color w:val="auto"/>
                <w:sz w:val="21"/>
                <w:szCs w:val="21"/>
                <w:highlight w:val="none"/>
              </w:rPr>
            </w:pPr>
          </w:p>
        </w:tc>
      </w:tr>
      <w:tr w14:paraId="6CFE52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 w:hRule="atLeast"/>
          <w:jc w:val="center"/>
        </w:trPr>
        <w:tc>
          <w:tcPr>
            <w:tcW w:w="613" w:type="dxa"/>
            <w:vAlign w:val="center"/>
          </w:tcPr>
          <w:p w14:paraId="5177E3F4">
            <w:pPr>
              <w:pStyle w:val="20"/>
              <w:spacing w:line="360" w:lineRule="auto"/>
              <w:jc w:val="center"/>
              <w:rPr>
                <w:color w:val="auto"/>
                <w:sz w:val="21"/>
                <w:szCs w:val="21"/>
                <w:highlight w:val="none"/>
              </w:rPr>
            </w:pPr>
            <w:r>
              <w:rPr>
                <w:color w:val="auto"/>
                <w:sz w:val="21"/>
                <w:szCs w:val="21"/>
                <w:highlight w:val="none"/>
              </w:rPr>
              <w:t>3</w:t>
            </w:r>
          </w:p>
        </w:tc>
        <w:tc>
          <w:tcPr>
            <w:tcW w:w="972" w:type="dxa"/>
            <w:vAlign w:val="center"/>
          </w:tcPr>
          <w:p w14:paraId="7F70E6DF">
            <w:pPr>
              <w:pStyle w:val="20"/>
              <w:spacing w:line="360" w:lineRule="auto"/>
              <w:jc w:val="center"/>
              <w:rPr>
                <w:rFonts w:ascii="Times New Roman"/>
                <w:color w:val="auto"/>
                <w:sz w:val="21"/>
                <w:szCs w:val="21"/>
                <w:highlight w:val="none"/>
              </w:rPr>
            </w:pPr>
          </w:p>
        </w:tc>
        <w:tc>
          <w:tcPr>
            <w:tcW w:w="825" w:type="dxa"/>
            <w:vAlign w:val="center"/>
          </w:tcPr>
          <w:p w14:paraId="2955F40C">
            <w:pPr>
              <w:pStyle w:val="20"/>
              <w:spacing w:line="360" w:lineRule="auto"/>
              <w:jc w:val="center"/>
              <w:rPr>
                <w:rFonts w:ascii="Times New Roman"/>
                <w:color w:val="auto"/>
                <w:sz w:val="21"/>
                <w:szCs w:val="21"/>
                <w:highlight w:val="none"/>
              </w:rPr>
            </w:pPr>
          </w:p>
        </w:tc>
        <w:tc>
          <w:tcPr>
            <w:tcW w:w="510" w:type="dxa"/>
            <w:vAlign w:val="center"/>
          </w:tcPr>
          <w:p w14:paraId="61802DB9">
            <w:pPr>
              <w:pStyle w:val="20"/>
              <w:spacing w:line="360" w:lineRule="auto"/>
              <w:jc w:val="center"/>
              <w:rPr>
                <w:rFonts w:ascii="Times New Roman"/>
                <w:color w:val="auto"/>
                <w:sz w:val="21"/>
                <w:szCs w:val="21"/>
                <w:highlight w:val="none"/>
              </w:rPr>
            </w:pPr>
          </w:p>
        </w:tc>
        <w:tc>
          <w:tcPr>
            <w:tcW w:w="1065" w:type="dxa"/>
            <w:vAlign w:val="center"/>
          </w:tcPr>
          <w:p w14:paraId="0D670959">
            <w:pPr>
              <w:pStyle w:val="20"/>
              <w:spacing w:line="360" w:lineRule="auto"/>
              <w:jc w:val="center"/>
              <w:rPr>
                <w:rFonts w:ascii="Times New Roman"/>
                <w:color w:val="auto"/>
                <w:sz w:val="21"/>
                <w:szCs w:val="21"/>
                <w:highlight w:val="none"/>
              </w:rPr>
            </w:pPr>
          </w:p>
        </w:tc>
        <w:tc>
          <w:tcPr>
            <w:tcW w:w="975" w:type="dxa"/>
            <w:vAlign w:val="center"/>
          </w:tcPr>
          <w:p w14:paraId="44DE4777">
            <w:pPr>
              <w:pStyle w:val="20"/>
              <w:spacing w:line="360" w:lineRule="auto"/>
              <w:jc w:val="center"/>
              <w:rPr>
                <w:rFonts w:ascii="Times New Roman"/>
                <w:color w:val="auto"/>
                <w:sz w:val="21"/>
                <w:szCs w:val="21"/>
                <w:highlight w:val="none"/>
              </w:rPr>
            </w:pPr>
          </w:p>
        </w:tc>
        <w:tc>
          <w:tcPr>
            <w:tcW w:w="855" w:type="dxa"/>
            <w:vAlign w:val="center"/>
          </w:tcPr>
          <w:p w14:paraId="1E68798C">
            <w:pPr>
              <w:pStyle w:val="20"/>
              <w:spacing w:line="360" w:lineRule="auto"/>
              <w:jc w:val="center"/>
              <w:rPr>
                <w:rFonts w:ascii="Times New Roman"/>
                <w:color w:val="auto"/>
                <w:sz w:val="21"/>
                <w:szCs w:val="21"/>
                <w:highlight w:val="none"/>
              </w:rPr>
            </w:pPr>
          </w:p>
        </w:tc>
        <w:tc>
          <w:tcPr>
            <w:tcW w:w="705" w:type="dxa"/>
            <w:vAlign w:val="center"/>
          </w:tcPr>
          <w:p w14:paraId="290BB71E">
            <w:pPr>
              <w:pStyle w:val="20"/>
              <w:spacing w:line="360" w:lineRule="auto"/>
              <w:jc w:val="center"/>
              <w:rPr>
                <w:rFonts w:ascii="Times New Roman"/>
                <w:color w:val="auto"/>
                <w:sz w:val="21"/>
                <w:szCs w:val="21"/>
                <w:highlight w:val="none"/>
              </w:rPr>
            </w:pPr>
          </w:p>
        </w:tc>
        <w:tc>
          <w:tcPr>
            <w:tcW w:w="705" w:type="dxa"/>
            <w:vAlign w:val="center"/>
          </w:tcPr>
          <w:p w14:paraId="417CC9C6">
            <w:pPr>
              <w:pStyle w:val="20"/>
              <w:spacing w:line="360" w:lineRule="auto"/>
              <w:jc w:val="center"/>
              <w:rPr>
                <w:rFonts w:ascii="Times New Roman"/>
                <w:color w:val="auto"/>
                <w:sz w:val="21"/>
                <w:szCs w:val="21"/>
                <w:highlight w:val="none"/>
              </w:rPr>
            </w:pPr>
          </w:p>
        </w:tc>
        <w:tc>
          <w:tcPr>
            <w:tcW w:w="735" w:type="dxa"/>
            <w:vAlign w:val="center"/>
          </w:tcPr>
          <w:p w14:paraId="6B557C88">
            <w:pPr>
              <w:pStyle w:val="20"/>
              <w:spacing w:line="360" w:lineRule="auto"/>
              <w:jc w:val="center"/>
              <w:rPr>
                <w:rFonts w:ascii="Times New Roman"/>
                <w:color w:val="auto"/>
                <w:sz w:val="21"/>
                <w:szCs w:val="21"/>
                <w:highlight w:val="none"/>
              </w:rPr>
            </w:pPr>
          </w:p>
        </w:tc>
        <w:tc>
          <w:tcPr>
            <w:tcW w:w="825" w:type="dxa"/>
            <w:vAlign w:val="center"/>
          </w:tcPr>
          <w:p w14:paraId="499751CF">
            <w:pPr>
              <w:pStyle w:val="20"/>
              <w:spacing w:line="360" w:lineRule="auto"/>
              <w:jc w:val="center"/>
              <w:rPr>
                <w:rFonts w:ascii="Times New Roman"/>
                <w:color w:val="auto"/>
                <w:sz w:val="21"/>
                <w:szCs w:val="21"/>
                <w:highlight w:val="none"/>
              </w:rPr>
            </w:pPr>
          </w:p>
        </w:tc>
        <w:tc>
          <w:tcPr>
            <w:tcW w:w="825" w:type="dxa"/>
            <w:vAlign w:val="center"/>
          </w:tcPr>
          <w:p w14:paraId="4D2A5B53">
            <w:pPr>
              <w:pStyle w:val="20"/>
              <w:spacing w:line="360" w:lineRule="auto"/>
              <w:jc w:val="center"/>
              <w:rPr>
                <w:rFonts w:ascii="Times New Roman"/>
                <w:color w:val="auto"/>
                <w:sz w:val="21"/>
                <w:szCs w:val="21"/>
                <w:highlight w:val="none"/>
              </w:rPr>
            </w:pPr>
          </w:p>
        </w:tc>
      </w:tr>
      <w:tr w14:paraId="78489C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613" w:type="dxa"/>
            <w:vAlign w:val="center"/>
          </w:tcPr>
          <w:p w14:paraId="73C0046B">
            <w:pPr>
              <w:pStyle w:val="20"/>
              <w:spacing w:line="360" w:lineRule="auto"/>
              <w:jc w:val="center"/>
              <w:rPr>
                <w:color w:val="auto"/>
                <w:sz w:val="21"/>
                <w:szCs w:val="21"/>
                <w:highlight w:val="none"/>
              </w:rPr>
            </w:pPr>
            <w:r>
              <w:rPr>
                <w:color w:val="auto"/>
                <w:sz w:val="21"/>
                <w:szCs w:val="21"/>
                <w:highlight w:val="none"/>
              </w:rPr>
              <w:t>4</w:t>
            </w:r>
          </w:p>
        </w:tc>
        <w:tc>
          <w:tcPr>
            <w:tcW w:w="972" w:type="dxa"/>
            <w:vAlign w:val="center"/>
          </w:tcPr>
          <w:p w14:paraId="2876713D">
            <w:pPr>
              <w:pStyle w:val="20"/>
              <w:spacing w:line="360" w:lineRule="auto"/>
              <w:jc w:val="center"/>
              <w:rPr>
                <w:rFonts w:ascii="Times New Roman"/>
                <w:color w:val="auto"/>
                <w:sz w:val="21"/>
                <w:szCs w:val="21"/>
                <w:highlight w:val="none"/>
              </w:rPr>
            </w:pPr>
          </w:p>
        </w:tc>
        <w:tc>
          <w:tcPr>
            <w:tcW w:w="825" w:type="dxa"/>
            <w:vAlign w:val="center"/>
          </w:tcPr>
          <w:p w14:paraId="62E2E815">
            <w:pPr>
              <w:pStyle w:val="20"/>
              <w:spacing w:line="360" w:lineRule="auto"/>
              <w:jc w:val="center"/>
              <w:rPr>
                <w:rFonts w:ascii="Times New Roman"/>
                <w:color w:val="auto"/>
                <w:sz w:val="21"/>
                <w:szCs w:val="21"/>
                <w:highlight w:val="none"/>
              </w:rPr>
            </w:pPr>
          </w:p>
        </w:tc>
        <w:tc>
          <w:tcPr>
            <w:tcW w:w="510" w:type="dxa"/>
            <w:vAlign w:val="center"/>
          </w:tcPr>
          <w:p w14:paraId="35EE4CF0">
            <w:pPr>
              <w:pStyle w:val="20"/>
              <w:spacing w:line="360" w:lineRule="auto"/>
              <w:jc w:val="center"/>
              <w:rPr>
                <w:rFonts w:ascii="Times New Roman"/>
                <w:color w:val="auto"/>
                <w:sz w:val="21"/>
                <w:szCs w:val="21"/>
                <w:highlight w:val="none"/>
              </w:rPr>
            </w:pPr>
          </w:p>
        </w:tc>
        <w:tc>
          <w:tcPr>
            <w:tcW w:w="1065" w:type="dxa"/>
            <w:vAlign w:val="center"/>
          </w:tcPr>
          <w:p w14:paraId="120A6ED4">
            <w:pPr>
              <w:pStyle w:val="20"/>
              <w:spacing w:line="360" w:lineRule="auto"/>
              <w:jc w:val="center"/>
              <w:rPr>
                <w:rFonts w:ascii="Times New Roman"/>
                <w:color w:val="auto"/>
                <w:sz w:val="21"/>
                <w:szCs w:val="21"/>
                <w:highlight w:val="none"/>
              </w:rPr>
            </w:pPr>
          </w:p>
        </w:tc>
        <w:tc>
          <w:tcPr>
            <w:tcW w:w="975" w:type="dxa"/>
            <w:vAlign w:val="center"/>
          </w:tcPr>
          <w:p w14:paraId="354A741D">
            <w:pPr>
              <w:pStyle w:val="20"/>
              <w:spacing w:line="360" w:lineRule="auto"/>
              <w:jc w:val="center"/>
              <w:rPr>
                <w:rFonts w:ascii="Times New Roman"/>
                <w:color w:val="auto"/>
                <w:sz w:val="21"/>
                <w:szCs w:val="21"/>
                <w:highlight w:val="none"/>
              </w:rPr>
            </w:pPr>
          </w:p>
        </w:tc>
        <w:tc>
          <w:tcPr>
            <w:tcW w:w="855" w:type="dxa"/>
            <w:vAlign w:val="center"/>
          </w:tcPr>
          <w:p w14:paraId="04553FC0">
            <w:pPr>
              <w:pStyle w:val="20"/>
              <w:spacing w:line="360" w:lineRule="auto"/>
              <w:jc w:val="center"/>
              <w:rPr>
                <w:rFonts w:ascii="Times New Roman"/>
                <w:color w:val="auto"/>
                <w:sz w:val="21"/>
                <w:szCs w:val="21"/>
                <w:highlight w:val="none"/>
              </w:rPr>
            </w:pPr>
          </w:p>
        </w:tc>
        <w:tc>
          <w:tcPr>
            <w:tcW w:w="705" w:type="dxa"/>
            <w:vAlign w:val="center"/>
          </w:tcPr>
          <w:p w14:paraId="557B599A">
            <w:pPr>
              <w:pStyle w:val="20"/>
              <w:spacing w:line="360" w:lineRule="auto"/>
              <w:jc w:val="center"/>
              <w:rPr>
                <w:rFonts w:ascii="Times New Roman"/>
                <w:color w:val="auto"/>
                <w:sz w:val="21"/>
                <w:szCs w:val="21"/>
                <w:highlight w:val="none"/>
              </w:rPr>
            </w:pPr>
          </w:p>
        </w:tc>
        <w:tc>
          <w:tcPr>
            <w:tcW w:w="705" w:type="dxa"/>
            <w:vAlign w:val="center"/>
          </w:tcPr>
          <w:p w14:paraId="78295344">
            <w:pPr>
              <w:pStyle w:val="20"/>
              <w:spacing w:line="360" w:lineRule="auto"/>
              <w:jc w:val="center"/>
              <w:rPr>
                <w:rFonts w:ascii="Times New Roman"/>
                <w:color w:val="auto"/>
                <w:sz w:val="21"/>
                <w:szCs w:val="21"/>
                <w:highlight w:val="none"/>
              </w:rPr>
            </w:pPr>
          </w:p>
        </w:tc>
        <w:tc>
          <w:tcPr>
            <w:tcW w:w="735" w:type="dxa"/>
            <w:vAlign w:val="center"/>
          </w:tcPr>
          <w:p w14:paraId="646C4E3D">
            <w:pPr>
              <w:pStyle w:val="20"/>
              <w:spacing w:line="360" w:lineRule="auto"/>
              <w:jc w:val="center"/>
              <w:rPr>
                <w:rFonts w:ascii="Times New Roman"/>
                <w:color w:val="auto"/>
                <w:sz w:val="21"/>
                <w:szCs w:val="21"/>
                <w:highlight w:val="none"/>
              </w:rPr>
            </w:pPr>
          </w:p>
        </w:tc>
        <w:tc>
          <w:tcPr>
            <w:tcW w:w="825" w:type="dxa"/>
            <w:vAlign w:val="center"/>
          </w:tcPr>
          <w:p w14:paraId="2A0261CA">
            <w:pPr>
              <w:pStyle w:val="20"/>
              <w:spacing w:line="360" w:lineRule="auto"/>
              <w:jc w:val="center"/>
              <w:rPr>
                <w:rFonts w:ascii="Times New Roman"/>
                <w:color w:val="auto"/>
                <w:sz w:val="21"/>
                <w:szCs w:val="21"/>
                <w:highlight w:val="none"/>
              </w:rPr>
            </w:pPr>
          </w:p>
        </w:tc>
        <w:tc>
          <w:tcPr>
            <w:tcW w:w="825" w:type="dxa"/>
            <w:vAlign w:val="center"/>
          </w:tcPr>
          <w:p w14:paraId="386E3DE0">
            <w:pPr>
              <w:pStyle w:val="20"/>
              <w:spacing w:line="360" w:lineRule="auto"/>
              <w:jc w:val="center"/>
              <w:rPr>
                <w:rFonts w:ascii="Times New Roman"/>
                <w:color w:val="auto"/>
                <w:sz w:val="21"/>
                <w:szCs w:val="21"/>
                <w:highlight w:val="none"/>
              </w:rPr>
            </w:pPr>
          </w:p>
        </w:tc>
      </w:tr>
      <w:tr w14:paraId="4B5372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613" w:type="dxa"/>
            <w:vAlign w:val="center"/>
          </w:tcPr>
          <w:p w14:paraId="14B284EA">
            <w:pPr>
              <w:pStyle w:val="20"/>
              <w:spacing w:line="360" w:lineRule="auto"/>
              <w:jc w:val="center"/>
              <w:rPr>
                <w:color w:val="auto"/>
                <w:sz w:val="21"/>
                <w:szCs w:val="21"/>
                <w:highlight w:val="none"/>
              </w:rPr>
            </w:pPr>
            <w:r>
              <w:rPr>
                <w:color w:val="auto"/>
                <w:sz w:val="21"/>
                <w:szCs w:val="21"/>
                <w:highlight w:val="none"/>
              </w:rPr>
              <w:t>5</w:t>
            </w:r>
          </w:p>
        </w:tc>
        <w:tc>
          <w:tcPr>
            <w:tcW w:w="972" w:type="dxa"/>
            <w:vAlign w:val="center"/>
          </w:tcPr>
          <w:p w14:paraId="1FA1AE98">
            <w:pPr>
              <w:pStyle w:val="20"/>
              <w:spacing w:line="360" w:lineRule="auto"/>
              <w:jc w:val="center"/>
              <w:rPr>
                <w:rFonts w:ascii="Times New Roman"/>
                <w:color w:val="auto"/>
                <w:sz w:val="21"/>
                <w:szCs w:val="21"/>
                <w:highlight w:val="none"/>
              </w:rPr>
            </w:pPr>
          </w:p>
        </w:tc>
        <w:tc>
          <w:tcPr>
            <w:tcW w:w="825" w:type="dxa"/>
            <w:vAlign w:val="center"/>
          </w:tcPr>
          <w:p w14:paraId="18B3CFCB">
            <w:pPr>
              <w:pStyle w:val="20"/>
              <w:spacing w:line="360" w:lineRule="auto"/>
              <w:jc w:val="center"/>
              <w:rPr>
                <w:rFonts w:ascii="Times New Roman"/>
                <w:color w:val="auto"/>
                <w:sz w:val="21"/>
                <w:szCs w:val="21"/>
                <w:highlight w:val="none"/>
              </w:rPr>
            </w:pPr>
          </w:p>
        </w:tc>
        <w:tc>
          <w:tcPr>
            <w:tcW w:w="510" w:type="dxa"/>
            <w:vAlign w:val="center"/>
          </w:tcPr>
          <w:p w14:paraId="453758AA">
            <w:pPr>
              <w:pStyle w:val="20"/>
              <w:spacing w:line="360" w:lineRule="auto"/>
              <w:jc w:val="center"/>
              <w:rPr>
                <w:rFonts w:ascii="Times New Roman"/>
                <w:color w:val="auto"/>
                <w:sz w:val="21"/>
                <w:szCs w:val="21"/>
                <w:highlight w:val="none"/>
              </w:rPr>
            </w:pPr>
          </w:p>
        </w:tc>
        <w:tc>
          <w:tcPr>
            <w:tcW w:w="1065" w:type="dxa"/>
            <w:vAlign w:val="center"/>
          </w:tcPr>
          <w:p w14:paraId="77515B41">
            <w:pPr>
              <w:pStyle w:val="20"/>
              <w:spacing w:line="360" w:lineRule="auto"/>
              <w:jc w:val="center"/>
              <w:rPr>
                <w:rFonts w:ascii="Times New Roman"/>
                <w:color w:val="auto"/>
                <w:sz w:val="21"/>
                <w:szCs w:val="21"/>
                <w:highlight w:val="none"/>
              </w:rPr>
            </w:pPr>
          </w:p>
        </w:tc>
        <w:tc>
          <w:tcPr>
            <w:tcW w:w="975" w:type="dxa"/>
            <w:vAlign w:val="center"/>
          </w:tcPr>
          <w:p w14:paraId="0726C33B">
            <w:pPr>
              <w:pStyle w:val="20"/>
              <w:spacing w:line="360" w:lineRule="auto"/>
              <w:jc w:val="center"/>
              <w:rPr>
                <w:rFonts w:ascii="Times New Roman"/>
                <w:color w:val="auto"/>
                <w:sz w:val="21"/>
                <w:szCs w:val="21"/>
                <w:highlight w:val="none"/>
              </w:rPr>
            </w:pPr>
          </w:p>
        </w:tc>
        <w:tc>
          <w:tcPr>
            <w:tcW w:w="855" w:type="dxa"/>
            <w:vAlign w:val="center"/>
          </w:tcPr>
          <w:p w14:paraId="751C5039">
            <w:pPr>
              <w:pStyle w:val="20"/>
              <w:spacing w:line="360" w:lineRule="auto"/>
              <w:jc w:val="center"/>
              <w:rPr>
                <w:rFonts w:ascii="Times New Roman"/>
                <w:color w:val="auto"/>
                <w:sz w:val="21"/>
                <w:szCs w:val="21"/>
                <w:highlight w:val="none"/>
              </w:rPr>
            </w:pPr>
          </w:p>
        </w:tc>
        <w:tc>
          <w:tcPr>
            <w:tcW w:w="705" w:type="dxa"/>
            <w:vAlign w:val="center"/>
          </w:tcPr>
          <w:p w14:paraId="5A3E97D6">
            <w:pPr>
              <w:pStyle w:val="20"/>
              <w:spacing w:line="360" w:lineRule="auto"/>
              <w:jc w:val="center"/>
              <w:rPr>
                <w:rFonts w:ascii="Times New Roman"/>
                <w:color w:val="auto"/>
                <w:sz w:val="21"/>
                <w:szCs w:val="21"/>
                <w:highlight w:val="none"/>
              </w:rPr>
            </w:pPr>
          </w:p>
        </w:tc>
        <w:tc>
          <w:tcPr>
            <w:tcW w:w="705" w:type="dxa"/>
            <w:vAlign w:val="center"/>
          </w:tcPr>
          <w:p w14:paraId="2E53D3C5">
            <w:pPr>
              <w:pStyle w:val="20"/>
              <w:spacing w:line="360" w:lineRule="auto"/>
              <w:jc w:val="center"/>
              <w:rPr>
                <w:rFonts w:ascii="Times New Roman"/>
                <w:color w:val="auto"/>
                <w:sz w:val="21"/>
                <w:szCs w:val="21"/>
                <w:highlight w:val="none"/>
              </w:rPr>
            </w:pPr>
          </w:p>
        </w:tc>
        <w:tc>
          <w:tcPr>
            <w:tcW w:w="735" w:type="dxa"/>
            <w:vAlign w:val="center"/>
          </w:tcPr>
          <w:p w14:paraId="60EFFD0A">
            <w:pPr>
              <w:pStyle w:val="20"/>
              <w:spacing w:line="360" w:lineRule="auto"/>
              <w:jc w:val="center"/>
              <w:rPr>
                <w:rFonts w:ascii="Times New Roman"/>
                <w:color w:val="auto"/>
                <w:sz w:val="21"/>
                <w:szCs w:val="21"/>
                <w:highlight w:val="none"/>
              </w:rPr>
            </w:pPr>
          </w:p>
        </w:tc>
        <w:tc>
          <w:tcPr>
            <w:tcW w:w="825" w:type="dxa"/>
            <w:vAlign w:val="center"/>
          </w:tcPr>
          <w:p w14:paraId="71CB459E">
            <w:pPr>
              <w:pStyle w:val="20"/>
              <w:spacing w:line="360" w:lineRule="auto"/>
              <w:jc w:val="center"/>
              <w:rPr>
                <w:rFonts w:ascii="Times New Roman"/>
                <w:color w:val="auto"/>
                <w:sz w:val="21"/>
                <w:szCs w:val="21"/>
                <w:highlight w:val="none"/>
              </w:rPr>
            </w:pPr>
          </w:p>
        </w:tc>
        <w:tc>
          <w:tcPr>
            <w:tcW w:w="825" w:type="dxa"/>
            <w:vAlign w:val="center"/>
          </w:tcPr>
          <w:p w14:paraId="1E3AA833">
            <w:pPr>
              <w:pStyle w:val="20"/>
              <w:spacing w:line="360" w:lineRule="auto"/>
              <w:jc w:val="center"/>
              <w:rPr>
                <w:rFonts w:ascii="Times New Roman"/>
                <w:color w:val="auto"/>
                <w:sz w:val="21"/>
                <w:szCs w:val="21"/>
                <w:highlight w:val="none"/>
              </w:rPr>
            </w:pPr>
          </w:p>
        </w:tc>
      </w:tr>
      <w:tr w14:paraId="2E286D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1" w:hRule="atLeast"/>
          <w:jc w:val="center"/>
        </w:trPr>
        <w:tc>
          <w:tcPr>
            <w:tcW w:w="613" w:type="dxa"/>
            <w:vAlign w:val="center"/>
          </w:tcPr>
          <w:p w14:paraId="5B54387A">
            <w:pPr>
              <w:pStyle w:val="20"/>
              <w:spacing w:line="360" w:lineRule="auto"/>
              <w:jc w:val="center"/>
              <w:rPr>
                <w:color w:val="auto"/>
                <w:sz w:val="21"/>
                <w:szCs w:val="21"/>
                <w:highlight w:val="none"/>
              </w:rPr>
            </w:pPr>
            <w:r>
              <w:rPr>
                <w:color w:val="auto"/>
                <w:sz w:val="21"/>
                <w:szCs w:val="21"/>
                <w:highlight w:val="none"/>
              </w:rPr>
              <w:t>6</w:t>
            </w:r>
          </w:p>
        </w:tc>
        <w:tc>
          <w:tcPr>
            <w:tcW w:w="972" w:type="dxa"/>
            <w:vAlign w:val="center"/>
          </w:tcPr>
          <w:p w14:paraId="490797FB">
            <w:pPr>
              <w:pStyle w:val="20"/>
              <w:spacing w:line="360" w:lineRule="auto"/>
              <w:jc w:val="center"/>
              <w:rPr>
                <w:rFonts w:ascii="Times New Roman"/>
                <w:color w:val="auto"/>
                <w:sz w:val="21"/>
                <w:szCs w:val="21"/>
                <w:highlight w:val="none"/>
              </w:rPr>
            </w:pPr>
          </w:p>
        </w:tc>
        <w:tc>
          <w:tcPr>
            <w:tcW w:w="825" w:type="dxa"/>
            <w:vAlign w:val="center"/>
          </w:tcPr>
          <w:p w14:paraId="435E5518">
            <w:pPr>
              <w:pStyle w:val="20"/>
              <w:spacing w:line="360" w:lineRule="auto"/>
              <w:jc w:val="center"/>
              <w:rPr>
                <w:rFonts w:ascii="Times New Roman"/>
                <w:color w:val="auto"/>
                <w:sz w:val="21"/>
                <w:szCs w:val="21"/>
                <w:highlight w:val="none"/>
              </w:rPr>
            </w:pPr>
          </w:p>
        </w:tc>
        <w:tc>
          <w:tcPr>
            <w:tcW w:w="510" w:type="dxa"/>
            <w:vAlign w:val="center"/>
          </w:tcPr>
          <w:p w14:paraId="14F35C8D">
            <w:pPr>
              <w:pStyle w:val="20"/>
              <w:spacing w:line="360" w:lineRule="auto"/>
              <w:jc w:val="center"/>
              <w:rPr>
                <w:rFonts w:ascii="Times New Roman"/>
                <w:color w:val="auto"/>
                <w:sz w:val="21"/>
                <w:szCs w:val="21"/>
                <w:highlight w:val="none"/>
              </w:rPr>
            </w:pPr>
          </w:p>
        </w:tc>
        <w:tc>
          <w:tcPr>
            <w:tcW w:w="1065" w:type="dxa"/>
            <w:vAlign w:val="center"/>
          </w:tcPr>
          <w:p w14:paraId="5732571A">
            <w:pPr>
              <w:pStyle w:val="20"/>
              <w:spacing w:line="360" w:lineRule="auto"/>
              <w:jc w:val="center"/>
              <w:rPr>
                <w:rFonts w:ascii="Times New Roman"/>
                <w:color w:val="auto"/>
                <w:sz w:val="21"/>
                <w:szCs w:val="21"/>
                <w:highlight w:val="none"/>
              </w:rPr>
            </w:pPr>
          </w:p>
        </w:tc>
        <w:tc>
          <w:tcPr>
            <w:tcW w:w="975" w:type="dxa"/>
            <w:vAlign w:val="center"/>
          </w:tcPr>
          <w:p w14:paraId="41445E08">
            <w:pPr>
              <w:pStyle w:val="20"/>
              <w:spacing w:line="360" w:lineRule="auto"/>
              <w:jc w:val="center"/>
              <w:rPr>
                <w:rFonts w:ascii="Times New Roman"/>
                <w:color w:val="auto"/>
                <w:sz w:val="21"/>
                <w:szCs w:val="21"/>
                <w:highlight w:val="none"/>
              </w:rPr>
            </w:pPr>
          </w:p>
        </w:tc>
        <w:tc>
          <w:tcPr>
            <w:tcW w:w="855" w:type="dxa"/>
            <w:vAlign w:val="center"/>
          </w:tcPr>
          <w:p w14:paraId="76D82DB9">
            <w:pPr>
              <w:pStyle w:val="20"/>
              <w:spacing w:line="360" w:lineRule="auto"/>
              <w:jc w:val="center"/>
              <w:rPr>
                <w:rFonts w:ascii="Times New Roman"/>
                <w:color w:val="auto"/>
                <w:sz w:val="21"/>
                <w:szCs w:val="21"/>
                <w:highlight w:val="none"/>
              </w:rPr>
            </w:pPr>
          </w:p>
        </w:tc>
        <w:tc>
          <w:tcPr>
            <w:tcW w:w="705" w:type="dxa"/>
            <w:vAlign w:val="center"/>
          </w:tcPr>
          <w:p w14:paraId="5E5F03B9">
            <w:pPr>
              <w:pStyle w:val="20"/>
              <w:spacing w:line="360" w:lineRule="auto"/>
              <w:jc w:val="center"/>
              <w:rPr>
                <w:rFonts w:ascii="Times New Roman"/>
                <w:color w:val="auto"/>
                <w:sz w:val="21"/>
                <w:szCs w:val="21"/>
                <w:highlight w:val="none"/>
              </w:rPr>
            </w:pPr>
          </w:p>
        </w:tc>
        <w:tc>
          <w:tcPr>
            <w:tcW w:w="705" w:type="dxa"/>
            <w:vAlign w:val="center"/>
          </w:tcPr>
          <w:p w14:paraId="7E1EB13C">
            <w:pPr>
              <w:pStyle w:val="20"/>
              <w:spacing w:line="360" w:lineRule="auto"/>
              <w:jc w:val="center"/>
              <w:rPr>
                <w:rFonts w:ascii="Times New Roman"/>
                <w:color w:val="auto"/>
                <w:sz w:val="21"/>
                <w:szCs w:val="21"/>
                <w:highlight w:val="none"/>
              </w:rPr>
            </w:pPr>
          </w:p>
        </w:tc>
        <w:tc>
          <w:tcPr>
            <w:tcW w:w="735" w:type="dxa"/>
            <w:vAlign w:val="center"/>
          </w:tcPr>
          <w:p w14:paraId="7A82539D">
            <w:pPr>
              <w:pStyle w:val="20"/>
              <w:spacing w:line="360" w:lineRule="auto"/>
              <w:jc w:val="center"/>
              <w:rPr>
                <w:rFonts w:ascii="Times New Roman"/>
                <w:color w:val="auto"/>
                <w:sz w:val="21"/>
                <w:szCs w:val="21"/>
                <w:highlight w:val="none"/>
              </w:rPr>
            </w:pPr>
          </w:p>
        </w:tc>
        <w:tc>
          <w:tcPr>
            <w:tcW w:w="825" w:type="dxa"/>
            <w:vAlign w:val="center"/>
          </w:tcPr>
          <w:p w14:paraId="74CEA1F2">
            <w:pPr>
              <w:pStyle w:val="20"/>
              <w:spacing w:line="360" w:lineRule="auto"/>
              <w:jc w:val="center"/>
              <w:rPr>
                <w:rFonts w:ascii="Times New Roman"/>
                <w:color w:val="auto"/>
                <w:sz w:val="21"/>
                <w:szCs w:val="21"/>
                <w:highlight w:val="none"/>
              </w:rPr>
            </w:pPr>
          </w:p>
        </w:tc>
        <w:tc>
          <w:tcPr>
            <w:tcW w:w="825" w:type="dxa"/>
            <w:vAlign w:val="center"/>
          </w:tcPr>
          <w:p w14:paraId="3627C11E">
            <w:pPr>
              <w:pStyle w:val="20"/>
              <w:spacing w:line="360" w:lineRule="auto"/>
              <w:jc w:val="center"/>
              <w:rPr>
                <w:rFonts w:ascii="Times New Roman"/>
                <w:color w:val="auto"/>
                <w:sz w:val="21"/>
                <w:szCs w:val="21"/>
                <w:highlight w:val="none"/>
              </w:rPr>
            </w:pPr>
          </w:p>
        </w:tc>
      </w:tr>
      <w:tr w14:paraId="79BAFE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613" w:type="dxa"/>
            <w:vAlign w:val="center"/>
          </w:tcPr>
          <w:p w14:paraId="6003334C">
            <w:pPr>
              <w:pStyle w:val="20"/>
              <w:spacing w:line="360" w:lineRule="auto"/>
              <w:jc w:val="center"/>
              <w:rPr>
                <w:color w:val="auto"/>
                <w:sz w:val="21"/>
                <w:szCs w:val="21"/>
                <w:highlight w:val="none"/>
              </w:rPr>
            </w:pPr>
            <w:r>
              <w:rPr>
                <w:color w:val="auto"/>
                <w:sz w:val="21"/>
                <w:szCs w:val="21"/>
                <w:highlight w:val="none"/>
              </w:rPr>
              <w:t>7</w:t>
            </w:r>
          </w:p>
        </w:tc>
        <w:tc>
          <w:tcPr>
            <w:tcW w:w="972" w:type="dxa"/>
            <w:vAlign w:val="center"/>
          </w:tcPr>
          <w:p w14:paraId="75D3DB13">
            <w:pPr>
              <w:pStyle w:val="20"/>
              <w:spacing w:line="360" w:lineRule="auto"/>
              <w:jc w:val="center"/>
              <w:rPr>
                <w:rFonts w:ascii="Times New Roman"/>
                <w:color w:val="auto"/>
                <w:sz w:val="21"/>
                <w:szCs w:val="21"/>
                <w:highlight w:val="none"/>
              </w:rPr>
            </w:pPr>
          </w:p>
        </w:tc>
        <w:tc>
          <w:tcPr>
            <w:tcW w:w="825" w:type="dxa"/>
            <w:vAlign w:val="center"/>
          </w:tcPr>
          <w:p w14:paraId="5B885A64">
            <w:pPr>
              <w:pStyle w:val="20"/>
              <w:spacing w:line="360" w:lineRule="auto"/>
              <w:jc w:val="center"/>
              <w:rPr>
                <w:rFonts w:ascii="Times New Roman"/>
                <w:color w:val="auto"/>
                <w:sz w:val="21"/>
                <w:szCs w:val="21"/>
                <w:highlight w:val="none"/>
              </w:rPr>
            </w:pPr>
          </w:p>
        </w:tc>
        <w:tc>
          <w:tcPr>
            <w:tcW w:w="510" w:type="dxa"/>
            <w:vAlign w:val="center"/>
          </w:tcPr>
          <w:p w14:paraId="19009D26">
            <w:pPr>
              <w:pStyle w:val="20"/>
              <w:spacing w:line="360" w:lineRule="auto"/>
              <w:jc w:val="center"/>
              <w:rPr>
                <w:rFonts w:ascii="Times New Roman"/>
                <w:color w:val="auto"/>
                <w:sz w:val="21"/>
                <w:szCs w:val="21"/>
                <w:highlight w:val="none"/>
              </w:rPr>
            </w:pPr>
          </w:p>
        </w:tc>
        <w:tc>
          <w:tcPr>
            <w:tcW w:w="1065" w:type="dxa"/>
            <w:vAlign w:val="center"/>
          </w:tcPr>
          <w:p w14:paraId="47998715">
            <w:pPr>
              <w:pStyle w:val="20"/>
              <w:spacing w:line="360" w:lineRule="auto"/>
              <w:jc w:val="center"/>
              <w:rPr>
                <w:rFonts w:ascii="Times New Roman"/>
                <w:color w:val="auto"/>
                <w:sz w:val="21"/>
                <w:szCs w:val="21"/>
                <w:highlight w:val="none"/>
              </w:rPr>
            </w:pPr>
          </w:p>
        </w:tc>
        <w:tc>
          <w:tcPr>
            <w:tcW w:w="975" w:type="dxa"/>
            <w:vAlign w:val="center"/>
          </w:tcPr>
          <w:p w14:paraId="67E00705">
            <w:pPr>
              <w:pStyle w:val="20"/>
              <w:spacing w:line="360" w:lineRule="auto"/>
              <w:jc w:val="center"/>
              <w:rPr>
                <w:rFonts w:ascii="Times New Roman"/>
                <w:color w:val="auto"/>
                <w:sz w:val="21"/>
                <w:szCs w:val="21"/>
                <w:highlight w:val="none"/>
              </w:rPr>
            </w:pPr>
          </w:p>
        </w:tc>
        <w:tc>
          <w:tcPr>
            <w:tcW w:w="855" w:type="dxa"/>
            <w:vAlign w:val="center"/>
          </w:tcPr>
          <w:p w14:paraId="187A3538">
            <w:pPr>
              <w:pStyle w:val="20"/>
              <w:spacing w:line="360" w:lineRule="auto"/>
              <w:jc w:val="center"/>
              <w:rPr>
                <w:rFonts w:ascii="Times New Roman"/>
                <w:color w:val="auto"/>
                <w:sz w:val="21"/>
                <w:szCs w:val="21"/>
                <w:highlight w:val="none"/>
              </w:rPr>
            </w:pPr>
          </w:p>
        </w:tc>
        <w:tc>
          <w:tcPr>
            <w:tcW w:w="705" w:type="dxa"/>
            <w:vAlign w:val="center"/>
          </w:tcPr>
          <w:p w14:paraId="23585620">
            <w:pPr>
              <w:pStyle w:val="20"/>
              <w:spacing w:line="360" w:lineRule="auto"/>
              <w:jc w:val="center"/>
              <w:rPr>
                <w:rFonts w:ascii="Times New Roman"/>
                <w:color w:val="auto"/>
                <w:sz w:val="21"/>
                <w:szCs w:val="21"/>
                <w:highlight w:val="none"/>
              </w:rPr>
            </w:pPr>
          </w:p>
        </w:tc>
        <w:tc>
          <w:tcPr>
            <w:tcW w:w="705" w:type="dxa"/>
            <w:vAlign w:val="center"/>
          </w:tcPr>
          <w:p w14:paraId="0EECC69F">
            <w:pPr>
              <w:pStyle w:val="20"/>
              <w:spacing w:line="360" w:lineRule="auto"/>
              <w:jc w:val="center"/>
              <w:rPr>
                <w:rFonts w:ascii="Times New Roman"/>
                <w:color w:val="auto"/>
                <w:sz w:val="21"/>
                <w:szCs w:val="21"/>
                <w:highlight w:val="none"/>
              </w:rPr>
            </w:pPr>
          </w:p>
        </w:tc>
        <w:tc>
          <w:tcPr>
            <w:tcW w:w="735" w:type="dxa"/>
            <w:vAlign w:val="center"/>
          </w:tcPr>
          <w:p w14:paraId="2C8C6FB2">
            <w:pPr>
              <w:pStyle w:val="20"/>
              <w:spacing w:line="360" w:lineRule="auto"/>
              <w:jc w:val="center"/>
              <w:rPr>
                <w:rFonts w:ascii="Times New Roman"/>
                <w:color w:val="auto"/>
                <w:sz w:val="21"/>
                <w:szCs w:val="21"/>
                <w:highlight w:val="none"/>
              </w:rPr>
            </w:pPr>
          </w:p>
        </w:tc>
        <w:tc>
          <w:tcPr>
            <w:tcW w:w="825" w:type="dxa"/>
            <w:vAlign w:val="center"/>
          </w:tcPr>
          <w:p w14:paraId="22A5C067">
            <w:pPr>
              <w:pStyle w:val="20"/>
              <w:spacing w:line="360" w:lineRule="auto"/>
              <w:jc w:val="center"/>
              <w:rPr>
                <w:rFonts w:ascii="Times New Roman"/>
                <w:color w:val="auto"/>
                <w:sz w:val="21"/>
                <w:szCs w:val="21"/>
                <w:highlight w:val="none"/>
              </w:rPr>
            </w:pPr>
          </w:p>
        </w:tc>
        <w:tc>
          <w:tcPr>
            <w:tcW w:w="825" w:type="dxa"/>
            <w:vAlign w:val="center"/>
          </w:tcPr>
          <w:p w14:paraId="4BD306DC">
            <w:pPr>
              <w:pStyle w:val="20"/>
              <w:spacing w:line="360" w:lineRule="auto"/>
              <w:jc w:val="center"/>
              <w:rPr>
                <w:rFonts w:ascii="Times New Roman"/>
                <w:color w:val="auto"/>
                <w:sz w:val="21"/>
                <w:szCs w:val="21"/>
                <w:highlight w:val="none"/>
              </w:rPr>
            </w:pPr>
          </w:p>
        </w:tc>
      </w:tr>
      <w:tr w14:paraId="1C67E7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613" w:type="dxa"/>
            <w:vAlign w:val="center"/>
          </w:tcPr>
          <w:p w14:paraId="15CD4F32">
            <w:pPr>
              <w:pStyle w:val="20"/>
              <w:spacing w:line="360" w:lineRule="auto"/>
              <w:jc w:val="center"/>
              <w:rPr>
                <w:color w:val="auto"/>
                <w:sz w:val="21"/>
                <w:szCs w:val="21"/>
                <w:highlight w:val="none"/>
              </w:rPr>
            </w:pPr>
            <w:r>
              <w:rPr>
                <w:color w:val="auto"/>
                <w:sz w:val="21"/>
                <w:szCs w:val="21"/>
                <w:highlight w:val="none"/>
              </w:rPr>
              <w:t>8</w:t>
            </w:r>
          </w:p>
        </w:tc>
        <w:tc>
          <w:tcPr>
            <w:tcW w:w="972" w:type="dxa"/>
            <w:vAlign w:val="center"/>
          </w:tcPr>
          <w:p w14:paraId="0063F37B">
            <w:pPr>
              <w:pStyle w:val="20"/>
              <w:spacing w:line="360" w:lineRule="auto"/>
              <w:jc w:val="center"/>
              <w:rPr>
                <w:color w:val="auto"/>
                <w:sz w:val="21"/>
                <w:szCs w:val="21"/>
                <w:highlight w:val="none"/>
              </w:rPr>
            </w:pPr>
            <w:r>
              <w:rPr>
                <w:color w:val="auto"/>
                <w:sz w:val="21"/>
                <w:szCs w:val="21"/>
                <w:highlight w:val="none"/>
              </w:rPr>
              <w:t>……</w:t>
            </w:r>
          </w:p>
        </w:tc>
        <w:tc>
          <w:tcPr>
            <w:tcW w:w="825" w:type="dxa"/>
            <w:vAlign w:val="center"/>
          </w:tcPr>
          <w:p w14:paraId="15805FA5">
            <w:pPr>
              <w:pStyle w:val="20"/>
              <w:spacing w:line="360" w:lineRule="auto"/>
              <w:jc w:val="center"/>
              <w:rPr>
                <w:rFonts w:ascii="Times New Roman"/>
                <w:color w:val="auto"/>
                <w:sz w:val="21"/>
                <w:szCs w:val="21"/>
                <w:highlight w:val="none"/>
              </w:rPr>
            </w:pPr>
          </w:p>
        </w:tc>
        <w:tc>
          <w:tcPr>
            <w:tcW w:w="510" w:type="dxa"/>
            <w:vAlign w:val="center"/>
          </w:tcPr>
          <w:p w14:paraId="78E20BFD">
            <w:pPr>
              <w:pStyle w:val="20"/>
              <w:spacing w:line="360" w:lineRule="auto"/>
              <w:jc w:val="center"/>
              <w:rPr>
                <w:rFonts w:ascii="Times New Roman"/>
                <w:color w:val="auto"/>
                <w:sz w:val="21"/>
                <w:szCs w:val="21"/>
                <w:highlight w:val="none"/>
              </w:rPr>
            </w:pPr>
          </w:p>
        </w:tc>
        <w:tc>
          <w:tcPr>
            <w:tcW w:w="1065" w:type="dxa"/>
            <w:vAlign w:val="center"/>
          </w:tcPr>
          <w:p w14:paraId="12F2E952">
            <w:pPr>
              <w:pStyle w:val="20"/>
              <w:spacing w:line="360" w:lineRule="auto"/>
              <w:jc w:val="center"/>
              <w:rPr>
                <w:rFonts w:ascii="Times New Roman"/>
                <w:color w:val="auto"/>
                <w:sz w:val="21"/>
                <w:szCs w:val="21"/>
                <w:highlight w:val="none"/>
              </w:rPr>
            </w:pPr>
          </w:p>
        </w:tc>
        <w:tc>
          <w:tcPr>
            <w:tcW w:w="975" w:type="dxa"/>
            <w:vAlign w:val="center"/>
          </w:tcPr>
          <w:p w14:paraId="0BEDB6F3">
            <w:pPr>
              <w:pStyle w:val="20"/>
              <w:spacing w:line="360" w:lineRule="auto"/>
              <w:jc w:val="center"/>
              <w:rPr>
                <w:rFonts w:ascii="Times New Roman"/>
                <w:color w:val="auto"/>
                <w:sz w:val="21"/>
                <w:szCs w:val="21"/>
                <w:highlight w:val="none"/>
              </w:rPr>
            </w:pPr>
          </w:p>
        </w:tc>
        <w:tc>
          <w:tcPr>
            <w:tcW w:w="855" w:type="dxa"/>
            <w:vAlign w:val="center"/>
          </w:tcPr>
          <w:p w14:paraId="399038AF">
            <w:pPr>
              <w:pStyle w:val="20"/>
              <w:spacing w:line="360" w:lineRule="auto"/>
              <w:jc w:val="center"/>
              <w:rPr>
                <w:rFonts w:ascii="Times New Roman"/>
                <w:color w:val="auto"/>
                <w:sz w:val="21"/>
                <w:szCs w:val="21"/>
                <w:highlight w:val="none"/>
              </w:rPr>
            </w:pPr>
          </w:p>
        </w:tc>
        <w:tc>
          <w:tcPr>
            <w:tcW w:w="705" w:type="dxa"/>
            <w:vAlign w:val="center"/>
          </w:tcPr>
          <w:p w14:paraId="6CDB5216">
            <w:pPr>
              <w:pStyle w:val="20"/>
              <w:spacing w:line="360" w:lineRule="auto"/>
              <w:jc w:val="center"/>
              <w:rPr>
                <w:rFonts w:ascii="Times New Roman"/>
                <w:color w:val="auto"/>
                <w:sz w:val="21"/>
                <w:szCs w:val="21"/>
                <w:highlight w:val="none"/>
              </w:rPr>
            </w:pPr>
          </w:p>
        </w:tc>
        <w:tc>
          <w:tcPr>
            <w:tcW w:w="705" w:type="dxa"/>
            <w:vAlign w:val="center"/>
          </w:tcPr>
          <w:p w14:paraId="34E8FEE5">
            <w:pPr>
              <w:pStyle w:val="20"/>
              <w:spacing w:line="360" w:lineRule="auto"/>
              <w:jc w:val="center"/>
              <w:rPr>
                <w:rFonts w:ascii="Times New Roman"/>
                <w:color w:val="auto"/>
                <w:sz w:val="21"/>
                <w:szCs w:val="21"/>
                <w:highlight w:val="none"/>
              </w:rPr>
            </w:pPr>
          </w:p>
        </w:tc>
        <w:tc>
          <w:tcPr>
            <w:tcW w:w="735" w:type="dxa"/>
            <w:vAlign w:val="center"/>
          </w:tcPr>
          <w:p w14:paraId="6987560E">
            <w:pPr>
              <w:pStyle w:val="20"/>
              <w:spacing w:line="360" w:lineRule="auto"/>
              <w:jc w:val="center"/>
              <w:rPr>
                <w:rFonts w:ascii="Times New Roman"/>
                <w:color w:val="auto"/>
                <w:sz w:val="21"/>
                <w:szCs w:val="21"/>
                <w:highlight w:val="none"/>
              </w:rPr>
            </w:pPr>
          </w:p>
        </w:tc>
        <w:tc>
          <w:tcPr>
            <w:tcW w:w="825" w:type="dxa"/>
            <w:vAlign w:val="center"/>
          </w:tcPr>
          <w:p w14:paraId="07FD4024">
            <w:pPr>
              <w:pStyle w:val="20"/>
              <w:spacing w:line="360" w:lineRule="auto"/>
              <w:jc w:val="center"/>
              <w:rPr>
                <w:rFonts w:ascii="Times New Roman"/>
                <w:color w:val="auto"/>
                <w:sz w:val="21"/>
                <w:szCs w:val="21"/>
                <w:highlight w:val="none"/>
              </w:rPr>
            </w:pPr>
          </w:p>
        </w:tc>
        <w:tc>
          <w:tcPr>
            <w:tcW w:w="825" w:type="dxa"/>
            <w:vAlign w:val="center"/>
          </w:tcPr>
          <w:p w14:paraId="19924B85">
            <w:pPr>
              <w:pStyle w:val="20"/>
              <w:spacing w:line="360" w:lineRule="auto"/>
              <w:jc w:val="center"/>
              <w:rPr>
                <w:rFonts w:ascii="Times New Roman"/>
                <w:color w:val="auto"/>
                <w:sz w:val="21"/>
                <w:szCs w:val="21"/>
                <w:highlight w:val="none"/>
              </w:rPr>
            </w:pPr>
          </w:p>
        </w:tc>
      </w:tr>
      <w:tr w14:paraId="126363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7" w:hRule="atLeast"/>
          <w:jc w:val="center"/>
        </w:trPr>
        <w:tc>
          <w:tcPr>
            <w:tcW w:w="9610" w:type="dxa"/>
            <w:gridSpan w:val="12"/>
          </w:tcPr>
          <w:p w14:paraId="5932F164">
            <w:pPr>
              <w:pStyle w:val="20"/>
              <w:spacing w:line="360" w:lineRule="auto"/>
              <w:jc w:val="both"/>
              <w:rPr>
                <w:color w:val="auto"/>
                <w:sz w:val="21"/>
                <w:szCs w:val="21"/>
                <w:highlight w:val="none"/>
              </w:rPr>
            </w:pPr>
            <w:r>
              <w:rPr>
                <w:b/>
                <w:bCs/>
                <w:color w:val="auto"/>
                <w:sz w:val="21"/>
                <w:szCs w:val="21"/>
                <w:highlight w:val="none"/>
              </w:rPr>
              <w:t>总价：</w:t>
            </w:r>
          </w:p>
        </w:tc>
      </w:tr>
    </w:tbl>
    <w:p w14:paraId="09DD5A6D">
      <w:pPr>
        <w:pStyle w:val="7"/>
        <w:tabs>
          <w:tab w:val="left" w:pos="7688"/>
        </w:tabs>
        <w:spacing w:line="360" w:lineRule="auto"/>
        <w:ind w:firstLine="560" w:firstLineChars="200"/>
        <w:jc w:val="both"/>
        <w:rPr>
          <w:color w:val="auto"/>
          <w:highlight w:val="none"/>
        </w:rPr>
      </w:pPr>
    </w:p>
    <w:p w14:paraId="0BE2BEC0">
      <w:pPr>
        <w:pStyle w:val="7"/>
        <w:tabs>
          <w:tab w:val="left" w:pos="7688"/>
        </w:tabs>
        <w:spacing w:line="360" w:lineRule="auto"/>
        <w:ind w:firstLine="560" w:firstLineChars="200"/>
        <w:jc w:val="both"/>
        <w:rPr>
          <w:rFonts w:ascii="Times New Roman" w:eastAsia="Times New Roman"/>
          <w:color w:val="auto"/>
          <w:highlight w:val="none"/>
        </w:rPr>
      </w:pPr>
      <w:r>
        <w:rPr>
          <w:rFonts w:hint="eastAsia"/>
          <w:color w:val="auto"/>
          <w:szCs w:val="21"/>
          <w:highlight w:val="none"/>
        </w:rPr>
        <w:t>法定代表人或其委托代理人：</w:t>
      </w:r>
      <w:r>
        <w:rPr>
          <w:rFonts w:hint="eastAsia"/>
          <w:color w:val="auto"/>
          <w:szCs w:val="21"/>
          <w:highlight w:val="none"/>
          <w:u w:val="single"/>
        </w:rPr>
        <w:t>（签字或盖章）</w:t>
      </w:r>
      <w:r>
        <w:rPr>
          <w:rFonts w:ascii="Times New Roman" w:eastAsia="Times New Roman"/>
          <w:color w:val="auto"/>
          <w:highlight w:val="none"/>
          <w:u w:val="single"/>
        </w:rPr>
        <w:tab/>
      </w:r>
    </w:p>
    <w:p w14:paraId="14BC733D">
      <w:pPr>
        <w:tabs>
          <w:tab w:val="left" w:pos="7028"/>
          <w:tab w:val="left" w:pos="7940"/>
          <w:tab w:val="left" w:pos="8540"/>
        </w:tabs>
        <w:spacing w:line="360" w:lineRule="auto"/>
        <w:ind w:firstLine="560" w:firstLineChars="200"/>
        <w:jc w:val="both"/>
        <w:rPr>
          <w:color w:val="auto"/>
          <w:sz w:val="28"/>
          <w:highlight w:val="none"/>
        </w:rPr>
      </w:pPr>
    </w:p>
    <w:p w14:paraId="1C9DBA70">
      <w:pPr>
        <w:tabs>
          <w:tab w:val="left" w:pos="7028"/>
          <w:tab w:val="left" w:pos="7940"/>
          <w:tab w:val="left" w:pos="8540"/>
        </w:tabs>
        <w:spacing w:line="360" w:lineRule="auto"/>
        <w:ind w:firstLine="560" w:firstLineChars="200"/>
        <w:jc w:val="both"/>
        <w:rPr>
          <w:rFonts w:ascii="Times New Roman" w:eastAsia="Times New Roman"/>
          <w:color w:val="auto"/>
          <w:sz w:val="28"/>
          <w:highlight w:val="none"/>
        </w:rPr>
      </w:pPr>
      <w:r>
        <w:rPr>
          <w:color w:val="auto"/>
          <w:sz w:val="28"/>
          <w:highlight w:val="none"/>
        </w:rPr>
        <w:t>投标人（企业电子签章）：</w:t>
      </w:r>
      <w:r>
        <w:rPr>
          <w:rFonts w:ascii="Times New Roman" w:eastAsia="Times New Roman"/>
          <w:color w:val="auto"/>
          <w:sz w:val="28"/>
          <w:highlight w:val="none"/>
          <w:u w:val="single"/>
        </w:rPr>
        <w:tab/>
      </w:r>
      <w:r>
        <w:rPr>
          <w:rFonts w:ascii="Times New Roman" w:eastAsia="Times New Roman"/>
          <w:color w:val="auto"/>
          <w:sz w:val="28"/>
          <w:highlight w:val="none"/>
        </w:rPr>
        <w:tab/>
      </w:r>
    </w:p>
    <w:p w14:paraId="6A0614E8">
      <w:pPr>
        <w:tabs>
          <w:tab w:val="left" w:pos="7028"/>
          <w:tab w:val="left" w:pos="7940"/>
          <w:tab w:val="left" w:pos="8540"/>
        </w:tabs>
        <w:spacing w:line="360" w:lineRule="auto"/>
        <w:ind w:firstLine="480" w:firstLineChars="200"/>
        <w:jc w:val="both"/>
        <w:rPr>
          <w:color w:val="auto"/>
          <w:sz w:val="24"/>
          <w:highlight w:val="none"/>
        </w:rPr>
      </w:pPr>
    </w:p>
    <w:p w14:paraId="065CE74B">
      <w:pPr>
        <w:tabs>
          <w:tab w:val="left" w:pos="7028"/>
          <w:tab w:val="left" w:pos="7940"/>
          <w:tab w:val="left" w:pos="8540"/>
        </w:tabs>
        <w:spacing w:line="360" w:lineRule="auto"/>
        <w:ind w:firstLine="560" w:firstLineChars="200"/>
        <w:jc w:val="both"/>
        <w:rPr>
          <w:color w:val="auto"/>
          <w:sz w:val="28"/>
          <w:highlight w:val="none"/>
        </w:rPr>
      </w:pPr>
    </w:p>
    <w:p w14:paraId="3521E803">
      <w:pPr>
        <w:tabs>
          <w:tab w:val="left" w:pos="7028"/>
          <w:tab w:val="left" w:pos="7940"/>
          <w:tab w:val="left" w:pos="8540"/>
        </w:tabs>
        <w:spacing w:line="360" w:lineRule="auto"/>
        <w:ind w:firstLine="560" w:firstLineChars="200"/>
        <w:jc w:val="both"/>
        <w:rPr>
          <w:color w:val="auto"/>
          <w:sz w:val="28"/>
          <w:highlight w:val="none"/>
        </w:rPr>
      </w:pPr>
      <w:r>
        <w:rPr>
          <w:color w:val="auto"/>
          <w:sz w:val="28"/>
          <w:highlight w:val="none"/>
        </w:rPr>
        <w:t>注</w:t>
      </w:r>
      <w:r>
        <w:rPr>
          <w:rFonts w:hint="eastAsia"/>
          <w:color w:val="auto"/>
          <w:sz w:val="28"/>
          <w:highlight w:val="none"/>
        </w:rPr>
        <w:t>：</w:t>
      </w:r>
      <w:r>
        <w:rPr>
          <w:color w:val="auto"/>
          <w:sz w:val="28"/>
          <w:highlight w:val="none"/>
        </w:rPr>
        <w:t>格式可自拟。</w:t>
      </w:r>
    </w:p>
    <w:p w14:paraId="70CE84AB">
      <w:pPr>
        <w:pStyle w:val="7"/>
        <w:spacing w:line="360" w:lineRule="auto"/>
        <w:ind w:firstLine="400" w:firstLineChars="200"/>
        <w:jc w:val="both"/>
        <w:rPr>
          <w:color w:val="auto"/>
          <w:sz w:val="20"/>
          <w:highlight w:val="none"/>
        </w:rPr>
      </w:pPr>
    </w:p>
    <w:p w14:paraId="3DC47C32">
      <w:pPr>
        <w:rPr>
          <w:rFonts w:ascii="黑体" w:eastAsia="黑体"/>
          <w:color w:val="auto"/>
          <w:highlight w:val="none"/>
        </w:rPr>
      </w:pPr>
      <w:bookmarkStart w:id="56" w:name="五、技术规格偏离表"/>
      <w:bookmarkEnd w:id="56"/>
      <w:bookmarkStart w:id="57" w:name="四、_商务条款偏离表"/>
      <w:bookmarkEnd w:id="57"/>
      <w:r>
        <w:rPr>
          <w:rFonts w:ascii="黑体" w:eastAsia="黑体"/>
          <w:color w:val="auto"/>
          <w:highlight w:val="none"/>
        </w:rPr>
        <w:br w:type="page"/>
      </w:r>
    </w:p>
    <w:p w14:paraId="35DD6F8B">
      <w:pPr>
        <w:pStyle w:val="5"/>
        <w:spacing w:line="360" w:lineRule="auto"/>
        <w:ind w:left="0" w:firstLine="562" w:firstLineChars="200"/>
        <w:jc w:val="center"/>
        <w:rPr>
          <w:rFonts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t>五、商务条款偏离表</w:t>
      </w:r>
    </w:p>
    <w:p w14:paraId="0B0CF81F">
      <w:pPr>
        <w:pStyle w:val="7"/>
        <w:spacing w:line="360" w:lineRule="auto"/>
        <w:ind w:firstLine="562" w:firstLineChars="200"/>
        <w:jc w:val="both"/>
        <w:rPr>
          <w:rFonts w:ascii="黑体"/>
          <w:b/>
          <w:color w:val="auto"/>
          <w:highlight w:val="none"/>
        </w:rPr>
      </w:pPr>
    </w:p>
    <w:p w14:paraId="0B9781D3">
      <w:pPr>
        <w:pStyle w:val="7"/>
        <w:spacing w:line="360" w:lineRule="auto"/>
        <w:ind w:firstLine="560" w:firstLineChars="200"/>
        <w:jc w:val="both"/>
        <w:rPr>
          <w:color w:val="auto"/>
          <w:highlight w:val="none"/>
        </w:rPr>
      </w:pPr>
      <w:r>
        <w:rPr>
          <w:color w:val="auto"/>
          <w:highlight w:val="none"/>
        </w:rPr>
        <w:t>项目编号</w:t>
      </w:r>
      <w:r>
        <w:rPr>
          <w:rFonts w:hint="eastAsia"/>
          <w:color w:val="auto"/>
          <w:highlight w:val="none"/>
        </w:rPr>
        <w:t>：</w:t>
      </w:r>
      <w:r>
        <w:rPr>
          <w:color w:val="auto"/>
          <w:highlight w:val="none"/>
        </w:rPr>
        <w:t xml:space="preserve"> 豫财招标采购-</w:t>
      </w:r>
    </w:p>
    <w:p w14:paraId="4E5C36D8">
      <w:pPr>
        <w:pStyle w:val="7"/>
        <w:spacing w:line="360" w:lineRule="auto"/>
        <w:ind w:firstLine="280" w:firstLineChars="200"/>
        <w:jc w:val="both"/>
        <w:rPr>
          <w:color w:val="auto"/>
          <w:sz w:val="14"/>
          <w:highlight w:val="none"/>
        </w:rPr>
      </w:pPr>
    </w:p>
    <w:tbl>
      <w:tblPr>
        <w:tblStyle w:val="1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69"/>
        <w:gridCol w:w="3109"/>
        <w:gridCol w:w="3109"/>
        <w:gridCol w:w="1110"/>
      </w:tblGrid>
      <w:tr w14:paraId="25E2BD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4" w:hRule="atLeast"/>
          <w:jc w:val="center"/>
        </w:trPr>
        <w:tc>
          <w:tcPr>
            <w:tcW w:w="1169" w:type="dxa"/>
            <w:vAlign w:val="center"/>
          </w:tcPr>
          <w:p w14:paraId="42B0E957">
            <w:pPr>
              <w:pStyle w:val="20"/>
              <w:jc w:val="center"/>
              <w:rPr>
                <w:b/>
                <w:color w:val="auto"/>
                <w:sz w:val="28"/>
                <w:highlight w:val="none"/>
              </w:rPr>
            </w:pPr>
            <w:r>
              <w:rPr>
                <w:b/>
                <w:color w:val="auto"/>
                <w:sz w:val="28"/>
                <w:highlight w:val="none"/>
              </w:rPr>
              <w:t>序号</w:t>
            </w:r>
          </w:p>
        </w:tc>
        <w:tc>
          <w:tcPr>
            <w:tcW w:w="3109" w:type="dxa"/>
            <w:vAlign w:val="center"/>
          </w:tcPr>
          <w:p w14:paraId="17F48586">
            <w:pPr>
              <w:pStyle w:val="20"/>
              <w:jc w:val="center"/>
              <w:rPr>
                <w:b/>
                <w:color w:val="auto"/>
                <w:sz w:val="28"/>
                <w:highlight w:val="none"/>
              </w:rPr>
            </w:pPr>
            <w:r>
              <w:rPr>
                <w:b/>
                <w:color w:val="auto"/>
                <w:sz w:val="28"/>
                <w:highlight w:val="none"/>
              </w:rPr>
              <w:t>招标文件的商务条款</w:t>
            </w:r>
          </w:p>
        </w:tc>
        <w:tc>
          <w:tcPr>
            <w:tcW w:w="3109" w:type="dxa"/>
            <w:vAlign w:val="center"/>
          </w:tcPr>
          <w:p w14:paraId="1AB33422">
            <w:pPr>
              <w:pStyle w:val="20"/>
              <w:jc w:val="center"/>
              <w:rPr>
                <w:b/>
                <w:color w:val="auto"/>
                <w:sz w:val="28"/>
                <w:highlight w:val="none"/>
              </w:rPr>
            </w:pPr>
            <w:r>
              <w:rPr>
                <w:b/>
                <w:color w:val="auto"/>
                <w:sz w:val="28"/>
                <w:highlight w:val="none"/>
              </w:rPr>
              <w:t>投标文件的商务条款</w:t>
            </w:r>
          </w:p>
        </w:tc>
        <w:tc>
          <w:tcPr>
            <w:tcW w:w="1110" w:type="dxa"/>
            <w:vAlign w:val="center"/>
          </w:tcPr>
          <w:p w14:paraId="67E3B6A5">
            <w:pPr>
              <w:pStyle w:val="20"/>
              <w:jc w:val="center"/>
              <w:rPr>
                <w:b/>
                <w:color w:val="auto"/>
                <w:sz w:val="28"/>
                <w:highlight w:val="none"/>
              </w:rPr>
            </w:pPr>
            <w:r>
              <w:rPr>
                <w:b/>
                <w:color w:val="auto"/>
                <w:sz w:val="28"/>
                <w:highlight w:val="none"/>
              </w:rPr>
              <w:t>说明</w:t>
            </w:r>
          </w:p>
        </w:tc>
      </w:tr>
      <w:tr w14:paraId="596FC2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jc w:val="center"/>
        </w:trPr>
        <w:tc>
          <w:tcPr>
            <w:tcW w:w="1169" w:type="dxa"/>
          </w:tcPr>
          <w:p w14:paraId="069CC262">
            <w:pPr>
              <w:pStyle w:val="20"/>
              <w:spacing w:line="360" w:lineRule="auto"/>
              <w:jc w:val="both"/>
              <w:rPr>
                <w:rFonts w:ascii="Times New Roman"/>
                <w:color w:val="auto"/>
                <w:sz w:val="26"/>
                <w:highlight w:val="none"/>
              </w:rPr>
            </w:pPr>
          </w:p>
        </w:tc>
        <w:tc>
          <w:tcPr>
            <w:tcW w:w="3109" w:type="dxa"/>
          </w:tcPr>
          <w:p w14:paraId="46D9CD31">
            <w:pPr>
              <w:pStyle w:val="20"/>
              <w:spacing w:line="360" w:lineRule="auto"/>
              <w:jc w:val="both"/>
              <w:rPr>
                <w:rFonts w:ascii="Times New Roman"/>
                <w:color w:val="auto"/>
                <w:sz w:val="26"/>
                <w:highlight w:val="none"/>
              </w:rPr>
            </w:pPr>
          </w:p>
        </w:tc>
        <w:tc>
          <w:tcPr>
            <w:tcW w:w="3109" w:type="dxa"/>
          </w:tcPr>
          <w:p w14:paraId="2CA1B55B">
            <w:pPr>
              <w:pStyle w:val="20"/>
              <w:spacing w:line="360" w:lineRule="auto"/>
              <w:jc w:val="both"/>
              <w:rPr>
                <w:rFonts w:ascii="Times New Roman"/>
                <w:color w:val="auto"/>
                <w:sz w:val="26"/>
                <w:highlight w:val="none"/>
              </w:rPr>
            </w:pPr>
          </w:p>
        </w:tc>
        <w:tc>
          <w:tcPr>
            <w:tcW w:w="1110" w:type="dxa"/>
          </w:tcPr>
          <w:p w14:paraId="52B734C1">
            <w:pPr>
              <w:pStyle w:val="20"/>
              <w:spacing w:line="360" w:lineRule="auto"/>
              <w:jc w:val="both"/>
              <w:rPr>
                <w:rFonts w:ascii="Times New Roman"/>
                <w:color w:val="auto"/>
                <w:sz w:val="26"/>
                <w:highlight w:val="none"/>
              </w:rPr>
            </w:pPr>
          </w:p>
        </w:tc>
      </w:tr>
      <w:tr w14:paraId="6A9D60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jc w:val="center"/>
        </w:trPr>
        <w:tc>
          <w:tcPr>
            <w:tcW w:w="1169" w:type="dxa"/>
          </w:tcPr>
          <w:p w14:paraId="2F727DCD">
            <w:pPr>
              <w:pStyle w:val="20"/>
              <w:spacing w:line="360" w:lineRule="auto"/>
              <w:jc w:val="both"/>
              <w:rPr>
                <w:rFonts w:ascii="Times New Roman"/>
                <w:color w:val="auto"/>
                <w:sz w:val="26"/>
                <w:highlight w:val="none"/>
              </w:rPr>
            </w:pPr>
          </w:p>
        </w:tc>
        <w:tc>
          <w:tcPr>
            <w:tcW w:w="3109" w:type="dxa"/>
          </w:tcPr>
          <w:p w14:paraId="5650E85B">
            <w:pPr>
              <w:pStyle w:val="20"/>
              <w:spacing w:line="360" w:lineRule="auto"/>
              <w:jc w:val="both"/>
              <w:rPr>
                <w:rFonts w:ascii="Times New Roman"/>
                <w:color w:val="auto"/>
                <w:sz w:val="26"/>
                <w:highlight w:val="none"/>
              </w:rPr>
            </w:pPr>
          </w:p>
        </w:tc>
        <w:tc>
          <w:tcPr>
            <w:tcW w:w="3109" w:type="dxa"/>
          </w:tcPr>
          <w:p w14:paraId="78EEBE73">
            <w:pPr>
              <w:pStyle w:val="20"/>
              <w:spacing w:line="360" w:lineRule="auto"/>
              <w:jc w:val="both"/>
              <w:rPr>
                <w:rFonts w:ascii="Times New Roman"/>
                <w:color w:val="auto"/>
                <w:sz w:val="26"/>
                <w:highlight w:val="none"/>
              </w:rPr>
            </w:pPr>
          </w:p>
        </w:tc>
        <w:tc>
          <w:tcPr>
            <w:tcW w:w="1110" w:type="dxa"/>
          </w:tcPr>
          <w:p w14:paraId="7A0D4858">
            <w:pPr>
              <w:pStyle w:val="20"/>
              <w:spacing w:line="360" w:lineRule="auto"/>
              <w:jc w:val="both"/>
              <w:rPr>
                <w:rFonts w:ascii="Times New Roman"/>
                <w:color w:val="auto"/>
                <w:sz w:val="26"/>
                <w:highlight w:val="none"/>
              </w:rPr>
            </w:pPr>
          </w:p>
        </w:tc>
      </w:tr>
      <w:tr w14:paraId="0CA60E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 w:hRule="atLeast"/>
          <w:jc w:val="center"/>
        </w:trPr>
        <w:tc>
          <w:tcPr>
            <w:tcW w:w="1169" w:type="dxa"/>
          </w:tcPr>
          <w:p w14:paraId="3299D2BB">
            <w:pPr>
              <w:pStyle w:val="20"/>
              <w:spacing w:line="360" w:lineRule="auto"/>
              <w:jc w:val="both"/>
              <w:rPr>
                <w:rFonts w:ascii="Times New Roman"/>
                <w:color w:val="auto"/>
                <w:sz w:val="26"/>
                <w:highlight w:val="none"/>
              </w:rPr>
            </w:pPr>
          </w:p>
        </w:tc>
        <w:tc>
          <w:tcPr>
            <w:tcW w:w="3109" w:type="dxa"/>
          </w:tcPr>
          <w:p w14:paraId="52361E9C">
            <w:pPr>
              <w:pStyle w:val="20"/>
              <w:spacing w:line="360" w:lineRule="auto"/>
              <w:jc w:val="both"/>
              <w:rPr>
                <w:rFonts w:ascii="Times New Roman"/>
                <w:color w:val="auto"/>
                <w:sz w:val="26"/>
                <w:highlight w:val="none"/>
              </w:rPr>
            </w:pPr>
          </w:p>
        </w:tc>
        <w:tc>
          <w:tcPr>
            <w:tcW w:w="3109" w:type="dxa"/>
          </w:tcPr>
          <w:p w14:paraId="014115E0">
            <w:pPr>
              <w:pStyle w:val="20"/>
              <w:spacing w:line="360" w:lineRule="auto"/>
              <w:jc w:val="both"/>
              <w:rPr>
                <w:rFonts w:ascii="Times New Roman"/>
                <w:color w:val="auto"/>
                <w:sz w:val="26"/>
                <w:highlight w:val="none"/>
              </w:rPr>
            </w:pPr>
          </w:p>
        </w:tc>
        <w:tc>
          <w:tcPr>
            <w:tcW w:w="1110" w:type="dxa"/>
          </w:tcPr>
          <w:p w14:paraId="38F0E5A0">
            <w:pPr>
              <w:pStyle w:val="20"/>
              <w:spacing w:line="360" w:lineRule="auto"/>
              <w:jc w:val="both"/>
              <w:rPr>
                <w:rFonts w:ascii="Times New Roman"/>
                <w:color w:val="auto"/>
                <w:sz w:val="26"/>
                <w:highlight w:val="none"/>
              </w:rPr>
            </w:pPr>
          </w:p>
        </w:tc>
      </w:tr>
      <w:tr w14:paraId="1D3F11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jc w:val="center"/>
        </w:trPr>
        <w:tc>
          <w:tcPr>
            <w:tcW w:w="1169" w:type="dxa"/>
          </w:tcPr>
          <w:p w14:paraId="597DC4D4">
            <w:pPr>
              <w:pStyle w:val="20"/>
              <w:spacing w:line="360" w:lineRule="auto"/>
              <w:jc w:val="both"/>
              <w:rPr>
                <w:rFonts w:ascii="Times New Roman"/>
                <w:color w:val="auto"/>
                <w:sz w:val="26"/>
                <w:highlight w:val="none"/>
              </w:rPr>
            </w:pPr>
            <w:r>
              <w:rPr>
                <w:rFonts w:hint="eastAsia" w:ascii="Times New Roman"/>
                <w:color w:val="auto"/>
                <w:sz w:val="26"/>
                <w:highlight w:val="none"/>
              </w:rPr>
              <w:t>`</w:t>
            </w:r>
          </w:p>
        </w:tc>
        <w:tc>
          <w:tcPr>
            <w:tcW w:w="3109" w:type="dxa"/>
          </w:tcPr>
          <w:p w14:paraId="48F4E476">
            <w:pPr>
              <w:pStyle w:val="20"/>
              <w:spacing w:line="360" w:lineRule="auto"/>
              <w:jc w:val="both"/>
              <w:rPr>
                <w:rFonts w:ascii="Times New Roman"/>
                <w:color w:val="auto"/>
                <w:sz w:val="26"/>
                <w:highlight w:val="none"/>
              </w:rPr>
            </w:pPr>
          </w:p>
        </w:tc>
        <w:tc>
          <w:tcPr>
            <w:tcW w:w="3109" w:type="dxa"/>
          </w:tcPr>
          <w:p w14:paraId="75ED6ED6">
            <w:pPr>
              <w:pStyle w:val="20"/>
              <w:spacing w:line="360" w:lineRule="auto"/>
              <w:jc w:val="both"/>
              <w:rPr>
                <w:rFonts w:ascii="Times New Roman"/>
                <w:color w:val="auto"/>
                <w:sz w:val="26"/>
                <w:highlight w:val="none"/>
              </w:rPr>
            </w:pPr>
          </w:p>
        </w:tc>
        <w:tc>
          <w:tcPr>
            <w:tcW w:w="1110" w:type="dxa"/>
          </w:tcPr>
          <w:p w14:paraId="30C1FE21">
            <w:pPr>
              <w:pStyle w:val="20"/>
              <w:spacing w:line="360" w:lineRule="auto"/>
              <w:jc w:val="both"/>
              <w:rPr>
                <w:rFonts w:ascii="Times New Roman"/>
                <w:color w:val="auto"/>
                <w:sz w:val="26"/>
                <w:highlight w:val="none"/>
              </w:rPr>
            </w:pPr>
          </w:p>
        </w:tc>
      </w:tr>
      <w:tr w14:paraId="12561A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 w:hRule="atLeast"/>
          <w:jc w:val="center"/>
        </w:trPr>
        <w:tc>
          <w:tcPr>
            <w:tcW w:w="1169" w:type="dxa"/>
          </w:tcPr>
          <w:p w14:paraId="17904435">
            <w:pPr>
              <w:pStyle w:val="20"/>
              <w:spacing w:line="360" w:lineRule="auto"/>
              <w:jc w:val="both"/>
              <w:rPr>
                <w:rFonts w:ascii="Times New Roman"/>
                <w:color w:val="auto"/>
                <w:sz w:val="26"/>
                <w:highlight w:val="none"/>
              </w:rPr>
            </w:pPr>
          </w:p>
        </w:tc>
        <w:tc>
          <w:tcPr>
            <w:tcW w:w="3109" w:type="dxa"/>
          </w:tcPr>
          <w:p w14:paraId="149568C4">
            <w:pPr>
              <w:pStyle w:val="20"/>
              <w:spacing w:line="360" w:lineRule="auto"/>
              <w:jc w:val="both"/>
              <w:rPr>
                <w:rFonts w:ascii="Times New Roman"/>
                <w:color w:val="auto"/>
                <w:sz w:val="26"/>
                <w:highlight w:val="none"/>
              </w:rPr>
            </w:pPr>
          </w:p>
        </w:tc>
        <w:tc>
          <w:tcPr>
            <w:tcW w:w="3109" w:type="dxa"/>
          </w:tcPr>
          <w:p w14:paraId="42E0F3EE">
            <w:pPr>
              <w:pStyle w:val="20"/>
              <w:spacing w:line="360" w:lineRule="auto"/>
              <w:jc w:val="both"/>
              <w:rPr>
                <w:rFonts w:ascii="Times New Roman"/>
                <w:color w:val="auto"/>
                <w:sz w:val="26"/>
                <w:highlight w:val="none"/>
              </w:rPr>
            </w:pPr>
          </w:p>
        </w:tc>
        <w:tc>
          <w:tcPr>
            <w:tcW w:w="1110" w:type="dxa"/>
          </w:tcPr>
          <w:p w14:paraId="4AFACB4D">
            <w:pPr>
              <w:pStyle w:val="20"/>
              <w:spacing w:line="360" w:lineRule="auto"/>
              <w:jc w:val="both"/>
              <w:rPr>
                <w:rFonts w:ascii="Times New Roman"/>
                <w:color w:val="auto"/>
                <w:sz w:val="26"/>
                <w:highlight w:val="none"/>
              </w:rPr>
            </w:pPr>
          </w:p>
        </w:tc>
      </w:tr>
      <w:tr w14:paraId="3E8072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3" w:hRule="atLeast"/>
          <w:jc w:val="center"/>
        </w:trPr>
        <w:tc>
          <w:tcPr>
            <w:tcW w:w="1169" w:type="dxa"/>
          </w:tcPr>
          <w:p w14:paraId="0C490556">
            <w:pPr>
              <w:pStyle w:val="20"/>
              <w:spacing w:line="360" w:lineRule="auto"/>
              <w:jc w:val="both"/>
              <w:rPr>
                <w:rFonts w:ascii="Times New Roman"/>
                <w:color w:val="auto"/>
                <w:sz w:val="26"/>
                <w:highlight w:val="none"/>
              </w:rPr>
            </w:pPr>
          </w:p>
        </w:tc>
        <w:tc>
          <w:tcPr>
            <w:tcW w:w="3109" w:type="dxa"/>
          </w:tcPr>
          <w:p w14:paraId="685E5C1A">
            <w:pPr>
              <w:pStyle w:val="20"/>
              <w:spacing w:line="360" w:lineRule="auto"/>
              <w:jc w:val="both"/>
              <w:rPr>
                <w:rFonts w:ascii="Times New Roman"/>
                <w:color w:val="auto"/>
                <w:sz w:val="26"/>
                <w:highlight w:val="none"/>
              </w:rPr>
            </w:pPr>
          </w:p>
        </w:tc>
        <w:tc>
          <w:tcPr>
            <w:tcW w:w="3109" w:type="dxa"/>
          </w:tcPr>
          <w:p w14:paraId="07004391">
            <w:pPr>
              <w:pStyle w:val="20"/>
              <w:spacing w:line="360" w:lineRule="auto"/>
              <w:jc w:val="both"/>
              <w:rPr>
                <w:rFonts w:ascii="Times New Roman"/>
                <w:color w:val="auto"/>
                <w:sz w:val="26"/>
                <w:highlight w:val="none"/>
              </w:rPr>
            </w:pPr>
          </w:p>
        </w:tc>
        <w:tc>
          <w:tcPr>
            <w:tcW w:w="1110" w:type="dxa"/>
          </w:tcPr>
          <w:p w14:paraId="302CB74B">
            <w:pPr>
              <w:pStyle w:val="20"/>
              <w:spacing w:line="360" w:lineRule="auto"/>
              <w:jc w:val="both"/>
              <w:rPr>
                <w:rFonts w:ascii="Times New Roman"/>
                <w:color w:val="auto"/>
                <w:sz w:val="26"/>
                <w:highlight w:val="none"/>
              </w:rPr>
            </w:pPr>
          </w:p>
        </w:tc>
      </w:tr>
      <w:tr w14:paraId="4FA61C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jc w:val="center"/>
        </w:trPr>
        <w:tc>
          <w:tcPr>
            <w:tcW w:w="1169" w:type="dxa"/>
          </w:tcPr>
          <w:p w14:paraId="60BF9DB8">
            <w:pPr>
              <w:pStyle w:val="20"/>
              <w:spacing w:line="360" w:lineRule="auto"/>
              <w:jc w:val="both"/>
              <w:rPr>
                <w:rFonts w:ascii="Times New Roman"/>
                <w:color w:val="auto"/>
                <w:sz w:val="26"/>
                <w:highlight w:val="none"/>
              </w:rPr>
            </w:pPr>
          </w:p>
        </w:tc>
        <w:tc>
          <w:tcPr>
            <w:tcW w:w="3109" w:type="dxa"/>
          </w:tcPr>
          <w:p w14:paraId="321297DA">
            <w:pPr>
              <w:pStyle w:val="20"/>
              <w:spacing w:line="360" w:lineRule="auto"/>
              <w:jc w:val="both"/>
              <w:rPr>
                <w:rFonts w:ascii="Times New Roman"/>
                <w:color w:val="auto"/>
                <w:sz w:val="26"/>
                <w:highlight w:val="none"/>
              </w:rPr>
            </w:pPr>
          </w:p>
        </w:tc>
        <w:tc>
          <w:tcPr>
            <w:tcW w:w="3109" w:type="dxa"/>
          </w:tcPr>
          <w:p w14:paraId="0E585147">
            <w:pPr>
              <w:pStyle w:val="20"/>
              <w:spacing w:line="360" w:lineRule="auto"/>
              <w:jc w:val="both"/>
              <w:rPr>
                <w:rFonts w:ascii="Times New Roman"/>
                <w:color w:val="auto"/>
                <w:sz w:val="26"/>
                <w:highlight w:val="none"/>
              </w:rPr>
            </w:pPr>
          </w:p>
        </w:tc>
        <w:tc>
          <w:tcPr>
            <w:tcW w:w="1110" w:type="dxa"/>
          </w:tcPr>
          <w:p w14:paraId="6D32C46B">
            <w:pPr>
              <w:pStyle w:val="20"/>
              <w:spacing w:line="360" w:lineRule="auto"/>
              <w:jc w:val="both"/>
              <w:rPr>
                <w:rFonts w:ascii="Times New Roman"/>
                <w:color w:val="auto"/>
                <w:sz w:val="26"/>
                <w:highlight w:val="none"/>
              </w:rPr>
            </w:pPr>
          </w:p>
        </w:tc>
      </w:tr>
      <w:tr w14:paraId="7F42C3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jc w:val="center"/>
        </w:trPr>
        <w:tc>
          <w:tcPr>
            <w:tcW w:w="1169" w:type="dxa"/>
          </w:tcPr>
          <w:p w14:paraId="329F6BD5">
            <w:pPr>
              <w:pStyle w:val="20"/>
              <w:spacing w:line="360" w:lineRule="auto"/>
              <w:jc w:val="both"/>
              <w:rPr>
                <w:rFonts w:ascii="Times New Roman"/>
                <w:color w:val="auto"/>
                <w:sz w:val="26"/>
                <w:highlight w:val="none"/>
              </w:rPr>
            </w:pPr>
          </w:p>
        </w:tc>
        <w:tc>
          <w:tcPr>
            <w:tcW w:w="3109" w:type="dxa"/>
          </w:tcPr>
          <w:p w14:paraId="28F8995B">
            <w:pPr>
              <w:pStyle w:val="20"/>
              <w:spacing w:line="360" w:lineRule="auto"/>
              <w:jc w:val="both"/>
              <w:rPr>
                <w:rFonts w:ascii="Times New Roman"/>
                <w:color w:val="auto"/>
                <w:sz w:val="26"/>
                <w:highlight w:val="none"/>
              </w:rPr>
            </w:pPr>
          </w:p>
        </w:tc>
        <w:tc>
          <w:tcPr>
            <w:tcW w:w="3109" w:type="dxa"/>
          </w:tcPr>
          <w:p w14:paraId="641FFCC4">
            <w:pPr>
              <w:pStyle w:val="20"/>
              <w:spacing w:line="360" w:lineRule="auto"/>
              <w:jc w:val="both"/>
              <w:rPr>
                <w:rFonts w:ascii="Times New Roman"/>
                <w:color w:val="auto"/>
                <w:sz w:val="26"/>
                <w:highlight w:val="none"/>
              </w:rPr>
            </w:pPr>
          </w:p>
        </w:tc>
        <w:tc>
          <w:tcPr>
            <w:tcW w:w="1110" w:type="dxa"/>
          </w:tcPr>
          <w:p w14:paraId="3A30DAB2">
            <w:pPr>
              <w:pStyle w:val="20"/>
              <w:spacing w:line="360" w:lineRule="auto"/>
              <w:jc w:val="both"/>
              <w:rPr>
                <w:rFonts w:ascii="Times New Roman"/>
                <w:color w:val="auto"/>
                <w:sz w:val="26"/>
                <w:highlight w:val="none"/>
              </w:rPr>
            </w:pPr>
          </w:p>
        </w:tc>
      </w:tr>
      <w:tr w14:paraId="166BC3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3" w:hRule="atLeast"/>
          <w:jc w:val="center"/>
        </w:trPr>
        <w:tc>
          <w:tcPr>
            <w:tcW w:w="1169" w:type="dxa"/>
          </w:tcPr>
          <w:p w14:paraId="3F4AEBEA">
            <w:pPr>
              <w:pStyle w:val="20"/>
              <w:spacing w:line="360" w:lineRule="auto"/>
              <w:jc w:val="both"/>
              <w:rPr>
                <w:rFonts w:ascii="Times New Roman"/>
                <w:color w:val="auto"/>
                <w:sz w:val="26"/>
                <w:highlight w:val="none"/>
              </w:rPr>
            </w:pPr>
          </w:p>
        </w:tc>
        <w:tc>
          <w:tcPr>
            <w:tcW w:w="3109" w:type="dxa"/>
          </w:tcPr>
          <w:p w14:paraId="38493791">
            <w:pPr>
              <w:pStyle w:val="20"/>
              <w:spacing w:line="360" w:lineRule="auto"/>
              <w:jc w:val="both"/>
              <w:rPr>
                <w:rFonts w:ascii="Times New Roman"/>
                <w:color w:val="auto"/>
                <w:sz w:val="26"/>
                <w:highlight w:val="none"/>
              </w:rPr>
            </w:pPr>
          </w:p>
        </w:tc>
        <w:tc>
          <w:tcPr>
            <w:tcW w:w="3109" w:type="dxa"/>
          </w:tcPr>
          <w:p w14:paraId="6BE57B0F">
            <w:pPr>
              <w:pStyle w:val="20"/>
              <w:spacing w:line="360" w:lineRule="auto"/>
              <w:jc w:val="both"/>
              <w:rPr>
                <w:rFonts w:ascii="Times New Roman"/>
                <w:color w:val="auto"/>
                <w:sz w:val="26"/>
                <w:highlight w:val="none"/>
              </w:rPr>
            </w:pPr>
          </w:p>
        </w:tc>
        <w:tc>
          <w:tcPr>
            <w:tcW w:w="1110" w:type="dxa"/>
          </w:tcPr>
          <w:p w14:paraId="5DAECFEE">
            <w:pPr>
              <w:pStyle w:val="20"/>
              <w:spacing w:line="360" w:lineRule="auto"/>
              <w:jc w:val="both"/>
              <w:rPr>
                <w:rFonts w:ascii="Times New Roman"/>
                <w:color w:val="auto"/>
                <w:sz w:val="26"/>
                <w:highlight w:val="none"/>
              </w:rPr>
            </w:pPr>
          </w:p>
        </w:tc>
      </w:tr>
      <w:tr w14:paraId="2DBDA1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jc w:val="center"/>
        </w:trPr>
        <w:tc>
          <w:tcPr>
            <w:tcW w:w="1169" w:type="dxa"/>
          </w:tcPr>
          <w:p w14:paraId="3F3581B2">
            <w:pPr>
              <w:pStyle w:val="20"/>
              <w:spacing w:line="360" w:lineRule="auto"/>
              <w:jc w:val="both"/>
              <w:rPr>
                <w:rFonts w:ascii="Times New Roman"/>
                <w:color w:val="auto"/>
                <w:sz w:val="26"/>
                <w:highlight w:val="none"/>
              </w:rPr>
            </w:pPr>
          </w:p>
        </w:tc>
        <w:tc>
          <w:tcPr>
            <w:tcW w:w="3109" w:type="dxa"/>
          </w:tcPr>
          <w:p w14:paraId="02BD539F">
            <w:pPr>
              <w:pStyle w:val="20"/>
              <w:spacing w:line="360" w:lineRule="auto"/>
              <w:jc w:val="both"/>
              <w:rPr>
                <w:rFonts w:ascii="Times New Roman"/>
                <w:color w:val="auto"/>
                <w:sz w:val="26"/>
                <w:highlight w:val="none"/>
              </w:rPr>
            </w:pPr>
          </w:p>
        </w:tc>
        <w:tc>
          <w:tcPr>
            <w:tcW w:w="3109" w:type="dxa"/>
          </w:tcPr>
          <w:p w14:paraId="343DB8F4">
            <w:pPr>
              <w:pStyle w:val="20"/>
              <w:spacing w:line="360" w:lineRule="auto"/>
              <w:jc w:val="both"/>
              <w:rPr>
                <w:rFonts w:ascii="Times New Roman"/>
                <w:color w:val="auto"/>
                <w:sz w:val="26"/>
                <w:highlight w:val="none"/>
              </w:rPr>
            </w:pPr>
          </w:p>
        </w:tc>
        <w:tc>
          <w:tcPr>
            <w:tcW w:w="1110" w:type="dxa"/>
          </w:tcPr>
          <w:p w14:paraId="3EED3957">
            <w:pPr>
              <w:pStyle w:val="20"/>
              <w:spacing w:line="360" w:lineRule="auto"/>
              <w:jc w:val="both"/>
              <w:rPr>
                <w:rFonts w:ascii="Times New Roman"/>
                <w:color w:val="auto"/>
                <w:sz w:val="26"/>
                <w:highlight w:val="none"/>
              </w:rPr>
            </w:pPr>
          </w:p>
        </w:tc>
      </w:tr>
      <w:tr w14:paraId="4FA81F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jc w:val="center"/>
        </w:trPr>
        <w:tc>
          <w:tcPr>
            <w:tcW w:w="1169" w:type="dxa"/>
          </w:tcPr>
          <w:p w14:paraId="5EDB9015">
            <w:pPr>
              <w:pStyle w:val="20"/>
              <w:spacing w:line="360" w:lineRule="auto"/>
              <w:jc w:val="both"/>
              <w:rPr>
                <w:rFonts w:ascii="Times New Roman"/>
                <w:color w:val="auto"/>
                <w:sz w:val="26"/>
                <w:highlight w:val="none"/>
              </w:rPr>
            </w:pPr>
          </w:p>
        </w:tc>
        <w:tc>
          <w:tcPr>
            <w:tcW w:w="3109" w:type="dxa"/>
          </w:tcPr>
          <w:p w14:paraId="283363B3">
            <w:pPr>
              <w:pStyle w:val="20"/>
              <w:spacing w:line="360" w:lineRule="auto"/>
              <w:jc w:val="both"/>
              <w:rPr>
                <w:rFonts w:ascii="Times New Roman"/>
                <w:color w:val="auto"/>
                <w:sz w:val="26"/>
                <w:highlight w:val="none"/>
              </w:rPr>
            </w:pPr>
          </w:p>
        </w:tc>
        <w:tc>
          <w:tcPr>
            <w:tcW w:w="3109" w:type="dxa"/>
          </w:tcPr>
          <w:p w14:paraId="56849D59">
            <w:pPr>
              <w:pStyle w:val="20"/>
              <w:spacing w:line="360" w:lineRule="auto"/>
              <w:jc w:val="both"/>
              <w:rPr>
                <w:rFonts w:ascii="Times New Roman"/>
                <w:color w:val="auto"/>
                <w:sz w:val="26"/>
                <w:highlight w:val="none"/>
              </w:rPr>
            </w:pPr>
          </w:p>
        </w:tc>
        <w:tc>
          <w:tcPr>
            <w:tcW w:w="1110" w:type="dxa"/>
          </w:tcPr>
          <w:p w14:paraId="38953893">
            <w:pPr>
              <w:pStyle w:val="20"/>
              <w:spacing w:line="360" w:lineRule="auto"/>
              <w:jc w:val="both"/>
              <w:rPr>
                <w:rFonts w:ascii="Times New Roman"/>
                <w:color w:val="auto"/>
                <w:sz w:val="26"/>
                <w:highlight w:val="none"/>
              </w:rPr>
            </w:pPr>
          </w:p>
        </w:tc>
      </w:tr>
    </w:tbl>
    <w:p w14:paraId="7FD49D4B">
      <w:pPr>
        <w:pStyle w:val="7"/>
        <w:spacing w:line="360" w:lineRule="auto"/>
        <w:ind w:firstLine="560" w:firstLineChars="200"/>
        <w:jc w:val="both"/>
        <w:rPr>
          <w:color w:val="auto"/>
          <w:highlight w:val="none"/>
        </w:rPr>
      </w:pPr>
    </w:p>
    <w:p w14:paraId="1AA337D7">
      <w:pPr>
        <w:pStyle w:val="7"/>
        <w:tabs>
          <w:tab w:val="left" w:pos="6749"/>
        </w:tabs>
        <w:spacing w:line="360" w:lineRule="auto"/>
        <w:ind w:firstLine="560" w:firstLineChars="200"/>
        <w:jc w:val="both"/>
        <w:rPr>
          <w:rFonts w:ascii="Times New Roman" w:eastAsia="Times New Roman"/>
          <w:color w:val="auto"/>
          <w:highlight w:val="none"/>
        </w:rPr>
      </w:pPr>
      <w:r>
        <w:rPr>
          <w:color w:val="auto"/>
          <w:highlight w:val="none"/>
        </w:rPr>
        <w:t>投标人（企业电子签章）：</w:t>
      </w:r>
      <w:r>
        <w:rPr>
          <w:rFonts w:ascii="Times New Roman" w:eastAsia="Times New Roman"/>
          <w:color w:val="auto"/>
          <w:highlight w:val="none"/>
          <w:u w:val="single"/>
        </w:rPr>
        <w:tab/>
      </w:r>
    </w:p>
    <w:p w14:paraId="41455674">
      <w:pPr>
        <w:rPr>
          <w:rFonts w:ascii="黑体" w:eastAsia="黑体"/>
          <w:color w:val="auto"/>
          <w:highlight w:val="none"/>
        </w:rPr>
      </w:pPr>
      <w:r>
        <w:rPr>
          <w:rFonts w:hint="eastAsia" w:ascii="黑体" w:eastAsia="黑体"/>
          <w:color w:val="auto"/>
          <w:highlight w:val="none"/>
        </w:rPr>
        <w:br w:type="page"/>
      </w:r>
    </w:p>
    <w:p w14:paraId="1C127E67">
      <w:pPr>
        <w:pStyle w:val="5"/>
        <w:spacing w:line="360" w:lineRule="auto"/>
        <w:ind w:left="0" w:firstLine="562" w:firstLineChars="200"/>
        <w:jc w:val="center"/>
        <w:rPr>
          <w:rFonts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t>六、技术规格偏离表</w:t>
      </w:r>
    </w:p>
    <w:p w14:paraId="0C87FC3B">
      <w:pPr>
        <w:pStyle w:val="7"/>
        <w:spacing w:line="360" w:lineRule="auto"/>
        <w:ind w:firstLine="462" w:firstLineChars="200"/>
        <w:jc w:val="both"/>
        <w:rPr>
          <w:rFonts w:ascii="黑体"/>
          <w:b/>
          <w:color w:val="auto"/>
          <w:sz w:val="23"/>
          <w:highlight w:val="none"/>
        </w:rPr>
      </w:pPr>
    </w:p>
    <w:p w14:paraId="57E4097F">
      <w:pPr>
        <w:pStyle w:val="7"/>
        <w:spacing w:line="360" w:lineRule="auto"/>
        <w:ind w:firstLine="560" w:firstLineChars="200"/>
        <w:jc w:val="both"/>
        <w:rPr>
          <w:color w:val="auto"/>
          <w:highlight w:val="none"/>
        </w:rPr>
      </w:pPr>
      <w:r>
        <w:rPr>
          <w:color w:val="auto"/>
          <w:highlight w:val="none"/>
        </w:rPr>
        <w:t>项目编号</w:t>
      </w:r>
      <w:r>
        <w:rPr>
          <w:rFonts w:hint="eastAsia"/>
          <w:color w:val="auto"/>
          <w:highlight w:val="none"/>
        </w:rPr>
        <w:t>：</w:t>
      </w:r>
      <w:r>
        <w:rPr>
          <w:color w:val="auto"/>
          <w:highlight w:val="none"/>
        </w:rPr>
        <w:t xml:space="preserve"> 豫财招标采购-</w:t>
      </w:r>
    </w:p>
    <w:tbl>
      <w:tblPr>
        <w:tblStyle w:val="15"/>
        <w:tblW w:w="936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20"/>
        <w:gridCol w:w="3360"/>
        <w:gridCol w:w="1350"/>
        <w:gridCol w:w="1305"/>
        <w:gridCol w:w="885"/>
        <w:gridCol w:w="1648"/>
      </w:tblGrid>
      <w:tr w14:paraId="3C420C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5" w:hRule="atLeast"/>
        </w:trPr>
        <w:tc>
          <w:tcPr>
            <w:tcW w:w="820" w:type="dxa"/>
            <w:vAlign w:val="center"/>
          </w:tcPr>
          <w:p w14:paraId="624D3177">
            <w:pPr>
              <w:pStyle w:val="20"/>
              <w:jc w:val="center"/>
              <w:rPr>
                <w:b/>
                <w:color w:val="auto"/>
                <w:sz w:val="28"/>
                <w:highlight w:val="none"/>
              </w:rPr>
            </w:pPr>
            <w:r>
              <w:rPr>
                <w:b/>
                <w:color w:val="auto"/>
                <w:sz w:val="28"/>
                <w:highlight w:val="none"/>
              </w:rPr>
              <w:t>序号</w:t>
            </w:r>
          </w:p>
        </w:tc>
        <w:tc>
          <w:tcPr>
            <w:tcW w:w="3360" w:type="dxa"/>
            <w:vAlign w:val="center"/>
          </w:tcPr>
          <w:p w14:paraId="466F8463">
            <w:pPr>
              <w:pStyle w:val="20"/>
              <w:jc w:val="center"/>
              <w:rPr>
                <w:b/>
                <w:color w:val="auto"/>
                <w:sz w:val="28"/>
                <w:highlight w:val="none"/>
              </w:rPr>
            </w:pPr>
            <w:r>
              <w:rPr>
                <w:b/>
                <w:color w:val="auto"/>
                <w:sz w:val="28"/>
                <w:highlight w:val="none"/>
              </w:rPr>
              <w:t>货物名称及伴随服务内容</w:t>
            </w:r>
          </w:p>
        </w:tc>
        <w:tc>
          <w:tcPr>
            <w:tcW w:w="1350" w:type="dxa"/>
            <w:vAlign w:val="center"/>
          </w:tcPr>
          <w:p w14:paraId="3F36A1DB">
            <w:pPr>
              <w:pStyle w:val="20"/>
              <w:jc w:val="center"/>
              <w:rPr>
                <w:b/>
                <w:color w:val="auto"/>
                <w:sz w:val="28"/>
                <w:highlight w:val="none"/>
              </w:rPr>
            </w:pPr>
            <w:r>
              <w:rPr>
                <w:b/>
                <w:color w:val="auto"/>
                <w:sz w:val="28"/>
                <w:highlight w:val="none"/>
              </w:rPr>
              <w:t>招标要求</w:t>
            </w:r>
          </w:p>
        </w:tc>
        <w:tc>
          <w:tcPr>
            <w:tcW w:w="1305" w:type="dxa"/>
            <w:vAlign w:val="center"/>
          </w:tcPr>
          <w:p w14:paraId="2DEC2ADF">
            <w:pPr>
              <w:pStyle w:val="20"/>
              <w:jc w:val="center"/>
              <w:rPr>
                <w:b/>
                <w:color w:val="auto"/>
                <w:sz w:val="28"/>
                <w:highlight w:val="none"/>
              </w:rPr>
            </w:pPr>
            <w:r>
              <w:rPr>
                <w:b/>
                <w:color w:val="auto"/>
                <w:sz w:val="28"/>
                <w:highlight w:val="none"/>
              </w:rPr>
              <w:t>投标响应</w:t>
            </w:r>
          </w:p>
        </w:tc>
        <w:tc>
          <w:tcPr>
            <w:tcW w:w="885" w:type="dxa"/>
            <w:vAlign w:val="center"/>
          </w:tcPr>
          <w:p w14:paraId="58357E75">
            <w:pPr>
              <w:pStyle w:val="20"/>
              <w:jc w:val="center"/>
              <w:rPr>
                <w:b/>
                <w:color w:val="auto"/>
                <w:sz w:val="28"/>
                <w:highlight w:val="none"/>
              </w:rPr>
            </w:pPr>
            <w:r>
              <w:rPr>
                <w:b/>
                <w:color w:val="auto"/>
                <w:sz w:val="28"/>
                <w:highlight w:val="none"/>
              </w:rPr>
              <w:t>偏离</w:t>
            </w:r>
          </w:p>
        </w:tc>
        <w:tc>
          <w:tcPr>
            <w:tcW w:w="1648" w:type="dxa"/>
            <w:vAlign w:val="center"/>
          </w:tcPr>
          <w:p w14:paraId="1741395B">
            <w:pPr>
              <w:pStyle w:val="6"/>
              <w:rPr>
                <w:b/>
                <w:color w:val="auto"/>
                <w:sz w:val="28"/>
                <w:highlight w:val="none"/>
              </w:rPr>
            </w:pPr>
            <w:r>
              <w:rPr>
                <w:b/>
                <w:color w:val="auto"/>
                <w:sz w:val="28"/>
                <w:highlight w:val="none"/>
              </w:rPr>
              <w:t>说明</w:t>
            </w:r>
            <w:r>
              <w:rPr>
                <w:rFonts w:hint="eastAsia"/>
                <w:b/>
                <w:color w:val="auto"/>
                <w:sz w:val="28"/>
                <w:highlight w:val="none"/>
              </w:rPr>
              <w:t>（技术证明文件名称及对应页码）</w:t>
            </w:r>
          </w:p>
        </w:tc>
      </w:tr>
      <w:tr w14:paraId="579FC8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trPr>
        <w:tc>
          <w:tcPr>
            <w:tcW w:w="820" w:type="dxa"/>
            <w:vAlign w:val="center"/>
          </w:tcPr>
          <w:p w14:paraId="4CDE1726">
            <w:pPr>
              <w:pStyle w:val="20"/>
              <w:spacing w:line="360" w:lineRule="auto"/>
              <w:jc w:val="center"/>
              <w:rPr>
                <w:rFonts w:ascii="Times New Roman"/>
                <w:color w:val="auto"/>
                <w:sz w:val="26"/>
                <w:highlight w:val="none"/>
              </w:rPr>
            </w:pPr>
          </w:p>
        </w:tc>
        <w:tc>
          <w:tcPr>
            <w:tcW w:w="3360" w:type="dxa"/>
            <w:vAlign w:val="center"/>
          </w:tcPr>
          <w:p w14:paraId="7F2AE358">
            <w:pPr>
              <w:pStyle w:val="20"/>
              <w:spacing w:line="360" w:lineRule="auto"/>
              <w:jc w:val="center"/>
              <w:rPr>
                <w:rFonts w:ascii="Times New Roman"/>
                <w:color w:val="auto"/>
                <w:sz w:val="26"/>
                <w:highlight w:val="none"/>
              </w:rPr>
            </w:pPr>
          </w:p>
        </w:tc>
        <w:tc>
          <w:tcPr>
            <w:tcW w:w="1350" w:type="dxa"/>
            <w:vAlign w:val="center"/>
          </w:tcPr>
          <w:p w14:paraId="2B609F4E">
            <w:pPr>
              <w:pStyle w:val="20"/>
              <w:spacing w:line="360" w:lineRule="auto"/>
              <w:jc w:val="center"/>
              <w:rPr>
                <w:rFonts w:ascii="Times New Roman"/>
                <w:color w:val="auto"/>
                <w:sz w:val="26"/>
                <w:highlight w:val="none"/>
              </w:rPr>
            </w:pPr>
          </w:p>
        </w:tc>
        <w:tc>
          <w:tcPr>
            <w:tcW w:w="1305" w:type="dxa"/>
            <w:vAlign w:val="center"/>
          </w:tcPr>
          <w:p w14:paraId="34CC4263">
            <w:pPr>
              <w:pStyle w:val="20"/>
              <w:spacing w:line="360" w:lineRule="auto"/>
              <w:jc w:val="center"/>
              <w:rPr>
                <w:rFonts w:ascii="Times New Roman"/>
                <w:color w:val="auto"/>
                <w:sz w:val="26"/>
                <w:highlight w:val="none"/>
              </w:rPr>
            </w:pPr>
          </w:p>
        </w:tc>
        <w:tc>
          <w:tcPr>
            <w:tcW w:w="885" w:type="dxa"/>
            <w:vAlign w:val="center"/>
          </w:tcPr>
          <w:p w14:paraId="1B1B9BA5">
            <w:pPr>
              <w:pStyle w:val="20"/>
              <w:spacing w:line="360" w:lineRule="auto"/>
              <w:jc w:val="center"/>
              <w:rPr>
                <w:rFonts w:ascii="Times New Roman"/>
                <w:color w:val="auto"/>
                <w:sz w:val="26"/>
                <w:highlight w:val="none"/>
              </w:rPr>
            </w:pPr>
          </w:p>
        </w:tc>
        <w:tc>
          <w:tcPr>
            <w:tcW w:w="1648" w:type="dxa"/>
            <w:vAlign w:val="center"/>
          </w:tcPr>
          <w:p w14:paraId="0D2ECDF4">
            <w:pPr>
              <w:pStyle w:val="20"/>
              <w:spacing w:line="360" w:lineRule="auto"/>
              <w:jc w:val="center"/>
              <w:rPr>
                <w:rFonts w:ascii="Times New Roman"/>
                <w:color w:val="auto"/>
                <w:sz w:val="26"/>
                <w:highlight w:val="none"/>
              </w:rPr>
            </w:pPr>
          </w:p>
        </w:tc>
      </w:tr>
      <w:tr w14:paraId="65D2E8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 w:hRule="atLeast"/>
        </w:trPr>
        <w:tc>
          <w:tcPr>
            <w:tcW w:w="820" w:type="dxa"/>
            <w:vAlign w:val="center"/>
          </w:tcPr>
          <w:p w14:paraId="27D3464D">
            <w:pPr>
              <w:pStyle w:val="20"/>
              <w:spacing w:line="360" w:lineRule="auto"/>
              <w:jc w:val="center"/>
              <w:rPr>
                <w:rFonts w:ascii="Times New Roman"/>
                <w:color w:val="auto"/>
                <w:sz w:val="26"/>
                <w:highlight w:val="none"/>
              </w:rPr>
            </w:pPr>
          </w:p>
        </w:tc>
        <w:tc>
          <w:tcPr>
            <w:tcW w:w="3360" w:type="dxa"/>
            <w:vAlign w:val="center"/>
          </w:tcPr>
          <w:p w14:paraId="6F3CD123">
            <w:pPr>
              <w:pStyle w:val="20"/>
              <w:spacing w:line="360" w:lineRule="auto"/>
              <w:jc w:val="center"/>
              <w:rPr>
                <w:rFonts w:ascii="Times New Roman"/>
                <w:color w:val="auto"/>
                <w:sz w:val="26"/>
                <w:highlight w:val="none"/>
              </w:rPr>
            </w:pPr>
          </w:p>
        </w:tc>
        <w:tc>
          <w:tcPr>
            <w:tcW w:w="1350" w:type="dxa"/>
            <w:vAlign w:val="center"/>
          </w:tcPr>
          <w:p w14:paraId="0B300B67">
            <w:pPr>
              <w:pStyle w:val="20"/>
              <w:spacing w:line="360" w:lineRule="auto"/>
              <w:jc w:val="center"/>
              <w:rPr>
                <w:rFonts w:ascii="Times New Roman"/>
                <w:color w:val="auto"/>
                <w:sz w:val="26"/>
                <w:highlight w:val="none"/>
              </w:rPr>
            </w:pPr>
          </w:p>
        </w:tc>
        <w:tc>
          <w:tcPr>
            <w:tcW w:w="1305" w:type="dxa"/>
            <w:vAlign w:val="center"/>
          </w:tcPr>
          <w:p w14:paraId="4D32203F">
            <w:pPr>
              <w:pStyle w:val="20"/>
              <w:spacing w:line="360" w:lineRule="auto"/>
              <w:jc w:val="center"/>
              <w:rPr>
                <w:rFonts w:ascii="Times New Roman"/>
                <w:color w:val="auto"/>
                <w:sz w:val="26"/>
                <w:highlight w:val="none"/>
              </w:rPr>
            </w:pPr>
          </w:p>
        </w:tc>
        <w:tc>
          <w:tcPr>
            <w:tcW w:w="885" w:type="dxa"/>
            <w:vAlign w:val="center"/>
          </w:tcPr>
          <w:p w14:paraId="170BE2B6">
            <w:pPr>
              <w:pStyle w:val="20"/>
              <w:spacing w:line="360" w:lineRule="auto"/>
              <w:jc w:val="center"/>
              <w:rPr>
                <w:rFonts w:ascii="Times New Roman"/>
                <w:color w:val="auto"/>
                <w:sz w:val="26"/>
                <w:highlight w:val="none"/>
              </w:rPr>
            </w:pPr>
          </w:p>
        </w:tc>
        <w:tc>
          <w:tcPr>
            <w:tcW w:w="1648" w:type="dxa"/>
            <w:vAlign w:val="center"/>
          </w:tcPr>
          <w:p w14:paraId="3E052115">
            <w:pPr>
              <w:pStyle w:val="20"/>
              <w:spacing w:line="360" w:lineRule="auto"/>
              <w:jc w:val="center"/>
              <w:rPr>
                <w:rFonts w:ascii="Times New Roman"/>
                <w:color w:val="auto"/>
                <w:sz w:val="26"/>
                <w:highlight w:val="none"/>
              </w:rPr>
            </w:pPr>
          </w:p>
        </w:tc>
      </w:tr>
      <w:tr w14:paraId="6D7ABE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trPr>
        <w:tc>
          <w:tcPr>
            <w:tcW w:w="820" w:type="dxa"/>
            <w:vAlign w:val="center"/>
          </w:tcPr>
          <w:p w14:paraId="67329B89">
            <w:pPr>
              <w:pStyle w:val="20"/>
              <w:spacing w:line="360" w:lineRule="auto"/>
              <w:jc w:val="center"/>
              <w:rPr>
                <w:rFonts w:ascii="Times New Roman"/>
                <w:color w:val="auto"/>
                <w:sz w:val="26"/>
                <w:highlight w:val="none"/>
              </w:rPr>
            </w:pPr>
          </w:p>
        </w:tc>
        <w:tc>
          <w:tcPr>
            <w:tcW w:w="3360" w:type="dxa"/>
            <w:vAlign w:val="center"/>
          </w:tcPr>
          <w:p w14:paraId="1B85C212">
            <w:pPr>
              <w:pStyle w:val="20"/>
              <w:spacing w:line="360" w:lineRule="auto"/>
              <w:jc w:val="center"/>
              <w:rPr>
                <w:rFonts w:ascii="Times New Roman"/>
                <w:color w:val="auto"/>
                <w:sz w:val="26"/>
                <w:highlight w:val="none"/>
              </w:rPr>
            </w:pPr>
          </w:p>
        </w:tc>
        <w:tc>
          <w:tcPr>
            <w:tcW w:w="1350" w:type="dxa"/>
            <w:vAlign w:val="center"/>
          </w:tcPr>
          <w:p w14:paraId="7572E435">
            <w:pPr>
              <w:pStyle w:val="20"/>
              <w:spacing w:line="360" w:lineRule="auto"/>
              <w:jc w:val="center"/>
              <w:rPr>
                <w:rFonts w:ascii="Times New Roman"/>
                <w:color w:val="auto"/>
                <w:sz w:val="26"/>
                <w:highlight w:val="none"/>
              </w:rPr>
            </w:pPr>
          </w:p>
        </w:tc>
        <w:tc>
          <w:tcPr>
            <w:tcW w:w="1305" w:type="dxa"/>
            <w:vAlign w:val="center"/>
          </w:tcPr>
          <w:p w14:paraId="53A9C3E2">
            <w:pPr>
              <w:pStyle w:val="20"/>
              <w:spacing w:line="360" w:lineRule="auto"/>
              <w:jc w:val="center"/>
              <w:rPr>
                <w:rFonts w:ascii="Times New Roman"/>
                <w:color w:val="auto"/>
                <w:sz w:val="26"/>
                <w:highlight w:val="none"/>
              </w:rPr>
            </w:pPr>
          </w:p>
        </w:tc>
        <w:tc>
          <w:tcPr>
            <w:tcW w:w="885" w:type="dxa"/>
            <w:vAlign w:val="center"/>
          </w:tcPr>
          <w:p w14:paraId="32CC8E0B">
            <w:pPr>
              <w:pStyle w:val="20"/>
              <w:spacing w:line="360" w:lineRule="auto"/>
              <w:jc w:val="center"/>
              <w:rPr>
                <w:rFonts w:ascii="Times New Roman"/>
                <w:color w:val="auto"/>
                <w:sz w:val="26"/>
                <w:highlight w:val="none"/>
              </w:rPr>
            </w:pPr>
          </w:p>
        </w:tc>
        <w:tc>
          <w:tcPr>
            <w:tcW w:w="1648" w:type="dxa"/>
            <w:vAlign w:val="center"/>
          </w:tcPr>
          <w:p w14:paraId="6C7206C6">
            <w:pPr>
              <w:pStyle w:val="20"/>
              <w:spacing w:line="360" w:lineRule="auto"/>
              <w:jc w:val="center"/>
              <w:rPr>
                <w:rFonts w:ascii="Times New Roman"/>
                <w:color w:val="auto"/>
                <w:sz w:val="26"/>
                <w:highlight w:val="none"/>
              </w:rPr>
            </w:pPr>
          </w:p>
        </w:tc>
      </w:tr>
      <w:tr w14:paraId="0A3B6D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trPr>
        <w:tc>
          <w:tcPr>
            <w:tcW w:w="820" w:type="dxa"/>
            <w:vAlign w:val="center"/>
          </w:tcPr>
          <w:p w14:paraId="18E78BF4">
            <w:pPr>
              <w:pStyle w:val="20"/>
              <w:spacing w:line="360" w:lineRule="auto"/>
              <w:jc w:val="center"/>
              <w:rPr>
                <w:rFonts w:ascii="Times New Roman"/>
                <w:color w:val="auto"/>
                <w:sz w:val="26"/>
                <w:highlight w:val="none"/>
              </w:rPr>
            </w:pPr>
          </w:p>
        </w:tc>
        <w:tc>
          <w:tcPr>
            <w:tcW w:w="3360" w:type="dxa"/>
            <w:vAlign w:val="center"/>
          </w:tcPr>
          <w:p w14:paraId="05F0BFF9">
            <w:pPr>
              <w:pStyle w:val="20"/>
              <w:spacing w:line="360" w:lineRule="auto"/>
              <w:jc w:val="center"/>
              <w:rPr>
                <w:rFonts w:ascii="Times New Roman"/>
                <w:color w:val="auto"/>
                <w:sz w:val="26"/>
                <w:highlight w:val="none"/>
              </w:rPr>
            </w:pPr>
          </w:p>
        </w:tc>
        <w:tc>
          <w:tcPr>
            <w:tcW w:w="1350" w:type="dxa"/>
            <w:vAlign w:val="center"/>
          </w:tcPr>
          <w:p w14:paraId="00016D02">
            <w:pPr>
              <w:pStyle w:val="20"/>
              <w:spacing w:line="360" w:lineRule="auto"/>
              <w:jc w:val="center"/>
              <w:rPr>
                <w:rFonts w:ascii="Times New Roman"/>
                <w:color w:val="auto"/>
                <w:sz w:val="26"/>
                <w:highlight w:val="none"/>
              </w:rPr>
            </w:pPr>
          </w:p>
        </w:tc>
        <w:tc>
          <w:tcPr>
            <w:tcW w:w="1305" w:type="dxa"/>
            <w:vAlign w:val="center"/>
          </w:tcPr>
          <w:p w14:paraId="51BF8605">
            <w:pPr>
              <w:pStyle w:val="20"/>
              <w:spacing w:line="360" w:lineRule="auto"/>
              <w:jc w:val="center"/>
              <w:rPr>
                <w:rFonts w:ascii="Times New Roman"/>
                <w:color w:val="auto"/>
                <w:sz w:val="26"/>
                <w:highlight w:val="none"/>
              </w:rPr>
            </w:pPr>
          </w:p>
        </w:tc>
        <w:tc>
          <w:tcPr>
            <w:tcW w:w="885" w:type="dxa"/>
            <w:vAlign w:val="center"/>
          </w:tcPr>
          <w:p w14:paraId="3B8552AC">
            <w:pPr>
              <w:pStyle w:val="20"/>
              <w:spacing w:line="360" w:lineRule="auto"/>
              <w:jc w:val="center"/>
              <w:rPr>
                <w:rFonts w:ascii="Times New Roman"/>
                <w:color w:val="auto"/>
                <w:sz w:val="26"/>
                <w:highlight w:val="none"/>
              </w:rPr>
            </w:pPr>
          </w:p>
        </w:tc>
        <w:tc>
          <w:tcPr>
            <w:tcW w:w="1648" w:type="dxa"/>
            <w:vAlign w:val="center"/>
          </w:tcPr>
          <w:p w14:paraId="04C1648F">
            <w:pPr>
              <w:pStyle w:val="20"/>
              <w:spacing w:line="360" w:lineRule="auto"/>
              <w:jc w:val="center"/>
              <w:rPr>
                <w:rFonts w:ascii="Times New Roman"/>
                <w:color w:val="auto"/>
                <w:sz w:val="26"/>
                <w:highlight w:val="none"/>
              </w:rPr>
            </w:pPr>
          </w:p>
        </w:tc>
      </w:tr>
      <w:tr w14:paraId="4D4E8C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 w:hRule="atLeast"/>
        </w:trPr>
        <w:tc>
          <w:tcPr>
            <w:tcW w:w="820" w:type="dxa"/>
            <w:vAlign w:val="center"/>
          </w:tcPr>
          <w:p w14:paraId="24EF7576">
            <w:pPr>
              <w:pStyle w:val="20"/>
              <w:spacing w:line="360" w:lineRule="auto"/>
              <w:jc w:val="center"/>
              <w:rPr>
                <w:rFonts w:ascii="Times New Roman"/>
                <w:color w:val="auto"/>
                <w:sz w:val="26"/>
                <w:highlight w:val="none"/>
              </w:rPr>
            </w:pPr>
          </w:p>
        </w:tc>
        <w:tc>
          <w:tcPr>
            <w:tcW w:w="3360" w:type="dxa"/>
            <w:vAlign w:val="center"/>
          </w:tcPr>
          <w:p w14:paraId="117A079D">
            <w:pPr>
              <w:pStyle w:val="20"/>
              <w:spacing w:line="360" w:lineRule="auto"/>
              <w:jc w:val="center"/>
              <w:rPr>
                <w:rFonts w:ascii="Times New Roman"/>
                <w:color w:val="auto"/>
                <w:sz w:val="26"/>
                <w:highlight w:val="none"/>
              </w:rPr>
            </w:pPr>
          </w:p>
        </w:tc>
        <w:tc>
          <w:tcPr>
            <w:tcW w:w="1350" w:type="dxa"/>
            <w:vAlign w:val="center"/>
          </w:tcPr>
          <w:p w14:paraId="1182BA0D">
            <w:pPr>
              <w:pStyle w:val="20"/>
              <w:spacing w:line="360" w:lineRule="auto"/>
              <w:jc w:val="center"/>
              <w:rPr>
                <w:rFonts w:ascii="Times New Roman"/>
                <w:color w:val="auto"/>
                <w:sz w:val="26"/>
                <w:highlight w:val="none"/>
              </w:rPr>
            </w:pPr>
          </w:p>
        </w:tc>
        <w:tc>
          <w:tcPr>
            <w:tcW w:w="1305" w:type="dxa"/>
            <w:vAlign w:val="center"/>
          </w:tcPr>
          <w:p w14:paraId="5F28380C">
            <w:pPr>
              <w:pStyle w:val="20"/>
              <w:spacing w:line="360" w:lineRule="auto"/>
              <w:jc w:val="center"/>
              <w:rPr>
                <w:rFonts w:ascii="Times New Roman"/>
                <w:color w:val="auto"/>
                <w:sz w:val="26"/>
                <w:highlight w:val="none"/>
              </w:rPr>
            </w:pPr>
          </w:p>
        </w:tc>
        <w:tc>
          <w:tcPr>
            <w:tcW w:w="885" w:type="dxa"/>
            <w:vAlign w:val="center"/>
          </w:tcPr>
          <w:p w14:paraId="24FB0E76">
            <w:pPr>
              <w:pStyle w:val="20"/>
              <w:spacing w:line="360" w:lineRule="auto"/>
              <w:jc w:val="center"/>
              <w:rPr>
                <w:rFonts w:ascii="Times New Roman"/>
                <w:color w:val="auto"/>
                <w:sz w:val="26"/>
                <w:highlight w:val="none"/>
              </w:rPr>
            </w:pPr>
          </w:p>
        </w:tc>
        <w:tc>
          <w:tcPr>
            <w:tcW w:w="1648" w:type="dxa"/>
            <w:vAlign w:val="center"/>
          </w:tcPr>
          <w:p w14:paraId="4E668023">
            <w:pPr>
              <w:pStyle w:val="20"/>
              <w:spacing w:line="360" w:lineRule="auto"/>
              <w:jc w:val="center"/>
              <w:rPr>
                <w:rFonts w:ascii="Times New Roman"/>
                <w:color w:val="auto"/>
                <w:sz w:val="26"/>
                <w:highlight w:val="none"/>
              </w:rPr>
            </w:pPr>
          </w:p>
        </w:tc>
      </w:tr>
      <w:tr w14:paraId="165C0E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 w:hRule="atLeast"/>
        </w:trPr>
        <w:tc>
          <w:tcPr>
            <w:tcW w:w="820" w:type="dxa"/>
            <w:vAlign w:val="center"/>
          </w:tcPr>
          <w:p w14:paraId="59650698">
            <w:pPr>
              <w:pStyle w:val="20"/>
              <w:spacing w:line="360" w:lineRule="auto"/>
              <w:jc w:val="center"/>
              <w:rPr>
                <w:rFonts w:ascii="Times New Roman"/>
                <w:color w:val="auto"/>
                <w:sz w:val="26"/>
                <w:highlight w:val="none"/>
              </w:rPr>
            </w:pPr>
          </w:p>
        </w:tc>
        <w:tc>
          <w:tcPr>
            <w:tcW w:w="3360" w:type="dxa"/>
            <w:vAlign w:val="center"/>
          </w:tcPr>
          <w:p w14:paraId="13BAEA69">
            <w:pPr>
              <w:pStyle w:val="20"/>
              <w:spacing w:line="360" w:lineRule="auto"/>
              <w:jc w:val="center"/>
              <w:rPr>
                <w:rFonts w:ascii="Times New Roman"/>
                <w:color w:val="auto"/>
                <w:sz w:val="26"/>
                <w:highlight w:val="none"/>
              </w:rPr>
            </w:pPr>
          </w:p>
        </w:tc>
        <w:tc>
          <w:tcPr>
            <w:tcW w:w="1350" w:type="dxa"/>
            <w:vAlign w:val="center"/>
          </w:tcPr>
          <w:p w14:paraId="04BF74EC">
            <w:pPr>
              <w:pStyle w:val="20"/>
              <w:spacing w:line="360" w:lineRule="auto"/>
              <w:jc w:val="center"/>
              <w:rPr>
                <w:rFonts w:ascii="Times New Roman"/>
                <w:color w:val="auto"/>
                <w:sz w:val="26"/>
                <w:highlight w:val="none"/>
              </w:rPr>
            </w:pPr>
          </w:p>
        </w:tc>
        <w:tc>
          <w:tcPr>
            <w:tcW w:w="1305" w:type="dxa"/>
            <w:vAlign w:val="center"/>
          </w:tcPr>
          <w:p w14:paraId="3FF52CBE">
            <w:pPr>
              <w:pStyle w:val="20"/>
              <w:spacing w:line="360" w:lineRule="auto"/>
              <w:jc w:val="center"/>
              <w:rPr>
                <w:rFonts w:ascii="Times New Roman"/>
                <w:color w:val="auto"/>
                <w:sz w:val="26"/>
                <w:highlight w:val="none"/>
              </w:rPr>
            </w:pPr>
          </w:p>
        </w:tc>
        <w:tc>
          <w:tcPr>
            <w:tcW w:w="885" w:type="dxa"/>
            <w:vAlign w:val="center"/>
          </w:tcPr>
          <w:p w14:paraId="3BC258E7">
            <w:pPr>
              <w:pStyle w:val="20"/>
              <w:spacing w:line="360" w:lineRule="auto"/>
              <w:jc w:val="center"/>
              <w:rPr>
                <w:rFonts w:ascii="Times New Roman"/>
                <w:color w:val="auto"/>
                <w:sz w:val="26"/>
                <w:highlight w:val="none"/>
              </w:rPr>
            </w:pPr>
          </w:p>
        </w:tc>
        <w:tc>
          <w:tcPr>
            <w:tcW w:w="1648" w:type="dxa"/>
            <w:vAlign w:val="center"/>
          </w:tcPr>
          <w:p w14:paraId="29D974A1">
            <w:pPr>
              <w:pStyle w:val="20"/>
              <w:spacing w:line="360" w:lineRule="auto"/>
              <w:jc w:val="center"/>
              <w:rPr>
                <w:rFonts w:ascii="Times New Roman"/>
                <w:color w:val="auto"/>
                <w:sz w:val="26"/>
                <w:highlight w:val="none"/>
              </w:rPr>
            </w:pPr>
          </w:p>
        </w:tc>
      </w:tr>
      <w:tr w14:paraId="2C6480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trPr>
        <w:tc>
          <w:tcPr>
            <w:tcW w:w="820" w:type="dxa"/>
            <w:vAlign w:val="center"/>
          </w:tcPr>
          <w:p w14:paraId="64AE6916">
            <w:pPr>
              <w:pStyle w:val="20"/>
              <w:spacing w:line="360" w:lineRule="auto"/>
              <w:jc w:val="center"/>
              <w:rPr>
                <w:rFonts w:ascii="Times New Roman"/>
                <w:color w:val="auto"/>
                <w:sz w:val="26"/>
                <w:highlight w:val="none"/>
              </w:rPr>
            </w:pPr>
          </w:p>
        </w:tc>
        <w:tc>
          <w:tcPr>
            <w:tcW w:w="3360" w:type="dxa"/>
            <w:vAlign w:val="center"/>
          </w:tcPr>
          <w:p w14:paraId="12025792">
            <w:pPr>
              <w:pStyle w:val="20"/>
              <w:spacing w:line="360" w:lineRule="auto"/>
              <w:jc w:val="center"/>
              <w:rPr>
                <w:rFonts w:ascii="Times New Roman"/>
                <w:color w:val="auto"/>
                <w:sz w:val="26"/>
                <w:highlight w:val="none"/>
              </w:rPr>
            </w:pPr>
          </w:p>
        </w:tc>
        <w:tc>
          <w:tcPr>
            <w:tcW w:w="1350" w:type="dxa"/>
            <w:vAlign w:val="center"/>
          </w:tcPr>
          <w:p w14:paraId="7EE64910">
            <w:pPr>
              <w:pStyle w:val="20"/>
              <w:spacing w:line="360" w:lineRule="auto"/>
              <w:jc w:val="center"/>
              <w:rPr>
                <w:rFonts w:ascii="Times New Roman"/>
                <w:color w:val="auto"/>
                <w:sz w:val="26"/>
                <w:highlight w:val="none"/>
              </w:rPr>
            </w:pPr>
          </w:p>
        </w:tc>
        <w:tc>
          <w:tcPr>
            <w:tcW w:w="1305" w:type="dxa"/>
            <w:vAlign w:val="center"/>
          </w:tcPr>
          <w:p w14:paraId="638DE086">
            <w:pPr>
              <w:pStyle w:val="20"/>
              <w:spacing w:line="360" w:lineRule="auto"/>
              <w:jc w:val="center"/>
              <w:rPr>
                <w:rFonts w:ascii="Times New Roman"/>
                <w:color w:val="auto"/>
                <w:sz w:val="26"/>
                <w:highlight w:val="none"/>
              </w:rPr>
            </w:pPr>
          </w:p>
        </w:tc>
        <w:tc>
          <w:tcPr>
            <w:tcW w:w="885" w:type="dxa"/>
            <w:vAlign w:val="center"/>
          </w:tcPr>
          <w:p w14:paraId="54EB5C4E">
            <w:pPr>
              <w:pStyle w:val="20"/>
              <w:spacing w:line="360" w:lineRule="auto"/>
              <w:jc w:val="center"/>
              <w:rPr>
                <w:rFonts w:ascii="Times New Roman"/>
                <w:color w:val="auto"/>
                <w:sz w:val="26"/>
                <w:highlight w:val="none"/>
              </w:rPr>
            </w:pPr>
          </w:p>
        </w:tc>
        <w:tc>
          <w:tcPr>
            <w:tcW w:w="1648" w:type="dxa"/>
            <w:vAlign w:val="center"/>
          </w:tcPr>
          <w:p w14:paraId="6440FE31">
            <w:pPr>
              <w:pStyle w:val="20"/>
              <w:spacing w:line="360" w:lineRule="auto"/>
              <w:jc w:val="center"/>
              <w:rPr>
                <w:rFonts w:ascii="Times New Roman"/>
                <w:color w:val="auto"/>
                <w:sz w:val="26"/>
                <w:highlight w:val="none"/>
              </w:rPr>
            </w:pPr>
          </w:p>
        </w:tc>
      </w:tr>
      <w:tr w14:paraId="76F3A5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3" w:hRule="atLeast"/>
        </w:trPr>
        <w:tc>
          <w:tcPr>
            <w:tcW w:w="820" w:type="dxa"/>
            <w:vAlign w:val="center"/>
          </w:tcPr>
          <w:p w14:paraId="26965182">
            <w:pPr>
              <w:pStyle w:val="20"/>
              <w:spacing w:line="360" w:lineRule="auto"/>
              <w:jc w:val="center"/>
              <w:rPr>
                <w:rFonts w:ascii="Times New Roman"/>
                <w:color w:val="auto"/>
                <w:sz w:val="26"/>
                <w:highlight w:val="none"/>
              </w:rPr>
            </w:pPr>
          </w:p>
        </w:tc>
        <w:tc>
          <w:tcPr>
            <w:tcW w:w="3360" w:type="dxa"/>
            <w:vAlign w:val="center"/>
          </w:tcPr>
          <w:p w14:paraId="6FC1B82C">
            <w:pPr>
              <w:pStyle w:val="20"/>
              <w:spacing w:line="360" w:lineRule="auto"/>
              <w:jc w:val="center"/>
              <w:rPr>
                <w:rFonts w:ascii="Times New Roman"/>
                <w:color w:val="auto"/>
                <w:sz w:val="26"/>
                <w:highlight w:val="none"/>
              </w:rPr>
            </w:pPr>
          </w:p>
        </w:tc>
        <w:tc>
          <w:tcPr>
            <w:tcW w:w="1350" w:type="dxa"/>
            <w:vAlign w:val="center"/>
          </w:tcPr>
          <w:p w14:paraId="75C368EA">
            <w:pPr>
              <w:pStyle w:val="20"/>
              <w:spacing w:line="360" w:lineRule="auto"/>
              <w:jc w:val="center"/>
              <w:rPr>
                <w:rFonts w:ascii="Times New Roman"/>
                <w:color w:val="auto"/>
                <w:sz w:val="26"/>
                <w:highlight w:val="none"/>
              </w:rPr>
            </w:pPr>
          </w:p>
        </w:tc>
        <w:tc>
          <w:tcPr>
            <w:tcW w:w="1305" w:type="dxa"/>
            <w:vAlign w:val="center"/>
          </w:tcPr>
          <w:p w14:paraId="649CDFCD">
            <w:pPr>
              <w:pStyle w:val="20"/>
              <w:spacing w:line="360" w:lineRule="auto"/>
              <w:jc w:val="center"/>
              <w:rPr>
                <w:rFonts w:ascii="Times New Roman"/>
                <w:color w:val="auto"/>
                <w:sz w:val="26"/>
                <w:highlight w:val="none"/>
              </w:rPr>
            </w:pPr>
          </w:p>
        </w:tc>
        <w:tc>
          <w:tcPr>
            <w:tcW w:w="885" w:type="dxa"/>
            <w:vAlign w:val="center"/>
          </w:tcPr>
          <w:p w14:paraId="7142B2FB">
            <w:pPr>
              <w:pStyle w:val="20"/>
              <w:spacing w:line="360" w:lineRule="auto"/>
              <w:jc w:val="center"/>
              <w:rPr>
                <w:rFonts w:ascii="Times New Roman"/>
                <w:color w:val="auto"/>
                <w:sz w:val="26"/>
                <w:highlight w:val="none"/>
              </w:rPr>
            </w:pPr>
          </w:p>
        </w:tc>
        <w:tc>
          <w:tcPr>
            <w:tcW w:w="1648" w:type="dxa"/>
            <w:vAlign w:val="center"/>
          </w:tcPr>
          <w:p w14:paraId="26D93C86">
            <w:pPr>
              <w:pStyle w:val="20"/>
              <w:spacing w:line="360" w:lineRule="auto"/>
              <w:jc w:val="center"/>
              <w:rPr>
                <w:rFonts w:ascii="Times New Roman"/>
                <w:color w:val="auto"/>
                <w:sz w:val="26"/>
                <w:highlight w:val="none"/>
              </w:rPr>
            </w:pPr>
          </w:p>
        </w:tc>
      </w:tr>
      <w:tr w14:paraId="3CD573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trPr>
        <w:tc>
          <w:tcPr>
            <w:tcW w:w="820" w:type="dxa"/>
            <w:vAlign w:val="center"/>
          </w:tcPr>
          <w:p w14:paraId="7C227632">
            <w:pPr>
              <w:pStyle w:val="20"/>
              <w:spacing w:line="360" w:lineRule="auto"/>
              <w:jc w:val="center"/>
              <w:rPr>
                <w:rFonts w:ascii="Times New Roman"/>
                <w:color w:val="auto"/>
                <w:sz w:val="26"/>
                <w:highlight w:val="none"/>
              </w:rPr>
            </w:pPr>
          </w:p>
        </w:tc>
        <w:tc>
          <w:tcPr>
            <w:tcW w:w="3360" w:type="dxa"/>
            <w:vAlign w:val="center"/>
          </w:tcPr>
          <w:p w14:paraId="511D5F10">
            <w:pPr>
              <w:pStyle w:val="20"/>
              <w:spacing w:line="360" w:lineRule="auto"/>
              <w:jc w:val="center"/>
              <w:rPr>
                <w:rFonts w:ascii="Times New Roman"/>
                <w:color w:val="auto"/>
                <w:sz w:val="26"/>
                <w:highlight w:val="none"/>
              </w:rPr>
            </w:pPr>
          </w:p>
        </w:tc>
        <w:tc>
          <w:tcPr>
            <w:tcW w:w="1350" w:type="dxa"/>
            <w:vAlign w:val="center"/>
          </w:tcPr>
          <w:p w14:paraId="6ED4CF3D">
            <w:pPr>
              <w:pStyle w:val="20"/>
              <w:spacing w:line="360" w:lineRule="auto"/>
              <w:jc w:val="center"/>
              <w:rPr>
                <w:rFonts w:ascii="Times New Roman"/>
                <w:color w:val="auto"/>
                <w:sz w:val="26"/>
                <w:highlight w:val="none"/>
              </w:rPr>
            </w:pPr>
          </w:p>
        </w:tc>
        <w:tc>
          <w:tcPr>
            <w:tcW w:w="1305" w:type="dxa"/>
            <w:vAlign w:val="center"/>
          </w:tcPr>
          <w:p w14:paraId="751F3C9C">
            <w:pPr>
              <w:pStyle w:val="20"/>
              <w:spacing w:line="360" w:lineRule="auto"/>
              <w:jc w:val="center"/>
              <w:rPr>
                <w:rFonts w:ascii="Times New Roman"/>
                <w:color w:val="auto"/>
                <w:sz w:val="26"/>
                <w:highlight w:val="none"/>
              </w:rPr>
            </w:pPr>
          </w:p>
        </w:tc>
        <w:tc>
          <w:tcPr>
            <w:tcW w:w="885" w:type="dxa"/>
            <w:vAlign w:val="center"/>
          </w:tcPr>
          <w:p w14:paraId="4A652AC7">
            <w:pPr>
              <w:pStyle w:val="20"/>
              <w:spacing w:line="360" w:lineRule="auto"/>
              <w:jc w:val="center"/>
              <w:rPr>
                <w:rFonts w:ascii="Times New Roman"/>
                <w:color w:val="auto"/>
                <w:sz w:val="26"/>
                <w:highlight w:val="none"/>
              </w:rPr>
            </w:pPr>
          </w:p>
        </w:tc>
        <w:tc>
          <w:tcPr>
            <w:tcW w:w="1648" w:type="dxa"/>
            <w:vAlign w:val="center"/>
          </w:tcPr>
          <w:p w14:paraId="2626E2BF">
            <w:pPr>
              <w:pStyle w:val="20"/>
              <w:spacing w:line="360" w:lineRule="auto"/>
              <w:jc w:val="center"/>
              <w:rPr>
                <w:rFonts w:ascii="Times New Roman"/>
                <w:color w:val="auto"/>
                <w:sz w:val="26"/>
                <w:highlight w:val="none"/>
              </w:rPr>
            </w:pPr>
          </w:p>
        </w:tc>
      </w:tr>
      <w:tr w14:paraId="361CC6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trPr>
        <w:tc>
          <w:tcPr>
            <w:tcW w:w="820" w:type="dxa"/>
            <w:vAlign w:val="center"/>
          </w:tcPr>
          <w:p w14:paraId="63C3C030">
            <w:pPr>
              <w:pStyle w:val="20"/>
              <w:spacing w:line="360" w:lineRule="auto"/>
              <w:jc w:val="center"/>
              <w:rPr>
                <w:rFonts w:ascii="Times New Roman"/>
                <w:color w:val="auto"/>
                <w:sz w:val="26"/>
                <w:highlight w:val="none"/>
              </w:rPr>
            </w:pPr>
          </w:p>
        </w:tc>
        <w:tc>
          <w:tcPr>
            <w:tcW w:w="3360" w:type="dxa"/>
            <w:vAlign w:val="center"/>
          </w:tcPr>
          <w:p w14:paraId="67B0D371">
            <w:pPr>
              <w:pStyle w:val="20"/>
              <w:spacing w:line="360" w:lineRule="auto"/>
              <w:jc w:val="center"/>
              <w:rPr>
                <w:rFonts w:ascii="Times New Roman"/>
                <w:color w:val="auto"/>
                <w:sz w:val="26"/>
                <w:highlight w:val="none"/>
              </w:rPr>
            </w:pPr>
          </w:p>
        </w:tc>
        <w:tc>
          <w:tcPr>
            <w:tcW w:w="1350" w:type="dxa"/>
            <w:vAlign w:val="center"/>
          </w:tcPr>
          <w:p w14:paraId="05AC865F">
            <w:pPr>
              <w:pStyle w:val="20"/>
              <w:spacing w:line="360" w:lineRule="auto"/>
              <w:jc w:val="center"/>
              <w:rPr>
                <w:rFonts w:ascii="Times New Roman"/>
                <w:color w:val="auto"/>
                <w:sz w:val="26"/>
                <w:highlight w:val="none"/>
              </w:rPr>
            </w:pPr>
          </w:p>
        </w:tc>
        <w:tc>
          <w:tcPr>
            <w:tcW w:w="1305" w:type="dxa"/>
            <w:vAlign w:val="center"/>
          </w:tcPr>
          <w:p w14:paraId="46ABA8B4">
            <w:pPr>
              <w:pStyle w:val="20"/>
              <w:spacing w:line="360" w:lineRule="auto"/>
              <w:jc w:val="center"/>
              <w:rPr>
                <w:rFonts w:ascii="Times New Roman"/>
                <w:color w:val="auto"/>
                <w:sz w:val="26"/>
                <w:highlight w:val="none"/>
              </w:rPr>
            </w:pPr>
          </w:p>
        </w:tc>
        <w:tc>
          <w:tcPr>
            <w:tcW w:w="885" w:type="dxa"/>
            <w:vAlign w:val="center"/>
          </w:tcPr>
          <w:p w14:paraId="4273D217">
            <w:pPr>
              <w:pStyle w:val="20"/>
              <w:spacing w:line="360" w:lineRule="auto"/>
              <w:jc w:val="center"/>
              <w:rPr>
                <w:rFonts w:ascii="Times New Roman"/>
                <w:color w:val="auto"/>
                <w:sz w:val="26"/>
                <w:highlight w:val="none"/>
              </w:rPr>
            </w:pPr>
          </w:p>
        </w:tc>
        <w:tc>
          <w:tcPr>
            <w:tcW w:w="1648" w:type="dxa"/>
            <w:vAlign w:val="center"/>
          </w:tcPr>
          <w:p w14:paraId="704F87E1">
            <w:pPr>
              <w:pStyle w:val="20"/>
              <w:spacing w:line="360" w:lineRule="auto"/>
              <w:jc w:val="center"/>
              <w:rPr>
                <w:rFonts w:ascii="Times New Roman"/>
                <w:color w:val="auto"/>
                <w:sz w:val="26"/>
                <w:highlight w:val="none"/>
              </w:rPr>
            </w:pPr>
          </w:p>
        </w:tc>
      </w:tr>
      <w:tr w14:paraId="49F9B6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trPr>
        <w:tc>
          <w:tcPr>
            <w:tcW w:w="820" w:type="dxa"/>
            <w:vAlign w:val="center"/>
          </w:tcPr>
          <w:p w14:paraId="08F96318">
            <w:pPr>
              <w:pStyle w:val="20"/>
              <w:spacing w:line="360" w:lineRule="auto"/>
              <w:jc w:val="center"/>
              <w:rPr>
                <w:rFonts w:ascii="Times New Roman"/>
                <w:color w:val="auto"/>
                <w:sz w:val="26"/>
                <w:highlight w:val="none"/>
              </w:rPr>
            </w:pPr>
          </w:p>
        </w:tc>
        <w:tc>
          <w:tcPr>
            <w:tcW w:w="3360" w:type="dxa"/>
            <w:vAlign w:val="center"/>
          </w:tcPr>
          <w:p w14:paraId="625B43B8">
            <w:pPr>
              <w:pStyle w:val="20"/>
              <w:spacing w:line="360" w:lineRule="auto"/>
              <w:jc w:val="center"/>
              <w:rPr>
                <w:rFonts w:ascii="Times New Roman"/>
                <w:color w:val="auto"/>
                <w:sz w:val="26"/>
                <w:highlight w:val="none"/>
              </w:rPr>
            </w:pPr>
          </w:p>
        </w:tc>
        <w:tc>
          <w:tcPr>
            <w:tcW w:w="1350" w:type="dxa"/>
            <w:vAlign w:val="center"/>
          </w:tcPr>
          <w:p w14:paraId="6241C5EE">
            <w:pPr>
              <w:pStyle w:val="20"/>
              <w:spacing w:line="360" w:lineRule="auto"/>
              <w:jc w:val="center"/>
              <w:rPr>
                <w:rFonts w:ascii="Times New Roman"/>
                <w:color w:val="auto"/>
                <w:sz w:val="26"/>
                <w:highlight w:val="none"/>
              </w:rPr>
            </w:pPr>
          </w:p>
        </w:tc>
        <w:tc>
          <w:tcPr>
            <w:tcW w:w="1305" w:type="dxa"/>
            <w:vAlign w:val="center"/>
          </w:tcPr>
          <w:p w14:paraId="10531E5F">
            <w:pPr>
              <w:pStyle w:val="20"/>
              <w:spacing w:line="360" w:lineRule="auto"/>
              <w:jc w:val="center"/>
              <w:rPr>
                <w:rFonts w:ascii="Times New Roman"/>
                <w:color w:val="auto"/>
                <w:sz w:val="26"/>
                <w:highlight w:val="none"/>
              </w:rPr>
            </w:pPr>
          </w:p>
        </w:tc>
        <w:tc>
          <w:tcPr>
            <w:tcW w:w="885" w:type="dxa"/>
            <w:vAlign w:val="center"/>
          </w:tcPr>
          <w:p w14:paraId="5FC0CCFF">
            <w:pPr>
              <w:pStyle w:val="20"/>
              <w:spacing w:line="360" w:lineRule="auto"/>
              <w:jc w:val="center"/>
              <w:rPr>
                <w:rFonts w:ascii="Times New Roman"/>
                <w:color w:val="auto"/>
                <w:sz w:val="26"/>
                <w:highlight w:val="none"/>
              </w:rPr>
            </w:pPr>
          </w:p>
        </w:tc>
        <w:tc>
          <w:tcPr>
            <w:tcW w:w="1648" w:type="dxa"/>
            <w:vAlign w:val="center"/>
          </w:tcPr>
          <w:p w14:paraId="02852C1B">
            <w:pPr>
              <w:pStyle w:val="20"/>
              <w:spacing w:line="360" w:lineRule="auto"/>
              <w:jc w:val="center"/>
              <w:rPr>
                <w:rFonts w:ascii="Times New Roman"/>
                <w:color w:val="auto"/>
                <w:sz w:val="26"/>
                <w:highlight w:val="none"/>
              </w:rPr>
            </w:pPr>
          </w:p>
        </w:tc>
      </w:tr>
    </w:tbl>
    <w:p w14:paraId="0BE07937">
      <w:pPr>
        <w:pStyle w:val="7"/>
        <w:spacing w:line="360" w:lineRule="auto"/>
        <w:ind w:firstLine="280" w:firstLineChars="200"/>
        <w:jc w:val="both"/>
        <w:rPr>
          <w:color w:val="auto"/>
          <w:sz w:val="14"/>
          <w:highlight w:val="none"/>
        </w:rPr>
      </w:pPr>
    </w:p>
    <w:p w14:paraId="3D96EFF9">
      <w:pPr>
        <w:pStyle w:val="7"/>
        <w:spacing w:line="360" w:lineRule="auto"/>
        <w:ind w:firstLine="560" w:firstLineChars="200"/>
        <w:jc w:val="both"/>
        <w:rPr>
          <w:color w:val="auto"/>
          <w:highlight w:val="none"/>
        </w:rPr>
      </w:pPr>
    </w:p>
    <w:p w14:paraId="6280F7C0">
      <w:pPr>
        <w:pStyle w:val="7"/>
        <w:tabs>
          <w:tab w:val="left" w:pos="6749"/>
        </w:tabs>
        <w:spacing w:line="360" w:lineRule="auto"/>
        <w:ind w:firstLine="560" w:firstLineChars="200"/>
        <w:jc w:val="both"/>
        <w:rPr>
          <w:rFonts w:ascii="Times New Roman" w:eastAsia="Times New Roman"/>
          <w:color w:val="auto"/>
          <w:highlight w:val="none"/>
        </w:rPr>
      </w:pPr>
      <w:r>
        <w:rPr>
          <w:color w:val="auto"/>
          <w:highlight w:val="none"/>
        </w:rPr>
        <w:t>投标人（企业电子签章）：</w:t>
      </w:r>
      <w:r>
        <w:rPr>
          <w:rFonts w:ascii="Times New Roman" w:eastAsia="Times New Roman"/>
          <w:color w:val="auto"/>
          <w:highlight w:val="none"/>
          <w:u w:val="single"/>
        </w:rPr>
        <w:tab/>
      </w:r>
    </w:p>
    <w:p w14:paraId="08AD67DB">
      <w:pPr>
        <w:spacing w:line="360" w:lineRule="auto"/>
        <w:ind w:firstLine="440" w:firstLineChars="200"/>
        <w:jc w:val="both"/>
        <w:rPr>
          <w:rFonts w:ascii="Times New Roman" w:eastAsia="Times New Roman"/>
          <w:color w:val="auto"/>
          <w:highlight w:val="none"/>
        </w:rPr>
      </w:pPr>
    </w:p>
    <w:p w14:paraId="7F75EDA2">
      <w:pPr>
        <w:spacing w:line="360" w:lineRule="auto"/>
        <w:ind w:firstLine="440" w:firstLineChars="200"/>
        <w:jc w:val="both"/>
        <w:rPr>
          <w:rFonts w:ascii="Times New Roman" w:eastAsia="Times New Roman"/>
          <w:color w:val="auto"/>
          <w:highlight w:val="none"/>
        </w:rPr>
      </w:pPr>
    </w:p>
    <w:p w14:paraId="6A2A5F14">
      <w:pPr>
        <w:spacing w:line="360" w:lineRule="auto"/>
        <w:ind w:firstLine="440" w:firstLineChars="200"/>
        <w:jc w:val="both"/>
        <w:rPr>
          <w:rFonts w:ascii="Times New Roman" w:eastAsia="Times New Roman"/>
          <w:color w:val="auto"/>
          <w:highlight w:val="none"/>
        </w:rPr>
      </w:pPr>
    </w:p>
    <w:p w14:paraId="768E6C96">
      <w:pPr>
        <w:pStyle w:val="8"/>
        <w:spacing w:line="360" w:lineRule="auto"/>
        <w:ind w:firstLine="480" w:firstLineChars="200"/>
        <w:jc w:val="both"/>
        <w:rPr>
          <w:rFonts w:hAnsi="宋体"/>
          <w:bCs/>
          <w:color w:val="auto"/>
          <w:sz w:val="24"/>
          <w:highlight w:val="none"/>
        </w:rPr>
      </w:pPr>
      <w:r>
        <w:rPr>
          <w:rFonts w:hint="eastAsia" w:hAnsi="宋体"/>
          <w:bCs/>
          <w:color w:val="auto"/>
          <w:sz w:val="24"/>
          <w:highlight w:val="none"/>
        </w:rPr>
        <w:t>注：1.投标人应按照招标文件提供参数顺序及内容进行一一响应。</w:t>
      </w:r>
    </w:p>
    <w:p w14:paraId="29484F3B">
      <w:pPr>
        <w:pStyle w:val="8"/>
        <w:spacing w:line="360" w:lineRule="auto"/>
        <w:ind w:firstLine="960" w:firstLineChars="400"/>
        <w:rPr>
          <w:rFonts w:hint="eastAsia" w:hAnsi="宋体"/>
          <w:bCs/>
          <w:color w:val="auto"/>
          <w:sz w:val="24"/>
          <w:highlight w:val="none"/>
        </w:rPr>
      </w:pPr>
      <w:r>
        <w:rPr>
          <w:rFonts w:hint="eastAsia" w:hAnsi="宋体"/>
          <w:bCs/>
          <w:color w:val="auto"/>
          <w:sz w:val="24"/>
          <w:highlight w:val="none"/>
        </w:rPr>
        <w:t>2.偏离情况包括：正偏离、负偏离、符合。</w:t>
      </w:r>
      <w:r>
        <w:rPr>
          <w:rFonts w:hint="eastAsia" w:hAnsi="宋体"/>
          <w:b w:val="0"/>
          <w:bCs w:val="0"/>
          <w:color w:val="auto"/>
          <w:sz w:val="24"/>
          <w:highlight w:val="none"/>
        </w:rPr>
        <w:t>性能优于最低采购要求的为正偏离；性能等于最低采购要求的，为无偏离；不满足最低采购要求的为负偏离</w:t>
      </w:r>
      <w:r>
        <w:rPr>
          <w:rFonts w:hint="eastAsia" w:hAnsi="宋体"/>
          <w:b w:val="0"/>
          <w:bCs w:val="0"/>
          <w:color w:val="auto"/>
          <w:sz w:val="24"/>
          <w:highlight w:val="none"/>
          <w:lang w:eastAsia="zh-CN"/>
        </w:rPr>
        <w:t>。</w:t>
      </w:r>
      <w:r>
        <w:rPr>
          <w:rFonts w:hint="eastAsia" w:hAnsi="宋体"/>
          <w:bCs/>
          <w:color w:val="auto"/>
          <w:sz w:val="24"/>
          <w:highlight w:val="none"/>
        </w:rPr>
        <w:t>投标人应如实填写，否则视为提供虚假材料。</w:t>
      </w:r>
    </w:p>
    <w:p w14:paraId="46C94A52">
      <w:pPr>
        <w:pStyle w:val="8"/>
        <w:spacing w:line="360" w:lineRule="auto"/>
        <w:ind w:firstLine="480" w:firstLineChars="200"/>
        <w:jc w:val="both"/>
        <w:rPr>
          <w:rFonts w:hAnsi="宋体"/>
          <w:bCs/>
          <w:color w:val="auto"/>
          <w:sz w:val="24"/>
          <w:highlight w:val="none"/>
        </w:rPr>
      </w:pPr>
    </w:p>
    <w:p w14:paraId="6EEA221A">
      <w:pPr>
        <w:rPr>
          <w:rFonts w:ascii="黑体" w:eastAsia="黑体"/>
          <w:color w:val="auto"/>
          <w:highlight w:val="none"/>
        </w:rPr>
      </w:pPr>
      <w:bookmarkStart w:id="58" w:name="六、综合证明文件"/>
      <w:bookmarkEnd w:id="58"/>
      <w:bookmarkStart w:id="59" w:name="七、中小企业扶持"/>
      <w:bookmarkEnd w:id="59"/>
      <w:r>
        <w:rPr>
          <w:rFonts w:hint="eastAsia" w:ascii="黑体" w:eastAsia="黑体"/>
          <w:color w:val="auto"/>
          <w:highlight w:val="none"/>
        </w:rPr>
        <w:br w:type="page"/>
      </w:r>
    </w:p>
    <w:p w14:paraId="1C8887F9">
      <w:pPr>
        <w:pStyle w:val="5"/>
        <w:spacing w:line="360" w:lineRule="auto"/>
        <w:ind w:left="0" w:firstLine="562" w:firstLineChars="200"/>
        <w:jc w:val="center"/>
        <w:rPr>
          <w:rFonts w:asciiTheme="majorEastAsia" w:hAnsiTheme="majorEastAsia" w:eastAsiaTheme="majorEastAsia" w:cstheme="majorEastAsia"/>
          <w:color w:val="auto"/>
          <w:highlight w:val="none"/>
        </w:rPr>
      </w:pPr>
      <w:r>
        <w:rPr>
          <w:rFonts w:hint="eastAsia" w:ascii="黑体" w:eastAsia="黑体"/>
          <w:color w:val="auto"/>
          <w:highlight w:val="none"/>
        </w:rPr>
        <w:t>七、</w:t>
      </w:r>
      <w:r>
        <w:rPr>
          <w:rFonts w:hint="eastAsia" w:asciiTheme="majorEastAsia" w:hAnsiTheme="majorEastAsia" w:eastAsiaTheme="majorEastAsia" w:cstheme="majorEastAsia"/>
          <w:color w:val="auto"/>
          <w:highlight w:val="none"/>
        </w:rPr>
        <w:t>评审材料</w:t>
      </w:r>
    </w:p>
    <w:p w14:paraId="1BD680CD">
      <w:pPr>
        <w:pStyle w:val="5"/>
        <w:spacing w:line="360" w:lineRule="auto"/>
        <w:ind w:left="0" w:firstLine="482" w:firstLineChars="200"/>
        <w:jc w:val="both"/>
        <w:rPr>
          <w:rFonts w:hint="default"/>
          <w:color w:val="auto"/>
          <w:sz w:val="24"/>
          <w:highlight w:val="none"/>
          <w:lang w:val="en-US" w:eastAsia="zh-CN"/>
        </w:rPr>
      </w:pPr>
      <w:r>
        <w:rPr>
          <w:rFonts w:hint="eastAsia"/>
          <w:color w:val="auto"/>
          <w:sz w:val="24"/>
          <w:highlight w:val="none"/>
        </w:rPr>
        <w:t>投标人根据第七章“评标方法和标准”评分因素要求的材料自行编写</w:t>
      </w:r>
      <w:r>
        <w:rPr>
          <w:rFonts w:hint="eastAsia"/>
          <w:color w:val="auto"/>
          <w:sz w:val="24"/>
          <w:highlight w:val="none"/>
          <w:lang w:eastAsia="zh-CN"/>
        </w:rPr>
        <w:t>，</w:t>
      </w:r>
      <w:r>
        <w:rPr>
          <w:rFonts w:hint="eastAsia"/>
          <w:color w:val="auto"/>
          <w:sz w:val="24"/>
          <w:highlight w:val="none"/>
          <w:lang w:val="en-US" w:eastAsia="zh-CN"/>
        </w:rPr>
        <w:t>包含但不限于以下内容。</w:t>
      </w:r>
      <w:r>
        <w:rPr>
          <w:rFonts w:hint="eastAsia" w:ascii="仿宋" w:hAnsi="仿宋" w:eastAsia="仿宋" w:cs="仿宋"/>
          <w:b/>
          <w:bCs/>
          <w:color w:val="auto"/>
          <w:sz w:val="24"/>
          <w:szCs w:val="28"/>
          <w:highlight w:val="none"/>
          <w:lang w:val="en-US" w:eastAsia="zh-CN" w:bidi="ar-SA"/>
        </w:rPr>
        <w:t>（一）技术实施方案：①项目供货、安装实施方案（含关键工序操作流程</w:t>
      </w:r>
      <w:r>
        <w:rPr>
          <w:rFonts w:hint="eastAsia" w:cs="仿宋"/>
          <w:b/>
          <w:bCs/>
          <w:color w:val="auto"/>
          <w:sz w:val="24"/>
          <w:szCs w:val="28"/>
          <w:highlight w:val="none"/>
          <w:lang w:val="en-US" w:eastAsia="zh-CN" w:bidi="ar-SA"/>
        </w:rPr>
        <w:t>等</w:t>
      </w:r>
      <w:r>
        <w:rPr>
          <w:rFonts w:hint="eastAsia" w:ascii="仿宋" w:hAnsi="仿宋" w:eastAsia="仿宋" w:cs="仿宋"/>
          <w:b/>
          <w:bCs/>
          <w:color w:val="auto"/>
          <w:sz w:val="24"/>
          <w:szCs w:val="28"/>
          <w:highlight w:val="none"/>
          <w:lang w:val="en-US" w:eastAsia="zh-CN" w:bidi="ar-SA"/>
        </w:rPr>
        <w:t>）；②进度安排（含甘特图或网络进度计划图，关键路径清晰，满足工期</w:t>
      </w:r>
      <w:r>
        <w:rPr>
          <w:rFonts w:hint="eastAsia" w:cs="仿宋"/>
          <w:b/>
          <w:bCs/>
          <w:color w:val="auto"/>
          <w:sz w:val="24"/>
          <w:szCs w:val="28"/>
          <w:highlight w:val="none"/>
          <w:lang w:val="en-US" w:eastAsia="zh-CN" w:bidi="ar-SA"/>
        </w:rPr>
        <w:t>要求等</w:t>
      </w:r>
      <w:r>
        <w:rPr>
          <w:rFonts w:hint="eastAsia" w:ascii="仿宋" w:hAnsi="仿宋" w:eastAsia="仿宋" w:cs="仿宋"/>
          <w:b/>
          <w:bCs/>
          <w:color w:val="auto"/>
          <w:sz w:val="24"/>
          <w:szCs w:val="28"/>
          <w:highlight w:val="none"/>
          <w:lang w:val="en-US" w:eastAsia="zh-CN" w:bidi="ar-SA"/>
        </w:rPr>
        <w:t>）；③人员组织结构（含项目经理、技术负责人、焊接作业人员、安全员等岗位设置及</w:t>
      </w:r>
      <w:r>
        <w:rPr>
          <w:rFonts w:hint="eastAsia" w:cs="仿宋"/>
          <w:b/>
          <w:bCs/>
          <w:color w:val="auto"/>
          <w:sz w:val="24"/>
          <w:szCs w:val="28"/>
          <w:highlight w:val="none"/>
          <w:lang w:val="en-US" w:eastAsia="zh-CN" w:bidi="ar-SA"/>
        </w:rPr>
        <w:t>资格证书等</w:t>
      </w:r>
      <w:r>
        <w:rPr>
          <w:rFonts w:hint="eastAsia" w:ascii="仿宋" w:hAnsi="仿宋" w:eastAsia="仿宋" w:cs="仿宋"/>
          <w:b/>
          <w:bCs/>
          <w:color w:val="auto"/>
          <w:sz w:val="24"/>
          <w:szCs w:val="28"/>
          <w:highlight w:val="none"/>
          <w:lang w:val="en-US" w:eastAsia="zh-CN" w:bidi="ar-SA"/>
        </w:rPr>
        <w:t>）；④实施安全保障及注意事项（含施工现场安全防护、焊接作业安全措施、受限空间作业方案、高处作业方案、应急预案</w:t>
      </w:r>
      <w:r>
        <w:rPr>
          <w:rFonts w:hint="eastAsia" w:cs="仿宋"/>
          <w:b/>
          <w:bCs/>
          <w:color w:val="auto"/>
          <w:sz w:val="24"/>
          <w:szCs w:val="28"/>
          <w:highlight w:val="none"/>
          <w:lang w:val="en-US" w:eastAsia="zh-CN" w:bidi="ar-SA"/>
        </w:rPr>
        <w:t>等</w:t>
      </w:r>
      <w:r>
        <w:rPr>
          <w:rFonts w:hint="eastAsia" w:ascii="仿宋" w:hAnsi="仿宋" w:eastAsia="仿宋" w:cs="仿宋"/>
          <w:b/>
          <w:bCs/>
          <w:color w:val="auto"/>
          <w:sz w:val="24"/>
          <w:szCs w:val="28"/>
          <w:highlight w:val="none"/>
          <w:lang w:val="en-US" w:eastAsia="zh-CN" w:bidi="ar-SA"/>
        </w:rPr>
        <w:t>）。</w:t>
      </w:r>
      <w:r>
        <w:rPr>
          <w:rFonts w:hint="eastAsia"/>
          <w:color w:val="auto"/>
          <w:sz w:val="24"/>
          <w:highlight w:val="none"/>
          <w:lang w:val="en-US" w:eastAsia="zh-CN"/>
        </w:rPr>
        <w:t>（二）售后服务方案。（三）培训方案。</w:t>
      </w:r>
    </w:p>
    <w:p w14:paraId="1BADC79A">
      <w:pPr>
        <w:pStyle w:val="20"/>
        <w:spacing w:line="360" w:lineRule="auto"/>
        <w:ind w:firstLine="562" w:firstLineChars="200"/>
        <w:jc w:val="both"/>
        <w:rPr>
          <w:b/>
          <w:color w:val="auto"/>
          <w:sz w:val="28"/>
          <w:highlight w:val="none"/>
        </w:rPr>
      </w:pPr>
    </w:p>
    <w:p w14:paraId="125D7E2A">
      <w:pPr>
        <w:pStyle w:val="20"/>
        <w:spacing w:line="360" w:lineRule="auto"/>
        <w:ind w:firstLine="562" w:firstLineChars="200"/>
        <w:jc w:val="both"/>
        <w:rPr>
          <w:b/>
          <w:color w:val="auto"/>
          <w:sz w:val="28"/>
          <w:highlight w:val="none"/>
        </w:rPr>
      </w:pPr>
    </w:p>
    <w:p w14:paraId="51BCD6C1">
      <w:pPr>
        <w:pStyle w:val="20"/>
        <w:spacing w:line="360" w:lineRule="auto"/>
        <w:ind w:firstLine="562" w:firstLineChars="200"/>
        <w:jc w:val="both"/>
        <w:rPr>
          <w:b/>
          <w:color w:val="auto"/>
          <w:sz w:val="28"/>
          <w:highlight w:val="none"/>
        </w:rPr>
      </w:pPr>
    </w:p>
    <w:p w14:paraId="6A20A97E">
      <w:pPr>
        <w:rPr>
          <w:rFonts w:ascii="黑体" w:eastAsia="黑体"/>
          <w:color w:val="auto"/>
          <w:highlight w:val="none"/>
        </w:rPr>
      </w:pPr>
      <w:r>
        <w:rPr>
          <w:rFonts w:hint="eastAsia" w:ascii="黑体" w:eastAsia="黑体"/>
          <w:color w:val="auto"/>
          <w:highlight w:val="none"/>
        </w:rPr>
        <w:br w:type="page"/>
      </w:r>
    </w:p>
    <w:p w14:paraId="6F7B3239">
      <w:pPr>
        <w:pStyle w:val="5"/>
        <w:spacing w:line="360" w:lineRule="auto"/>
        <w:ind w:left="0" w:firstLine="562" w:firstLineChars="200"/>
        <w:jc w:val="center"/>
        <w:rPr>
          <w:rFonts w:hint="eastAsia" w:ascii="黑体" w:eastAsia="黑体"/>
          <w:color w:val="auto"/>
          <w:highlight w:val="none"/>
          <w:lang w:val="en-US" w:eastAsia="zh-CN"/>
        </w:rPr>
      </w:pPr>
      <w:r>
        <w:rPr>
          <w:rFonts w:hint="eastAsia" w:ascii="黑体" w:eastAsia="黑体"/>
          <w:color w:val="auto"/>
          <w:highlight w:val="none"/>
        </w:rPr>
        <w:t>八、中小企业</w:t>
      </w:r>
      <w:r>
        <w:rPr>
          <w:rFonts w:hint="eastAsia" w:ascii="黑体" w:eastAsia="黑体"/>
          <w:color w:val="auto"/>
          <w:highlight w:val="none"/>
          <w:lang w:val="en-US" w:eastAsia="zh-CN"/>
        </w:rPr>
        <w:t>声明函</w:t>
      </w:r>
    </w:p>
    <w:p w14:paraId="25F80EDF">
      <w:pPr>
        <w:pStyle w:val="5"/>
        <w:numPr>
          <w:ilvl w:val="2"/>
          <w:numId w:val="20"/>
        </w:numPr>
        <w:spacing w:line="360" w:lineRule="auto"/>
        <w:ind w:left="0" w:firstLine="562" w:firstLineChars="200"/>
        <w:jc w:val="center"/>
        <w:rPr>
          <w:rFonts w:ascii="宋体" w:eastAsia="宋体"/>
          <w:color w:val="auto"/>
          <w:highlight w:val="none"/>
        </w:rPr>
      </w:pPr>
      <w:bookmarkStart w:id="60" w:name="____享受《政府采购促进中小企业发展管理办法》《关于进一步加大政府采购支持中小"/>
      <w:bookmarkEnd w:id="60"/>
      <w:bookmarkStart w:id="61" w:name="1._投标人企业（单位）类型声明函"/>
      <w:bookmarkEnd w:id="61"/>
      <w:r>
        <w:rPr>
          <w:rFonts w:hint="eastAsia" w:ascii="宋体" w:eastAsia="宋体"/>
          <w:color w:val="auto"/>
          <w:highlight w:val="none"/>
        </w:rPr>
        <w:t>投标人企业（单位）类型声明函</w:t>
      </w:r>
    </w:p>
    <w:p w14:paraId="385F43EC">
      <w:pPr>
        <w:spacing w:line="360" w:lineRule="auto"/>
        <w:ind w:firstLine="562" w:firstLineChars="200"/>
        <w:jc w:val="center"/>
        <w:rPr>
          <w:b/>
          <w:bCs/>
          <w:color w:val="auto"/>
          <w:sz w:val="28"/>
          <w:szCs w:val="28"/>
          <w:highlight w:val="none"/>
        </w:rPr>
      </w:pPr>
      <w:r>
        <w:rPr>
          <w:b/>
          <w:bCs/>
          <w:color w:val="auto"/>
          <w:sz w:val="28"/>
          <w:szCs w:val="28"/>
          <w:highlight w:val="none"/>
        </w:rPr>
        <w:t>中小企业声明函（货物）</w:t>
      </w:r>
    </w:p>
    <w:p w14:paraId="39BD9671">
      <w:pPr>
        <w:pStyle w:val="7"/>
        <w:spacing w:line="360" w:lineRule="auto"/>
        <w:ind w:firstLine="480" w:firstLineChars="200"/>
        <w:jc w:val="both"/>
        <w:rPr>
          <w:color w:val="auto"/>
          <w:sz w:val="24"/>
          <w:szCs w:val="24"/>
          <w:highlight w:val="none"/>
        </w:rPr>
      </w:pPr>
      <w:r>
        <w:rPr>
          <w:color w:val="auto"/>
          <w:sz w:val="24"/>
          <w:szCs w:val="24"/>
          <w:highlight w:val="none"/>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3941417F">
      <w:pPr>
        <w:spacing w:line="360" w:lineRule="auto"/>
        <w:ind w:firstLine="480" w:firstLineChars="200"/>
        <w:jc w:val="both"/>
        <w:rPr>
          <w:color w:val="auto"/>
          <w:sz w:val="24"/>
          <w:szCs w:val="24"/>
          <w:highlight w:val="none"/>
        </w:rPr>
      </w:pPr>
      <w:r>
        <w:rPr>
          <w:color w:val="auto"/>
          <w:sz w:val="24"/>
          <w:szCs w:val="24"/>
          <w:highlight w:val="none"/>
        </w:rPr>
        <w:t>1.</w:t>
      </w:r>
      <w:r>
        <w:rPr>
          <w:i/>
          <w:color w:val="auto"/>
          <w:sz w:val="24"/>
          <w:szCs w:val="24"/>
          <w:highlight w:val="none"/>
          <w:u w:val="single"/>
        </w:rPr>
        <w:t>（标的名称）</w:t>
      </w:r>
      <w:r>
        <w:rPr>
          <w:color w:val="auto"/>
          <w:sz w:val="24"/>
          <w:szCs w:val="24"/>
          <w:highlight w:val="none"/>
        </w:rPr>
        <w:t>，属于</w:t>
      </w:r>
      <w:r>
        <w:rPr>
          <w:color w:val="auto"/>
          <w:sz w:val="24"/>
          <w:szCs w:val="24"/>
          <w:highlight w:val="none"/>
          <w:u w:val="single"/>
        </w:rPr>
        <w:t>（采购文件中明确的所属行业）</w:t>
      </w:r>
      <w:r>
        <w:rPr>
          <w:color w:val="auto"/>
          <w:sz w:val="24"/>
          <w:szCs w:val="24"/>
          <w:highlight w:val="none"/>
        </w:rPr>
        <w:t>行业</w:t>
      </w:r>
      <w:r>
        <w:rPr>
          <w:rFonts w:hint="eastAsia"/>
          <w:color w:val="auto"/>
          <w:sz w:val="24"/>
          <w:szCs w:val="24"/>
          <w:highlight w:val="none"/>
        </w:rPr>
        <w:t>；</w:t>
      </w:r>
      <w:r>
        <w:rPr>
          <w:color w:val="auto"/>
          <w:sz w:val="24"/>
          <w:szCs w:val="24"/>
          <w:highlight w:val="none"/>
        </w:rPr>
        <w:t>制造商为</w:t>
      </w:r>
      <w:r>
        <w:rPr>
          <w:i/>
          <w:color w:val="auto"/>
          <w:sz w:val="24"/>
          <w:szCs w:val="24"/>
          <w:highlight w:val="none"/>
          <w:u w:val="single"/>
        </w:rPr>
        <w:t>（企业名称）</w:t>
      </w:r>
      <w:r>
        <w:rPr>
          <w:color w:val="auto"/>
          <w:sz w:val="24"/>
          <w:szCs w:val="24"/>
          <w:highlight w:val="none"/>
        </w:rPr>
        <w:t>，从业人员</w:t>
      </w:r>
      <w:r>
        <w:rPr>
          <w:rFonts w:ascii="Times New Roman" w:eastAsia="Times New Roman"/>
          <w:color w:val="auto"/>
          <w:sz w:val="24"/>
          <w:szCs w:val="24"/>
          <w:highlight w:val="none"/>
          <w:u w:val="single"/>
        </w:rPr>
        <w:t xml:space="preserve">   </w:t>
      </w:r>
      <w:r>
        <w:rPr>
          <w:color w:val="auto"/>
          <w:sz w:val="24"/>
          <w:szCs w:val="24"/>
          <w:highlight w:val="none"/>
        </w:rPr>
        <w:t>人，营业收入为</w:t>
      </w:r>
      <w:r>
        <w:rPr>
          <w:rFonts w:ascii="Times New Roman" w:eastAsia="Times New Roman"/>
          <w:color w:val="auto"/>
          <w:sz w:val="24"/>
          <w:szCs w:val="24"/>
          <w:highlight w:val="none"/>
          <w:u w:val="single"/>
        </w:rPr>
        <w:t xml:space="preserve">   </w:t>
      </w:r>
      <w:r>
        <w:rPr>
          <w:rFonts w:hint="eastAsia" w:ascii="Times New Roman" w:eastAsia="宋体"/>
          <w:color w:val="auto"/>
          <w:sz w:val="24"/>
          <w:szCs w:val="24"/>
          <w:highlight w:val="none"/>
          <w:u w:val="single"/>
        </w:rPr>
        <w:t xml:space="preserve">              </w:t>
      </w:r>
      <w:r>
        <w:rPr>
          <w:color w:val="auto"/>
          <w:sz w:val="24"/>
          <w:szCs w:val="24"/>
          <w:highlight w:val="none"/>
        </w:rPr>
        <w:t>万元，资产总额</w:t>
      </w:r>
      <w:r>
        <w:rPr>
          <w:rFonts w:hint="eastAsia"/>
          <w:color w:val="auto"/>
          <w:sz w:val="24"/>
          <w:szCs w:val="24"/>
          <w:highlight w:val="none"/>
        </w:rPr>
        <w:t xml:space="preserve"> </w:t>
      </w:r>
      <w:r>
        <w:rPr>
          <w:color w:val="auto"/>
          <w:sz w:val="24"/>
          <w:szCs w:val="24"/>
          <w:highlight w:val="none"/>
        </w:rPr>
        <w:t>为</w:t>
      </w:r>
      <w:r>
        <w:rPr>
          <w:rFonts w:hint="eastAsia"/>
          <w:color w:val="auto"/>
          <w:sz w:val="24"/>
          <w:szCs w:val="24"/>
          <w:highlight w:val="none"/>
          <w:u w:val="single"/>
        </w:rPr>
        <w:t xml:space="preserve">    </w:t>
      </w:r>
      <w:r>
        <w:rPr>
          <w:rFonts w:ascii="Times New Roman" w:eastAsia="Times New Roman"/>
          <w:color w:val="auto"/>
          <w:sz w:val="24"/>
          <w:szCs w:val="24"/>
          <w:highlight w:val="none"/>
          <w:u w:val="single"/>
        </w:rPr>
        <w:t xml:space="preserve">  </w:t>
      </w:r>
      <w:r>
        <w:rPr>
          <w:color w:val="auto"/>
          <w:sz w:val="24"/>
          <w:szCs w:val="24"/>
          <w:highlight w:val="none"/>
        </w:rPr>
        <w:t>万元，属于</w:t>
      </w:r>
      <w:r>
        <w:rPr>
          <w:i/>
          <w:color w:val="auto"/>
          <w:sz w:val="24"/>
          <w:szCs w:val="24"/>
          <w:highlight w:val="none"/>
          <w:u w:val="single"/>
        </w:rPr>
        <w:t>（中型企业、小型企业、微型企业）</w:t>
      </w:r>
      <w:r>
        <w:rPr>
          <w:rFonts w:hint="eastAsia"/>
          <w:i/>
          <w:color w:val="auto"/>
          <w:sz w:val="24"/>
          <w:szCs w:val="24"/>
          <w:highlight w:val="none"/>
          <w:u w:val="single"/>
        </w:rPr>
        <w:t>；</w:t>
      </w:r>
    </w:p>
    <w:p w14:paraId="177A73D0">
      <w:pPr>
        <w:spacing w:line="360" w:lineRule="auto"/>
        <w:ind w:firstLine="480" w:firstLineChars="200"/>
        <w:jc w:val="both"/>
        <w:rPr>
          <w:color w:val="auto"/>
          <w:sz w:val="24"/>
          <w:szCs w:val="24"/>
          <w:highlight w:val="none"/>
        </w:rPr>
      </w:pPr>
      <w:r>
        <w:rPr>
          <w:color w:val="auto"/>
          <w:sz w:val="24"/>
          <w:szCs w:val="24"/>
          <w:highlight w:val="none"/>
        </w:rPr>
        <w:t>2.</w:t>
      </w:r>
      <w:r>
        <w:rPr>
          <w:i/>
          <w:color w:val="auto"/>
          <w:sz w:val="24"/>
          <w:szCs w:val="24"/>
          <w:highlight w:val="none"/>
          <w:u w:val="single"/>
        </w:rPr>
        <w:t>（标的名称）</w:t>
      </w:r>
      <w:r>
        <w:rPr>
          <w:color w:val="auto"/>
          <w:sz w:val="24"/>
          <w:szCs w:val="24"/>
          <w:highlight w:val="none"/>
        </w:rPr>
        <w:t>，属于</w:t>
      </w:r>
      <w:r>
        <w:rPr>
          <w:i/>
          <w:color w:val="auto"/>
          <w:sz w:val="24"/>
          <w:szCs w:val="24"/>
          <w:highlight w:val="none"/>
          <w:u w:val="single"/>
        </w:rPr>
        <w:t>（采购文件中明确的所属行业）</w:t>
      </w:r>
      <w:r>
        <w:rPr>
          <w:color w:val="auto"/>
          <w:sz w:val="24"/>
          <w:szCs w:val="24"/>
          <w:highlight w:val="none"/>
        </w:rPr>
        <w:t>行业</w:t>
      </w:r>
      <w:r>
        <w:rPr>
          <w:rFonts w:hint="eastAsia"/>
          <w:color w:val="auto"/>
          <w:sz w:val="24"/>
          <w:szCs w:val="24"/>
          <w:highlight w:val="none"/>
        </w:rPr>
        <w:t>；</w:t>
      </w:r>
      <w:r>
        <w:rPr>
          <w:color w:val="auto"/>
          <w:sz w:val="24"/>
          <w:szCs w:val="24"/>
          <w:highlight w:val="none"/>
        </w:rPr>
        <w:t>制造商为</w:t>
      </w:r>
      <w:r>
        <w:rPr>
          <w:i/>
          <w:color w:val="auto"/>
          <w:sz w:val="24"/>
          <w:szCs w:val="24"/>
          <w:highlight w:val="none"/>
          <w:u w:val="single"/>
        </w:rPr>
        <w:t>（企业名称）</w:t>
      </w:r>
      <w:r>
        <w:rPr>
          <w:color w:val="auto"/>
          <w:sz w:val="24"/>
          <w:szCs w:val="24"/>
          <w:highlight w:val="none"/>
        </w:rPr>
        <w:t>，从业人员</w:t>
      </w:r>
      <w:r>
        <w:rPr>
          <w:rFonts w:ascii="Times New Roman" w:eastAsia="Times New Roman"/>
          <w:color w:val="auto"/>
          <w:sz w:val="24"/>
          <w:szCs w:val="24"/>
          <w:highlight w:val="none"/>
          <w:u w:val="single"/>
        </w:rPr>
        <w:t xml:space="preserve">  </w:t>
      </w:r>
      <w:r>
        <w:rPr>
          <w:rFonts w:hint="eastAsia" w:ascii="Times New Roman" w:eastAsia="宋体"/>
          <w:color w:val="auto"/>
          <w:sz w:val="24"/>
          <w:szCs w:val="24"/>
          <w:highlight w:val="none"/>
          <w:u w:val="single"/>
        </w:rPr>
        <w:t xml:space="preserve">        </w:t>
      </w:r>
      <w:r>
        <w:rPr>
          <w:rFonts w:ascii="Times New Roman" w:eastAsia="Times New Roman"/>
          <w:color w:val="auto"/>
          <w:sz w:val="24"/>
          <w:szCs w:val="24"/>
          <w:highlight w:val="none"/>
          <w:u w:val="single"/>
        </w:rPr>
        <w:t xml:space="preserve">  </w:t>
      </w:r>
      <w:r>
        <w:rPr>
          <w:color w:val="auto"/>
          <w:sz w:val="24"/>
          <w:szCs w:val="24"/>
          <w:highlight w:val="none"/>
        </w:rPr>
        <w:t>人，营业收入为</w:t>
      </w:r>
      <w:r>
        <w:rPr>
          <w:rFonts w:ascii="Times New Roman" w:eastAsia="Times New Roman"/>
          <w:color w:val="auto"/>
          <w:sz w:val="24"/>
          <w:szCs w:val="24"/>
          <w:highlight w:val="none"/>
          <w:u w:val="single"/>
        </w:rPr>
        <w:t xml:space="preserve"> </w:t>
      </w:r>
      <w:r>
        <w:rPr>
          <w:rFonts w:hint="eastAsia" w:ascii="Times New Roman" w:eastAsia="宋体"/>
          <w:color w:val="auto"/>
          <w:sz w:val="24"/>
          <w:szCs w:val="24"/>
          <w:highlight w:val="none"/>
          <w:u w:val="single"/>
        </w:rPr>
        <w:t xml:space="preserve">        </w:t>
      </w:r>
      <w:r>
        <w:rPr>
          <w:rFonts w:ascii="Times New Roman" w:eastAsia="Times New Roman"/>
          <w:color w:val="auto"/>
          <w:sz w:val="24"/>
          <w:szCs w:val="24"/>
          <w:highlight w:val="none"/>
          <w:u w:val="single"/>
        </w:rPr>
        <w:t xml:space="preserve">   </w:t>
      </w:r>
      <w:r>
        <w:rPr>
          <w:color w:val="auto"/>
          <w:sz w:val="24"/>
          <w:szCs w:val="24"/>
          <w:highlight w:val="none"/>
        </w:rPr>
        <w:t>万元，资 产总额为</w:t>
      </w:r>
      <w:r>
        <w:rPr>
          <w:rFonts w:hint="eastAsia"/>
          <w:color w:val="auto"/>
          <w:sz w:val="24"/>
          <w:szCs w:val="24"/>
          <w:highlight w:val="none"/>
          <w:u w:val="single"/>
        </w:rPr>
        <w:t xml:space="preserve">     </w:t>
      </w:r>
      <w:r>
        <w:rPr>
          <w:color w:val="auto"/>
          <w:sz w:val="24"/>
          <w:szCs w:val="24"/>
          <w:highlight w:val="none"/>
        </w:rPr>
        <w:t>万元，属于</w:t>
      </w:r>
      <w:r>
        <w:rPr>
          <w:i/>
          <w:color w:val="auto"/>
          <w:sz w:val="24"/>
          <w:szCs w:val="24"/>
          <w:highlight w:val="none"/>
          <w:u w:val="single"/>
        </w:rPr>
        <w:t>（中型企业、小型企业、微型企业）</w:t>
      </w:r>
      <w:r>
        <w:rPr>
          <w:color w:val="auto"/>
          <w:sz w:val="24"/>
          <w:szCs w:val="24"/>
          <w:highlight w:val="none"/>
        </w:rPr>
        <w:t>。</w:t>
      </w:r>
    </w:p>
    <w:p w14:paraId="4FB9C1C3">
      <w:pPr>
        <w:spacing w:line="360" w:lineRule="auto"/>
        <w:ind w:firstLine="480" w:firstLineChars="200"/>
        <w:jc w:val="both"/>
        <w:rPr>
          <w:color w:val="auto"/>
          <w:sz w:val="24"/>
          <w:szCs w:val="24"/>
          <w:highlight w:val="none"/>
        </w:rPr>
      </w:pPr>
      <w:r>
        <w:rPr>
          <w:color w:val="auto"/>
          <w:sz w:val="24"/>
          <w:szCs w:val="24"/>
          <w:highlight w:val="none"/>
        </w:rPr>
        <w:t>……</w:t>
      </w:r>
    </w:p>
    <w:p w14:paraId="244B2F75">
      <w:pPr>
        <w:pStyle w:val="7"/>
        <w:spacing w:line="360" w:lineRule="auto"/>
        <w:ind w:firstLine="480" w:firstLineChars="200"/>
        <w:jc w:val="both"/>
        <w:rPr>
          <w:color w:val="auto"/>
          <w:sz w:val="24"/>
          <w:szCs w:val="24"/>
          <w:highlight w:val="none"/>
        </w:rPr>
      </w:pPr>
      <w:r>
        <w:rPr>
          <w:color w:val="auto"/>
          <w:sz w:val="24"/>
          <w:szCs w:val="24"/>
          <w:highlight w:val="none"/>
        </w:rPr>
        <w:t>以上企业，不属于大企业的分支机构，不存在控股股东为大企业的情形，也不存在与大企业的负责人为同一人的情形。</w:t>
      </w:r>
    </w:p>
    <w:p w14:paraId="73685845">
      <w:pPr>
        <w:pStyle w:val="7"/>
        <w:spacing w:line="360" w:lineRule="auto"/>
        <w:ind w:firstLine="480" w:firstLineChars="200"/>
        <w:jc w:val="both"/>
        <w:rPr>
          <w:color w:val="auto"/>
          <w:sz w:val="24"/>
          <w:szCs w:val="24"/>
          <w:highlight w:val="none"/>
        </w:rPr>
      </w:pPr>
      <w:r>
        <w:rPr>
          <w:color w:val="auto"/>
          <w:sz w:val="24"/>
          <w:szCs w:val="24"/>
          <w:highlight w:val="none"/>
        </w:rPr>
        <w:t>本企业对上述声明内容的真实性负责。如有虚假，将依法承担相应责任。</w:t>
      </w:r>
    </w:p>
    <w:p w14:paraId="050F34D3">
      <w:pPr>
        <w:pStyle w:val="7"/>
        <w:tabs>
          <w:tab w:val="left" w:pos="9308"/>
        </w:tabs>
        <w:spacing w:line="360" w:lineRule="auto"/>
        <w:ind w:firstLine="480" w:firstLineChars="200"/>
        <w:jc w:val="both"/>
        <w:rPr>
          <w:color w:val="auto"/>
          <w:sz w:val="24"/>
          <w:szCs w:val="24"/>
          <w:highlight w:val="none"/>
        </w:rPr>
      </w:pPr>
    </w:p>
    <w:p w14:paraId="336A298B">
      <w:pPr>
        <w:pStyle w:val="7"/>
        <w:tabs>
          <w:tab w:val="left" w:pos="9308"/>
        </w:tabs>
        <w:spacing w:line="360" w:lineRule="auto"/>
        <w:ind w:firstLine="480" w:firstLineChars="200"/>
        <w:jc w:val="both"/>
        <w:rPr>
          <w:color w:val="auto"/>
          <w:sz w:val="24"/>
          <w:szCs w:val="24"/>
          <w:highlight w:val="none"/>
        </w:rPr>
      </w:pPr>
    </w:p>
    <w:p w14:paraId="0AC87764">
      <w:pPr>
        <w:pStyle w:val="7"/>
        <w:tabs>
          <w:tab w:val="left" w:pos="9308"/>
        </w:tabs>
        <w:spacing w:line="360" w:lineRule="auto"/>
        <w:ind w:firstLine="480" w:firstLineChars="200"/>
        <w:jc w:val="both"/>
        <w:rPr>
          <w:rFonts w:ascii="Times New Roman"/>
          <w:color w:val="auto"/>
          <w:sz w:val="24"/>
          <w:szCs w:val="24"/>
          <w:highlight w:val="none"/>
        </w:rPr>
      </w:pPr>
      <w:r>
        <w:rPr>
          <w:color w:val="auto"/>
          <w:sz w:val="24"/>
          <w:szCs w:val="24"/>
          <w:highlight w:val="none"/>
        </w:rPr>
        <w:t>投标人（企业电子签章）：</w:t>
      </w:r>
      <w:r>
        <w:rPr>
          <w:rFonts w:hint="eastAsia" w:ascii="Times New Roman" w:eastAsia="宋体"/>
          <w:color w:val="auto"/>
          <w:sz w:val="24"/>
          <w:szCs w:val="24"/>
          <w:highlight w:val="none"/>
          <w:u w:val="single"/>
        </w:rPr>
        <w:t xml:space="preserve">                                                                 </w:t>
      </w:r>
    </w:p>
    <w:p w14:paraId="4798EC27">
      <w:pPr>
        <w:pStyle w:val="7"/>
        <w:spacing w:line="360" w:lineRule="auto"/>
        <w:ind w:firstLine="480" w:firstLineChars="200"/>
        <w:jc w:val="both"/>
        <w:rPr>
          <w:rFonts w:ascii="Times New Roman"/>
          <w:color w:val="auto"/>
          <w:sz w:val="24"/>
          <w:szCs w:val="24"/>
          <w:highlight w:val="none"/>
        </w:rPr>
      </w:pPr>
    </w:p>
    <w:p w14:paraId="50A8702E">
      <w:pPr>
        <w:pStyle w:val="7"/>
        <w:tabs>
          <w:tab w:val="left" w:pos="7949"/>
        </w:tabs>
        <w:spacing w:line="360" w:lineRule="auto"/>
        <w:ind w:firstLine="480" w:firstLineChars="200"/>
        <w:jc w:val="both"/>
        <w:rPr>
          <w:rFonts w:ascii="Times New Roman"/>
          <w:color w:val="auto"/>
          <w:sz w:val="24"/>
          <w:szCs w:val="24"/>
          <w:highlight w:val="none"/>
        </w:rPr>
      </w:pPr>
      <w:r>
        <w:rPr>
          <w:color w:val="auto"/>
          <w:sz w:val="24"/>
          <w:szCs w:val="24"/>
          <w:highlight w:val="none"/>
        </w:rPr>
        <w:t>日 期：</w:t>
      </w:r>
      <w:r>
        <w:rPr>
          <w:rFonts w:hint="eastAsia" w:ascii="Times New Roman" w:eastAsia="宋体"/>
          <w:color w:val="auto"/>
          <w:sz w:val="24"/>
          <w:szCs w:val="24"/>
          <w:highlight w:val="none"/>
          <w:u w:val="single"/>
        </w:rPr>
        <w:t xml:space="preserve">                                                                                                   </w:t>
      </w:r>
    </w:p>
    <w:p w14:paraId="68E470A5">
      <w:pPr>
        <w:spacing w:line="360" w:lineRule="auto"/>
        <w:ind w:firstLine="440" w:firstLineChars="200"/>
        <w:jc w:val="both"/>
        <w:rPr>
          <w:color w:val="auto"/>
          <w:highlight w:val="none"/>
        </w:rPr>
      </w:pPr>
    </w:p>
    <w:p w14:paraId="1EC26547">
      <w:pPr>
        <w:spacing w:line="360" w:lineRule="auto"/>
        <w:ind w:firstLine="440" w:firstLineChars="200"/>
        <w:jc w:val="both"/>
        <w:rPr>
          <w:color w:val="auto"/>
          <w:highlight w:val="none"/>
        </w:rPr>
      </w:pPr>
      <w:r>
        <w:rPr>
          <w:color w:val="auto"/>
          <w:highlight w:val="none"/>
        </w:rPr>
        <w:t>说明：</w:t>
      </w:r>
    </w:p>
    <w:p w14:paraId="22B40786">
      <w:pPr>
        <w:spacing w:line="360" w:lineRule="auto"/>
        <w:ind w:firstLine="440" w:firstLineChars="200"/>
        <w:jc w:val="both"/>
        <w:rPr>
          <w:color w:val="auto"/>
          <w:highlight w:val="none"/>
        </w:rPr>
      </w:pPr>
      <w:r>
        <w:rPr>
          <w:rFonts w:hint="eastAsia"/>
          <w:color w:val="auto"/>
          <w:highlight w:val="none"/>
        </w:rPr>
        <w:t>（1）</w:t>
      </w:r>
      <w:r>
        <w:rPr>
          <w:color w:val="auto"/>
          <w:highlight w:val="none"/>
        </w:rPr>
        <w:t>从业人员、营业收入、资产总额填报上一年度数据，无上一年度数据的新成立企业可不填报。</w:t>
      </w:r>
    </w:p>
    <w:p w14:paraId="6F915207">
      <w:pPr>
        <w:spacing w:line="360" w:lineRule="auto"/>
        <w:ind w:firstLine="440" w:firstLineChars="200"/>
        <w:jc w:val="both"/>
        <w:rPr>
          <w:color w:val="auto"/>
          <w:highlight w:val="none"/>
        </w:rPr>
      </w:pPr>
      <w:r>
        <w:rPr>
          <w:rFonts w:hint="eastAsia"/>
          <w:color w:val="auto"/>
          <w:highlight w:val="none"/>
        </w:rPr>
        <w:t>（2）</w:t>
      </w:r>
      <w:r>
        <w:rPr>
          <w:color w:val="auto"/>
          <w:highlight w:val="none"/>
        </w:rPr>
        <w:t>中小企业划型标准须按照《关于印发中小企业划型标准规定的通知》（工信部联企业</w:t>
      </w:r>
      <w:r>
        <w:rPr>
          <w:rFonts w:hint="eastAsia"/>
          <w:color w:val="auto"/>
          <w:highlight w:val="none"/>
        </w:rPr>
        <w:t>〔2011〕300号</w:t>
      </w:r>
      <w:r>
        <w:rPr>
          <w:color w:val="auto"/>
          <w:highlight w:val="none"/>
        </w:rPr>
        <w:t>）规定。</w:t>
      </w:r>
    </w:p>
    <w:p w14:paraId="3504D925">
      <w:pPr>
        <w:spacing w:line="360" w:lineRule="auto"/>
        <w:ind w:firstLine="440" w:firstLineChars="200"/>
        <w:jc w:val="both"/>
        <w:rPr>
          <w:color w:val="auto"/>
          <w:highlight w:val="none"/>
        </w:rPr>
      </w:pPr>
      <w:r>
        <w:rPr>
          <w:rFonts w:hint="eastAsia"/>
          <w:color w:val="auto"/>
          <w:highlight w:val="none"/>
        </w:rPr>
        <w:t>（3）</w:t>
      </w:r>
      <w:r>
        <w:rPr>
          <w:color w:val="auto"/>
          <w:highlight w:val="none"/>
        </w:rPr>
        <w:t>制造商名称应当是制造货物的企业名称。如果本项目中包含服务，则服务部分不需要填写。</w:t>
      </w:r>
    </w:p>
    <w:p w14:paraId="160B2AFF">
      <w:pPr>
        <w:pStyle w:val="5"/>
        <w:tabs>
          <w:tab w:val="left" w:pos="3967"/>
        </w:tabs>
        <w:spacing w:line="360" w:lineRule="auto"/>
        <w:ind w:left="0" w:firstLine="562" w:firstLineChars="200"/>
        <w:jc w:val="center"/>
        <w:rPr>
          <w:rFonts w:ascii="宋体"/>
          <w:color w:val="auto"/>
          <w:sz w:val="29"/>
          <w:highlight w:val="none"/>
        </w:rPr>
      </w:pPr>
      <w:bookmarkStart w:id="62" w:name="3.__残疾人福利性单位声明函（投标人）"/>
      <w:bookmarkEnd w:id="62"/>
      <w:r>
        <w:rPr>
          <w:rFonts w:hint="eastAsia" w:ascii="宋体" w:eastAsia="宋体"/>
          <w:color w:val="auto"/>
          <w:highlight w:val="none"/>
        </w:rPr>
        <w:t>2.投标人监狱企业声明函</w:t>
      </w:r>
    </w:p>
    <w:p w14:paraId="457D4836">
      <w:pPr>
        <w:pStyle w:val="7"/>
        <w:spacing w:line="360" w:lineRule="auto"/>
        <w:ind w:firstLine="560" w:firstLineChars="200"/>
        <w:jc w:val="both"/>
        <w:rPr>
          <w:color w:val="auto"/>
          <w:highlight w:val="none"/>
        </w:rPr>
      </w:pPr>
      <w:r>
        <w:rPr>
          <w:color w:val="auto"/>
          <w:highlight w:val="none"/>
        </w:rPr>
        <w:t>本企业（单位）郑重声明下列事项（按照实际情况勾选或填空）：本企业（单位）为直接投标人，提供本企业（单位）服务。本企业（单位）</w:t>
      </w:r>
      <w:r>
        <w:rPr>
          <w:rFonts w:hint="eastAsia" w:ascii="Times New Roman" w:eastAsia="宋体"/>
          <w:color w:val="auto"/>
          <w:highlight w:val="none"/>
          <w:u w:val="single"/>
        </w:rPr>
        <w:t xml:space="preserve">               </w:t>
      </w:r>
      <w:r>
        <w:rPr>
          <w:color w:val="auto"/>
          <w:highlight w:val="none"/>
        </w:rPr>
        <w:t>（请填写：是、不是）监狱企业。后附省级以上监狱管理局、戒毒管理局（含新疆生产建设兵团）出具的属于监狱企业的证明文件。</w:t>
      </w:r>
    </w:p>
    <w:p w14:paraId="724815B5">
      <w:pPr>
        <w:pStyle w:val="7"/>
        <w:spacing w:line="360" w:lineRule="auto"/>
        <w:ind w:firstLine="560" w:firstLineChars="200"/>
        <w:jc w:val="both"/>
        <w:rPr>
          <w:color w:val="auto"/>
          <w:highlight w:val="none"/>
        </w:rPr>
      </w:pPr>
      <w:r>
        <w:rPr>
          <w:color w:val="auto"/>
          <w:highlight w:val="none"/>
        </w:rPr>
        <w:t>本企业（单位）对上述声明的真实性负责。如有虚假，将依法承担相应责任。</w:t>
      </w:r>
    </w:p>
    <w:p w14:paraId="5275B5A4">
      <w:pPr>
        <w:pStyle w:val="7"/>
        <w:spacing w:line="360" w:lineRule="auto"/>
        <w:ind w:firstLine="560" w:firstLineChars="200"/>
        <w:jc w:val="both"/>
        <w:rPr>
          <w:color w:val="auto"/>
          <w:highlight w:val="none"/>
        </w:rPr>
      </w:pPr>
    </w:p>
    <w:p w14:paraId="08C63C35">
      <w:pPr>
        <w:pStyle w:val="7"/>
        <w:tabs>
          <w:tab w:val="left" w:pos="9308"/>
        </w:tabs>
        <w:spacing w:line="360" w:lineRule="auto"/>
        <w:ind w:firstLine="560" w:firstLineChars="200"/>
        <w:jc w:val="both"/>
        <w:rPr>
          <w:rFonts w:ascii="Times New Roman"/>
          <w:color w:val="auto"/>
          <w:highlight w:val="none"/>
        </w:rPr>
      </w:pPr>
      <w:r>
        <w:rPr>
          <w:color w:val="auto"/>
          <w:highlight w:val="none"/>
        </w:rPr>
        <w:t>投标人（企业电子签章）：</w:t>
      </w:r>
      <w:r>
        <w:rPr>
          <w:rFonts w:hint="eastAsia" w:ascii="Times New Roman" w:eastAsia="宋体"/>
          <w:color w:val="auto"/>
          <w:highlight w:val="none"/>
          <w:u w:val="single"/>
        </w:rPr>
        <w:t xml:space="preserve">                                                        </w:t>
      </w:r>
    </w:p>
    <w:p w14:paraId="380078BF">
      <w:pPr>
        <w:pStyle w:val="7"/>
        <w:spacing w:line="360" w:lineRule="auto"/>
        <w:ind w:firstLine="380" w:firstLineChars="200"/>
        <w:jc w:val="both"/>
        <w:rPr>
          <w:rFonts w:ascii="Times New Roman"/>
          <w:color w:val="auto"/>
          <w:sz w:val="19"/>
          <w:highlight w:val="none"/>
        </w:rPr>
      </w:pPr>
    </w:p>
    <w:p w14:paraId="052519C5">
      <w:pPr>
        <w:pStyle w:val="7"/>
        <w:tabs>
          <w:tab w:val="left" w:pos="7949"/>
        </w:tabs>
        <w:spacing w:line="360" w:lineRule="auto"/>
        <w:ind w:firstLine="560" w:firstLineChars="200"/>
        <w:jc w:val="both"/>
        <w:rPr>
          <w:rFonts w:ascii="Times New Roman"/>
          <w:color w:val="auto"/>
          <w:highlight w:val="none"/>
        </w:rPr>
      </w:pPr>
      <w:r>
        <w:rPr>
          <w:color w:val="auto"/>
          <w:highlight w:val="none"/>
        </w:rPr>
        <w:t>日 期：</w:t>
      </w:r>
      <w:r>
        <w:rPr>
          <w:rFonts w:hint="eastAsia" w:ascii="Times New Roman" w:eastAsia="宋体"/>
          <w:color w:val="auto"/>
          <w:highlight w:val="none"/>
          <w:u w:val="single"/>
        </w:rPr>
        <w:t xml:space="preserve">                                                       </w:t>
      </w:r>
    </w:p>
    <w:p w14:paraId="7B5A60FF">
      <w:pPr>
        <w:tabs>
          <w:tab w:val="left" w:pos="3122"/>
        </w:tabs>
        <w:spacing w:line="360" w:lineRule="auto"/>
        <w:ind w:firstLine="440" w:firstLineChars="200"/>
        <w:jc w:val="both"/>
        <w:rPr>
          <w:rFonts w:ascii="宋体" w:eastAsia="宋体"/>
          <w:color w:val="auto"/>
          <w:highlight w:val="none"/>
        </w:rPr>
      </w:pPr>
      <w:bookmarkStart w:id="63" w:name="_残疾人福利性单位声明函（制造商）"/>
      <w:bookmarkEnd w:id="63"/>
    </w:p>
    <w:p w14:paraId="55480CF3">
      <w:pPr>
        <w:tabs>
          <w:tab w:val="left" w:pos="3122"/>
        </w:tabs>
        <w:spacing w:line="360" w:lineRule="auto"/>
        <w:ind w:firstLine="440" w:firstLineChars="200"/>
        <w:jc w:val="both"/>
        <w:rPr>
          <w:rFonts w:ascii="宋体" w:eastAsia="宋体"/>
          <w:color w:val="auto"/>
          <w:highlight w:val="none"/>
        </w:rPr>
      </w:pPr>
    </w:p>
    <w:p w14:paraId="482598EC">
      <w:pPr>
        <w:rPr>
          <w:rFonts w:ascii="宋体" w:eastAsia="宋体"/>
          <w:color w:val="auto"/>
          <w:highlight w:val="none"/>
        </w:rPr>
      </w:pPr>
      <w:r>
        <w:rPr>
          <w:rFonts w:hint="eastAsia" w:ascii="宋体" w:eastAsia="宋体"/>
          <w:color w:val="auto"/>
          <w:highlight w:val="none"/>
        </w:rPr>
        <w:br w:type="page"/>
      </w:r>
    </w:p>
    <w:p w14:paraId="65687CFC">
      <w:pPr>
        <w:pStyle w:val="5"/>
        <w:tabs>
          <w:tab w:val="left" w:pos="3122"/>
        </w:tabs>
        <w:spacing w:line="360" w:lineRule="auto"/>
        <w:ind w:left="0" w:firstLine="562" w:firstLineChars="200"/>
        <w:jc w:val="center"/>
        <w:rPr>
          <w:rFonts w:ascii="宋体" w:eastAsia="宋体"/>
          <w:color w:val="auto"/>
          <w:highlight w:val="none"/>
        </w:rPr>
      </w:pPr>
      <w:r>
        <w:rPr>
          <w:rFonts w:hint="eastAsia" w:ascii="宋体" w:eastAsia="宋体"/>
          <w:color w:val="auto"/>
          <w:highlight w:val="none"/>
        </w:rPr>
        <w:t>3.残疾人福利性单位声明函（投标人）</w:t>
      </w:r>
    </w:p>
    <w:p w14:paraId="748FB4EC">
      <w:pPr>
        <w:spacing w:line="360" w:lineRule="auto"/>
        <w:ind w:firstLine="560" w:firstLineChars="200"/>
        <w:jc w:val="both"/>
        <w:rPr>
          <w:color w:val="auto"/>
          <w:sz w:val="28"/>
          <w:szCs w:val="28"/>
          <w:highlight w:val="none"/>
        </w:rPr>
      </w:pPr>
      <w:r>
        <w:rPr>
          <w:color w:val="auto"/>
          <w:sz w:val="28"/>
          <w:szCs w:val="28"/>
          <w:highlight w:val="none"/>
        </w:rPr>
        <w:t>（投标人属于残疾人福利性单位的填写，不属于的无需填写或不提供此项内容）</w:t>
      </w:r>
    </w:p>
    <w:p w14:paraId="481CB8B8">
      <w:pPr>
        <w:pStyle w:val="7"/>
        <w:tabs>
          <w:tab w:val="left" w:pos="9308"/>
        </w:tabs>
        <w:spacing w:line="360" w:lineRule="auto"/>
        <w:ind w:firstLine="560" w:firstLineChars="200"/>
        <w:jc w:val="both"/>
        <w:rPr>
          <w:rFonts w:ascii="Times New Roman"/>
          <w:color w:val="auto"/>
          <w:highlight w:val="none"/>
        </w:rPr>
      </w:pPr>
      <w:r>
        <w:rPr>
          <w:color w:val="auto"/>
          <w:highlight w:val="none"/>
        </w:rPr>
        <w:t>本单位郑重声明，根据《财政部 民政部 中国残疾人联合会关于促进残疾人就业政府采购政策的通知》（财库〔2017〕 141 号）的规定，本单位为符合条件的残疾人福利性单位，本单位为</w:t>
      </w:r>
      <w:r>
        <w:rPr>
          <w:rFonts w:hint="eastAsia" w:ascii="Times New Roman" w:eastAsia="宋体"/>
          <w:color w:val="auto"/>
          <w:highlight w:val="none"/>
          <w:u w:val="single"/>
        </w:rPr>
        <w:t xml:space="preserve">                                </w:t>
      </w:r>
    </w:p>
    <w:p w14:paraId="10E755C5">
      <w:pPr>
        <w:pStyle w:val="7"/>
        <w:tabs>
          <w:tab w:val="left" w:pos="2199"/>
        </w:tabs>
        <w:spacing w:line="360" w:lineRule="auto"/>
        <w:ind w:firstLine="560" w:firstLineChars="200"/>
        <w:jc w:val="both"/>
        <w:rPr>
          <w:color w:val="auto"/>
          <w:highlight w:val="none"/>
        </w:rPr>
      </w:pPr>
      <w:r>
        <w:rPr>
          <w:rFonts w:hint="eastAsia" w:ascii="Times New Roman" w:eastAsia="宋体"/>
          <w:color w:val="auto"/>
          <w:highlight w:val="none"/>
          <w:u w:val="single"/>
        </w:rPr>
        <w:t xml:space="preserve">                         </w:t>
      </w:r>
      <w:r>
        <w:rPr>
          <w:color w:val="auto"/>
          <w:highlight w:val="none"/>
        </w:rPr>
        <w:t>项目采购活动提供本单位制造的货物（不包括使用非残疾人福利性单位注册商标的货物）。</w:t>
      </w:r>
    </w:p>
    <w:p w14:paraId="15D221C3">
      <w:pPr>
        <w:pStyle w:val="7"/>
        <w:spacing w:line="360" w:lineRule="auto"/>
        <w:ind w:firstLine="560" w:firstLineChars="200"/>
        <w:jc w:val="both"/>
        <w:rPr>
          <w:color w:val="auto"/>
          <w:highlight w:val="none"/>
        </w:rPr>
      </w:pPr>
      <w:r>
        <w:rPr>
          <w:color w:val="auto"/>
          <w:highlight w:val="none"/>
        </w:rPr>
        <w:t>本单位对上述声明的真实性负责。如有虚假，将依法承担相应责任。</w:t>
      </w:r>
    </w:p>
    <w:p w14:paraId="3965FC59">
      <w:pPr>
        <w:pStyle w:val="7"/>
        <w:tabs>
          <w:tab w:val="left" w:pos="9308"/>
        </w:tabs>
        <w:spacing w:line="360" w:lineRule="auto"/>
        <w:ind w:firstLine="560" w:firstLineChars="200"/>
        <w:jc w:val="both"/>
        <w:rPr>
          <w:color w:val="auto"/>
          <w:highlight w:val="none"/>
        </w:rPr>
      </w:pPr>
    </w:p>
    <w:p w14:paraId="188EB940">
      <w:pPr>
        <w:pStyle w:val="7"/>
        <w:tabs>
          <w:tab w:val="left" w:pos="9308"/>
        </w:tabs>
        <w:spacing w:line="360" w:lineRule="auto"/>
        <w:ind w:firstLine="560" w:firstLineChars="200"/>
        <w:jc w:val="both"/>
        <w:rPr>
          <w:color w:val="auto"/>
          <w:highlight w:val="none"/>
        </w:rPr>
      </w:pPr>
    </w:p>
    <w:p w14:paraId="36659AB3">
      <w:pPr>
        <w:pStyle w:val="7"/>
        <w:tabs>
          <w:tab w:val="left" w:pos="9308"/>
        </w:tabs>
        <w:spacing w:line="360" w:lineRule="auto"/>
        <w:ind w:firstLine="560" w:firstLineChars="200"/>
        <w:jc w:val="both"/>
        <w:rPr>
          <w:rFonts w:ascii="Times New Roman"/>
          <w:color w:val="auto"/>
          <w:highlight w:val="none"/>
        </w:rPr>
      </w:pPr>
      <w:r>
        <w:rPr>
          <w:color w:val="auto"/>
          <w:highlight w:val="none"/>
        </w:rPr>
        <w:t>投标人（企业电子签章）：</w:t>
      </w:r>
      <w:r>
        <w:rPr>
          <w:rFonts w:hint="eastAsia" w:ascii="Times New Roman" w:eastAsia="宋体"/>
          <w:color w:val="auto"/>
          <w:highlight w:val="none"/>
          <w:u w:val="single"/>
        </w:rPr>
        <w:t xml:space="preserve">                                                                 </w:t>
      </w:r>
    </w:p>
    <w:p w14:paraId="72ECA5AF">
      <w:pPr>
        <w:pStyle w:val="7"/>
        <w:tabs>
          <w:tab w:val="left" w:pos="7909"/>
        </w:tabs>
        <w:spacing w:line="360" w:lineRule="auto"/>
        <w:ind w:firstLine="560" w:firstLineChars="200"/>
        <w:jc w:val="both"/>
        <w:rPr>
          <w:color w:val="auto"/>
          <w:highlight w:val="none"/>
        </w:rPr>
      </w:pPr>
    </w:p>
    <w:p w14:paraId="7B9D108C">
      <w:pPr>
        <w:pStyle w:val="7"/>
        <w:tabs>
          <w:tab w:val="left" w:pos="7909"/>
        </w:tabs>
        <w:spacing w:line="360" w:lineRule="auto"/>
        <w:ind w:firstLine="560" w:firstLineChars="200"/>
        <w:jc w:val="both"/>
        <w:rPr>
          <w:rFonts w:ascii="Times New Roman"/>
          <w:color w:val="auto"/>
          <w:highlight w:val="none"/>
        </w:rPr>
      </w:pPr>
      <w:r>
        <w:rPr>
          <w:color w:val="auto"/>
          <w:highlight w:val="none"/>
        </w:rPr>
        <w:t>日 期：</w:t>
      </w:r>
      <w:r>
        <w:rPr>
          <w:rFonts w:hint="eastAsia" w:ascii="Times New Roman" w:eastAsia="宋体"/>
          <w:color w:val="auto"/>
          <w:highlight w:val="none"/>
          <w:u w:val="single"/>
        </w:rPr>
        <w:t xml:space="preserve">                                                                                                 </w:t>
      </w:r>
    </w:p>
    <w:p w14:paraId="5390D34E">
      <w:pPr>
        <w:pStyle w:val="7"/>
        <w:spacing w:line="360" w:lineRule="auto"/>
        <w:ind w:firstLine="160" w:firstLineChars="200"/>
        <w:jc w:val="both"/>
        <w:rPr>
          <w:rFonts w:ascii="Times New Roman"/>
          <w:color w:val="auto"/>
          <w:sz w:val="8"/>
          <w:highlight w:val="none"/>
        </w:rPr>
      </w:pPr>
    </w:p>
    <w:p w14:paraId="76072855">
      <w:pPr>
        <w:spacing w:line="360" w:lineRule="auto"/>
        <w:ind w:firstLine="480" w:firstLineChars="200"/>
        <w:jc w:val="both"/>
        <w:rPr>
          <w:color w:val="auto"/>
          <w:sz w:val="24"/>
          <w:highlight w:val="none"/>
        </w:rPr>
      </w:pPr>
    </w:p>
    <w:p w14:paraId="0BA32C49">
      <w:pPr>
        <w:spacing w:line="360" w:lineRule="auto"/>
        <w:ind w:firstLine="480" w:firstLineChars="200"/>
        <w:jc w:val="both"/>
        <w:rPr>
          <w:color w:val="auto"/>
          <w:sz w:val="24"/>
          <w:highlight w:val="none"/>
        </w:rPr>
      </w:pPr>
      <w:r>
        <w:rPr>
          <w:color w:val="auto"/>
          <w:sz w:val="24"/>
          <w:highlight w:val="none"/>
        </w:rPr>
        <w:t>说明：中标人为代理商且为残疾人福利性单位的，随中标结果同时公告制造商的《残疾人福利性单位声明函》，接受社会监督。</w:t>
      </w:r>
    </w:p>
    <w:p w14:paraId="0DE6931C">
      <w:pPr>
        <w:spacing w:line="360" w:lineRule="auto"/>
        <w:ind w:firstLine="480" w:firstLineChars="200"/>
        <w:jc w:val="both"/>
        <w:rPr>
          <w:color w:val="auto"/>
          <w:sz w:val="24"/>
          <w:highlight w:val="none"/>
        </w:rPr>
      </w:pPr>
    </w:p>
    <w:p w14:paraId="61A6618D">
      <w:pPr>
        <w:rPr>
          <w:rFonts w:ascii="宋体" w:eastAsia="宋体"/>
          <w:color w:val="auto"/>
          <w:highlight w:val="none"/>
        </w:rPr>
      </w:pPr>
      <w:r>
        <w:rPr>
          <w:rFonts w:hint="eastAsia" w:ascii="宋体" w:eastAsia="宋体"/>
          <w:color w:val="auto"/>
          <w:highlight w:val="none"/>
        </w:rPr>
        <w:br w:type="page"/>
      </w:r>
    </w:p>
    <w:p w14:paraId="46F949E5">
      <w:pPr>
        <w:pStyle w:val="5"/>
        <w:spacing w:line="360" w:lineRule="auto"/>
        <w:ind w:left="0" w:firstLine="562" w:firstLineChars="200"/>
        <w:jc w:val="center"/>
        <w:rPr>
          <w:rFonts w:ascii="宋体" w:eastAsia="宋体"/>
          <w:color w:val="auto"/>
          <w:highlight w:val="none"/>
        </w:rPr>
      </w:pPr>
      <w:r>
        <w:rPr>
          <w:rFonts w:hint="eastAsia" w:ascii="宋体" w:eastAsia="宋体"/>
          <w:color w:val="auto"/>
          <w:highlight w:val="none"/>
        </w:rPr>
        <w:t>残疾人福利性单位声明函（制造商）</w:t>
      </w:r>
    </w:p>
    <w:p w14:paraId="6494B0B4">
      <w:pPr>
        <w:pStyle w:val="7"/>
        <w:spacing w:line="360" w:lineRule="auto"/>
        <w:ind w:firstLine="422" w:firstLineChars="200"/>
        <w:jc w:val="both"/>
        <w:rPr>
          <w:rFonts w:ascii="宋体"/>
          <w:b/>
          <w:color w:val="auto"/>
          <w:sz w:val="21"/>
          <w:highlight w:val="none"/>
        </w:rPr>
      </w:pPr>
    </w:p>
    <w:p w14:paraId="374BD36A">
      <w:pPr>
        <w:spacing w:line="360" w:lineRule="auto"/>
        <w:ind w:firstLine="560" w:firstLineChars="200"/>
        <w:jc w:val="both"/>
        <w:rPr>
          <w:color w:val="auto"/>
          <w:sz w:val="28"/>
          <w:szCs w:val="28"/>
          <w:highlight w:val="none"/>
        </w:rPr>
      </w:pPr>
      <w:r>
        <w:rPr>
          <w:color w:val="auto"/>
          <w:sz w:val="28"/>
          <w:szCs w:val="28"/>
          <w:highlight w:val="none"/>
        </w:rPr>
        <w:t>本单位郑重声明，根据《财政部 民政部 中国残疾人联合会关于促进残疾人就业政府采购政策的通知》（财库〔2017〕141 号）的规定，本单位为符合条件的残疾人福利性单位，且本单位参加</w:t>
      </w:r>
      <w:r>
        <w:rPr>
          <w:rFonts w:hint="eastAsia"/>
          <w:color w:val="auto"/>
          <w:sz w:val="28"/>
          <w:szCs w:val="28"/>
          <w:highlight w:val="none"/>
          <w:u w:val="single"/>
        </w:rPr>
        <w:t xml:space="preserve">        </w:t>
      </w:r>
      <w:r>
        <w:rPr>
          <w:color w:val="auto"/>
          <w:sz w:val="28"/>
          <w:szCs w:val="28"/>
          <w:highlight w:val="none"/>
        </w:rPr>
        <w:t>单位的</w:t>
      </w:r>
    </w:p>
    <w:p w14:paraId="72FA642B">
      <w:pPr>
        <w:spacing w:line="360" w:lineRule="auto"/>
        <w:jc w:val="both"/>
        <w:rPr>
          <w:color w:val="auto"/>
          <w:sz w:val="28"/>
          <w:szCs w:val="28"/>
          <w:highlight w:val="none"/>
        </w:rPr>
      </w:pPr>
      <w:r>
        <w:rPr>
          <w:rFonts w:hint="eastAsia"/>
          <w:color w:val="auto"/>
          <w:sz w:val="28"/>
          <w:szCs w:val="28"/>
          <w:highlight w:val="none"/>
          <w:u w:val="single"/>
        </w:rPr>
        <w:t xml:space="preserve">      </w:t>
      </w:r>
      <w:r>
        <w:rPr>
          <w:color w:val="auto"/>
          <w:sz w:val="28"/>
          <w:szCs w:val="28"/>
          <w:highlight w:val="none"/>
        </w:rPr>
        <w:t>项目采购活动提供本单位制造的货物（由本单位承担工程/提供服务），或者提供其他残疾人福利性单位制造的货物（不包括使用非残疾人福利性单位注册商标的货物）。</w:t>
      </w:r>
    </w:p>
    <w:p w14:paraId="0AE1BD96">
      <w:pPr>
        <w:spacing w:line="360" w:lineRule="auto"/>
        <w:ind w:firstLine="560" w:firstLineChars="200"/>
        <w:jc w:val="both"/>
        <w:rPr>
          <w:color w:val="auto"/>
          <w:sz w:val="28"/>
          <w:szCs w:val="28"/>
          <w:highlight w:val="none"/>
        </w:rPr>
      </w:pPr>
      <w:r>
        <w:rPr>
          <w:color w:val="auto"/>
          <w:sz w:val="28"/>
          <w:szCs w:val="28"/>
          <w:highlight w:val="none"/>
        </w:rPr>
        <w:t>本单位对上述声明的真实性负责。如有虚假，将依法承担相应责任。</w:t>
      </w:r>
    </w:p>
    <w:p w14:paraId="1132CFA1">
      <w:pPr>
        <w:pStyle w:val="7"/>
        <w:tabs>
          <w:tab w:val="left" w:pos="7513"/>
        </w:tabs>
        <w:spacing w:line="360" w:lineRule="auto"/>
        <w:ind w:firstLine="560" w:firstLineChars="200"/>
        <w:jc w:val="both"/>
        <w:rPr>
          <w:color w:val="auto"/>
          <w:highlight w:val="none"/>
        </w:rPr>
      </w:pPr>
      <w:r>
        <w:rPr>
          <w:color w:val="auto"/>
          <w:highlight w:val="none"/>
        </w:rPr>
        <w:t>制造商（企业电子签章或盖章）：</w:t>
      </w:r>
    </w:p>
    <w:p w14:paraId="65540670">
      <w:pPr>
        <w:pStyle w:val="7"/>
        <w:tabs>
          <w:tab w:val="left" w:pos="7513"/>
        </w:tabs>
        <w:spacing w:line="360" w:lineRule="auto"/>
        <w:ind w:firstLine="560" w:firstLineChars="200"/>
        <w:jc w:val="both"/>
        <w:rPr>
          <w:color w:val="auto"/>
          <w:highlight w:val="none"/>
        </w:rPr>
      </w:pPr>
    </w:p>
    <w:p w14:paraId="6387E44E">
      <w:pPr>
        <w:pStyle w:val="7"/>
        <w:tabs>
          <w:tab w:val="left" w:pos="7513"/>
        </w:tabs>
        <w:spacing w:line="360" w:lineRule="auto"/>
        <w:ind w:firstLine="560" w:firstLineChars="200"/>
        <w:jc w:val="both"/>
        <w:rPr>
          <w:rFonts w:ascii="Times New Roman" w:eastAsia="Times New Roman"/>
          <w:color w:val="auto"/>
          <w:highlight w:val="none"/>
        </w:rPr>
      </w:pPr>
      <w:r>
        <w:rPr>
          <w:color w:val="auto"/>
          <w:highlight w:val="none"/>
        </w:rPr>
        <w:t>日 期：</w:t>
      </w:r>
      <w:r>
        <w:rPr>
          <w:rFonts w:ascii="Times New Roman" w:eastAsia="Times New Roman"/>
          <w:color w:val="auto"/>
          <w:highlight w:val="none"/>
          <w:u w:val="single"/>
        </w:rPr>
        <w:tab/>
      </w:r>
    </w:p>
    <w:p w14:paraId="30C12502">
      <w:pPr>
        <w:rPr>
          <w:rFonts w:ascii="黑体" w:eastAsia="黑体"/>
          <w:color w:val="auto"/>
          <w:highlight w:val="none"/>
        </w:rPr>
      </w:pPr>
      <w:bookmarkStart w:id="64" w:name="九、产品适用政府采购政策情况表（节能、环保）"/>
      <w:bookmarkEnd w:id="64"/>
      <w:r>
        <w:rPr>
          <w:rFonts w:hint="eastAsia" w:ascii="黑体" w:eastAsia="黑体"/>
          <w:color w:val="auto"/>
          <w:highlight w:val="none"/>
        </w:rPr>
        <w:br w:type="page"/>
      </w:r>
    </w:p>
    <w:p w14:paraId="7CB57BD7">
      <w:pPr>
        <w:pStyle w:val="5"/>
        <w:spacing w:line="360" w:lineRule="auto"/>
        <w:ind w:left="0" w:firstLine="562" w:firstLineChars="200"/>
        <w:jc w:val="center"/>
        <w:rPr>
          <w:rFonts w:ascii="黑体" w:eastAsia="黑体"/>
          <w:color w:val="auto"/>
          <w:highlight w:val="none"/>
        </w:rPr>
      </w:pPr>
      <w:r>
        <w:rPr>
          <w:rFonts w:hint="eastAsia" w:ascii="黑体" w:eastAsia="黑体"/>
          <w:color w:val="auto"/>
          <w:highlight w:val="none"/>
        </w:rPr>
        <w:t>九、商品包装和快递包装承诺书</w:t>
      </w:r>
    </w:p>
    <w:p w14:paraId="595CD732">
      <w:pPr>
        <w:spacing w:line="360" w:lineRule="auto"/>
        <w:ind w:firstLine="440" w:firstLineChars="200"/>
        <w:jc w:val="both"/>
        <w:rPr>
          <w:color w:val="auto"/>
          <w:highlight w:val="none"/>
        </w:rPr>
      </w:pPr>
    </w:p>
    <w:p w14:paraId="59B88F2D">
      <w:pPr>
        <w:spacing w:line="360" w:lineRule="auto"/>
        <w:ind w:firstLine="560" w:firstLineChars="200"/>
        <w:jc w:val="both"/>
        <w:rPr>
          <w:color w:val="auto"/>
          <w:sz w:val="28"/>
          <w:szCs w:val="28"/>
          <w:highlight w:val="none"/>
        </w:rPr>
      </w:pPr>
      <w:r>
        <w:rPr>
          <w:color w:val="auto"/>
          <w:sz w:val="28"/>
          <w:szCs w:val="28"/>
          <w:highlight w:val="none"/>
        </w:rPr>
        <w:t>致：</w:t>
      </w:r>
      <w:r>
        <w:rPr>
          <w:color w:val="auto"/>
          <w:sz w:val="28"/>
          <w:szCs w:val="28"/>
          <w:highlight w:val="none"/>
          <w:u w:val="single"/>
        </w:rPr>
        <w:tab/>
      </w:r>
      <w:r>
        <w:rPr>
          <w:color w:val="auto"/>
          <w:sz w:val="28"/>
          <w:szCs w:val="28"/>
          <w:highlight w:val="none"/>
          <w:u w:val="single"/>
        </w:rPr>
        <w:t>（采购人）</w:t>
      </w:r>
    </w:p>
    <w:p w14:paraId="18598E69">
      <w:pPr>
        <w:spacing w:line="360" w:lineRule="auto"/>
        <w:ind w:firstLine="560" w:firstLineChars="200"/>
        <w:jc w:val="both"/>
        <w:rPr>
          <w:color w:val="auto"/>
          <w:sz w:val="28"/>
          <w:szCs w:val="28"/>
          <w:highlight w:val="none"/>
        </w:rPr>
      </w:pPr>
      <w:r>
        <w:rPr>
          <w:color w:val="auto"/>
          <w:sz w:val="28"/>
          <w:szCs w:val="28"/>
          <w:highlight w:val="none"/>
        </w:rPr>
        <w:t>我（单位/本人，以下统称我单位）自愿参加项目（豫财招标采购-</w:t>
      </w:r>
      <w:r>
        <w:rPr>
          <w:color w:val="auto"/>
          <w:sz w:val="28"/>
          <w:szCs w:val="28"/>
          <w:highlight w:val="none"/>
          <w:u w:val="single"/>
        </w:rPr>
        <w:t xml:space="preserve"> </w:t>
      </w:r>
      <w:r>
        <w:rPr>
          <w:color w:val="auto"/>
          <w:sz w:val="28"/>
          <w:szCs w:val="28"/>
          <w:highlight w:val="none"/>
          <w:u w:val="single"/>
        </w:rPr>
        <w:tab/>
      </w:r>
      <w:r>
        <w:rPr>
          <w:color w:val="auto"/>
          <w:sz w:val="28"/>
          <w:szCs w:val="28"/>
          <w:highlight w:val="none"/>
        </w:rPr>
        <w:t>）的投标</w:t>
      </w:r>
      <w:r>
        <w:rPr>
          <w:rFonts w:hint="eastAsia"/>
          <w:color w:val="auto"/>
          <w:sz w:val="28"/>
          <w:szCs w:val="28"/>
          <w:highlight w:val="none"/>
        </w:rPr>
        <w:t>，</w:t>
      </w:r>
      <w:r>
        <w:rPr>
          <w:color w:val="auto"/>
          <w:sz w:val="28"/>
          <w:szCs w:val="28"/>
          <w:highlight w:val="none"/>
        </w:rPr>
        <w:t>并做出如下承诺：</w:t>
      </w:r>
    </w:p>
    <w:p w14:paraId="3EB91C8C">
      <w:pPr>
        <w:spacing w:line="360" w:lineRule="auto"/>
        <w:ind w:firstLine="560" w:firstLineChars="200"/>
        <w:jc w:val="both"/>
        <w:rPr>
          <w:color w:val="auto"/>
          <w:sz w:val="28"/>
          <w:szCs w:val="28"/>
          <w:highlight w:val="none"/>
        </w:rPr>
      </w:pPr>
      <w:r>
        <w:rPr>
          <w:color w:val="auto"/>
          <w:sz w:val="28"/>
          <w:szCs w:val="28"/>
          <w:highlight w:val="none"/>
        </w:rPr>
        <w:t>为助力打好污染防治攻坚战，推广使用绿色包装，我公司响应</w:t>
      </w:r>
      <w:r>
        <w:rPr>
          <w:rFonts w:hint="eastAsia"/>
          <w:color w:val="auto"/>
          <w:sz w:val="28"/>
          <w:szCs w:val="28"/>
          <w:highlight w:val="none"/>
        </w:rPr>
        <w:t>《财政部等三部门联合印发商品包装和快递包装政府采购需求标准（试行）》（</w:t>
      </w:r>
      <w:r>
        <w:rPr>
          <w:color w:val="auto"/>
          <w:sz w:val="28"/>
          <w:szCs w:val="28"/>
          <w:highlight w:val="none"/>
        </w:rPr>
        <w:t>财办库〔2020〕123号文</w:t>
      </w:r>
      <w:r>
        <w:rPr>
          <w:rFonts w:hint="eastAsia"/>
          <w:color w:val="auto"/>
          <w:sz w:val="28"/>
          <w:szCs w:val="28"/>
          <w:highlight w:val="none"/>
        </w:rPr>
        <w:t>）</w:t>
      </w:r>
      <w:r>
        <w:rPr>
          <w:color w:val="auto"/>
          <w:sz w:val="28"/>
          <w:szCs w:val="28"/>
          <w:highlight w:val="none"/>
        </w:rPr>
        <w:t>的有关规定。承诺严格按照《商品包装政府采购需求标准（试行）</w:t>
      </w:r>
      <w:r>
        <w:rPr>
          <w:rFonts w:hint="eastAsia"/>
          <w:color w:val="auto"/>
          <w:sz w:val="28"/>
          <w:szCs w:val="28"/>
          <w:highlight w:val="none"/>
        </w:rPr>
        <w:t>》《</w:t>
      </w:r>
      <w:r>
        <w:rPr>
          <w:color w:val="auto"/>
          <w:sz w:val="28"/>
          <w:szCs w:val="28"/>
          <w:highlight w:val="none"/>
        </w:rPr>
        <w:t>快递包装政府采购需求标准（试行）》的条款执行。</w:t>
      </w:r>
    </w:p>
    <w:p w14:paraId="5E890EDC">
      <w:pPr>
        <w:spacing w:line="360" w:lineRule="auto"/>
        <w:ind w:firstLine="560" w:firstLineChars="200"/>
        <w:jc w:val="both"/>
        <w:rPr>
          <w:color w:val="auto"/>
          <w:highlight w:val="none"/>
        </w:rPr>
      </w:pPr>
      <w:r>
        <w:rPr>
          <w:color w:val="auto"/>
          <w:sz w:val="28"/>
          <w:szCs w:val="28"/>
          <w:highlight w:val="none"/>
        </w:rPr>
        <w:t>我公司对以上承诺书内容的真实性负责，并承担相应的法律责任</w:t>
      </w:r>
      <w:r>
        <w:rPr>
          <w:color w:val="auto"/>
          <w:highlight w:val="none"/>
        </w:rPr>
        <w:t>。</w:t>
      </w:r>
    </w:p>
    <w:p w14:paraId="4B0BEC42">
      <w:pPr>
        <w:pStyle w:val="7"/>
        <w:tabs>
          <w:tab w:val="left" w:pos="9308"/>
        </w:tabs>
        <w:spacing w:line="360" w:lineRule="auto"/>
        <w:ind w:firstLine="560" w:firstLineChars="200"/>
        <w:jc w:val="both"/>
        <w:rPr>
          <w:color w:val="auto"/>
          <w:highlight w:val="none"/>
        </w:rPr>
      </w:pPr>
    </w:p>
    <w:p w14:paraId="23736DC1">
      <w:pPr>
        <w:pStyle w:val="7"/>
        <w:tabs>
          <w:tab w:val="left" w:pos="9308"/>
        </w:tabs>
        <w:spacing w:line="360" w:lineRule="auto"/>
        <w:ind w:firstLine="560" w:firstLineChars="200"/>
        <w:jc w:val="both"/>
        <w:rPr>
          <w:rFonts w:ascii="Times New Roman" w:eastAsia="Times New Roman"/>
          <w:color w:val="auto"/>
          <w:highlight w:val="none"/>
          <w:u w:val="single"/>
        </w:rPr>
      </w:pPr>
      <w:r>
        <w:rPr>
          <w:color w:val="auto"/>
          <w:highlight w:val="none"/>
        </w:rPr>
        <w:t>投标人（企业电子签章）：</w:t>
      </w:r>
      <w:r>
        <w:rPr>
          <w:rFonts w:ascii="Times New Roman" w:eastAsia="Times New Roman"/>
          <w:color w:val="auto"/>
          <w:highlight w:val="none"/>
          <w:u w:val="single"/>
        </w:rPr>
        <w:tab/>
      </w:r>
    </w:p>
    <w:p w14:paraId="1E464D6C">
      <w:pPr>
        <w:pStyle w:val="7"/>
        <w:tabs>
          <w:tab w:val="left" w:pos="9308"/>
        </w:tabs>
        <w:spacing w:line="360" w:lineRule="auto"/>
        <w:ind w:firstLine="560" w:firstLineChars="200"/>
        <w:jc w:val="both"/>
        <w:rPr>
          <w:rFonts w:ascii="Times New Roman" w:eastAsia="Times New Roman"/>
          <w:color w:val="auto"/>
          <w:highlight w:val="none"/>
          <w:u w:val="single"/>
        </w:rPr>
      </w:pPr>
    </w:p>
    <w:p w14:paraId="0A14E694">
      <w:pPr>
        <w:pStyle w:val="7"/>
        <w:spacing w:line="360" w:lineRule="auto"/>
        <w:ind w:firstLine="560" w:firstLineChars="200"/>
        <w:jc w:val="both"/>
        <w:rPr>
          <w:rFonts w:ascii="Times New Roman" w:eastAsia="宋体"/>
          <w:color w:val="auto"/>
          <w:highlight w:val="none"/>
        </w:rPr>
      </w:pPr>
      <w:r>
        <w:rPr>
          <w:color w:val="auto"/>
          <w:highlight w:val="none"/>
        </w:rPr>
        <w:t>日</w:t>
      </w:r>
      <w:r>
        <w:rPr>
          <w:color w:val="auto"/>
          <w:highlight w:val="none"/>
        </w:rPr>
        <w:tab/>
      </w:r>
      <w:r>
        <w:rPr>
          <w:color w:val="auto"/>
          <w:highlight w:val="none"/>
        </w:rPr>
        <w:t>期：</w:t>
      </w:r>
      <w:r>
        <w:rPr>
          <w:rFonts w:ascii="Times New Roman" w:eastAsia="Times New Roman"/>
          <w:color w:val="auto"/>
          <w:highlight w:val="none"/>
          <w:u w:val="single"/>
        </w:rPr>
        <w:tab/>
      </w:r>
      <w:r>
        <w:rPr>
          <w:rFonts w:hint="eastAsia" w:ascii="Times New Roman" w:eastAsia="宋体"/>
          <w:color w:val="auto"/>
          <w:highlight w:val="none"/>
          <w:u w:val="single"/>
        </w:rPr>
        <w:t xml:space="preserve">                                                </w:t>
      </w:r>
    </w:p>
    <w:p w14:paraId="5EDE7409">
      <w:pPr>
        <w:pStyle w:val="7"/>
        <w:spacing w:line="360" w:lineRule="auto"/>
        <w:ind w:firstLine="440" w:firstLineChars="200"/>
        <w:jc w:val="both"/>
        <w:rPr>
          <w:rFonts w:ascii="Times New Roman"/>
          <w:color w:val="auto"/>
          <w:sz w:val="22"/>
          <w:highlight w:val="none"/>
        </w:rPr>
      </w:pPr>
    </w:p>
    <w:p w14:paraId="171666EC">
      <w:pPr>
        <w:spacing w:line="360" w:lineRule="auto"/>
        <w:ind w:firstLine="480" w:firstLineChars="200"/>
        <w:jc w:val="both"/>
        <w:rPr>
          <w:color w:val="auto"/>
          <w:sz w:val="24"/>
          <w:highlight w:val="none"/>
        </w:rPr>
      </w:pPr>
      <w:r>
        <w:rPr>
          <w:color w:val="auto"/>
          <w:sz w:val="24"/>
          <w:highlight w:val="none"/>
        </w:rPr>
        <w:t>注：采购需求中要求使用绿色包装时，投标人提供此承诺书可作为评审因素予以赋分。</w:t>
      </w:r>
    </w:p>
    <w:p w14:paraId="7EAF3369">
      <w:pPr>
        <w:spacing w:line="360" w:lineRule="auto"/>
        <w:ind w:firstLine="440" w:firstLineChars="200"/>
        <w:jc w:val="both"/>
        <w:rPr>
          <w:rFonts w:ascii="黑体" w:eastAsia="黑体"/>
          <w:color w:val="auto"/>
          <w:highlight w:val="none"/>
        </w:rPr>
      </w:pPr>
      <w:r>
        <w:rPr>
          <w:rFonts w:hint="eastAsia" w:ascii="黑体" w:eastAsia="黑体"/>
          <w:color w:val="auto"/>
          <w:highlight w:val="none"/>
        </w:rPr>
        <w:br w:type="page"/>
      </w:r>
    </w:p>
    <w:p w14:paraId="22544F30">
      <w:pPr>
        <w:pStyle w:val="5"/>
        <w:spacing w:line="360" w:lineRule="auto"/>
        <w:ind w:left="0" w:firstLine="562" w:firstLineChars="200"/>
        <w:jc w:val="center"/>
        <w:rPr>
          <w:rFonts w:ascii="黑体" w:eastAsia="黑体"/>
          <w:color w:val="auto"/>
          <w:highlight w:val="none"/>
        </w:rPr>
      </w:pPr>
      <w:r>
        <w:rPr>
          <w:rFonts w:hint="eastAsia" w:ascii="黑体" w:eastAsia="黑体"/>
          <w:color w:val="auto"/>
          <w:highlight w:val="none"/>
        </w:rPr>
        <w:t>十、产品适用政府采购政策情况表（节能、环保）</w:t>
      </w:r>
    </w:p>
    <w:tbl>
      <w:tblPr>
        <w:tblStyle w:val="15"/>
        <w:tblW w:w="995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46"/>
        <w:gridCol w:w="1740"/>
        <w:gridCol w:w="1350"/>
        <w:gridCol w:w="1398"/>
        <w:gridCol w:w="1531"/>
        <w:gridCol w:w="894"/>
        <w:gridCol w:w="920"/>
        <w:gridCol w:w="1477"/>
      </w:tblGrid>
      <w:tr w14:paraId="517789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0" w:hRule="atLeast"/>
          <w:jc w:val="center"/>
        </w:trPr>
        <w:tc>
          <w:tcPr>
            <w:tcW w:w="646" w:type="dxa"/>
            <w:vMerge w:val="restart"/>
            <w:vAlign w:val="center"/>
          </w:tcPr>
          <w:p w14:paraId="176EAAA6">
            <w:pPr>
              <w:pStyle w:val="20"/>
              <w:jc w:val="center"/>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节能产品</w:t>
            </w:r>
          </w:p>
        </w:tc>
        <w:tc>
          <w:tcPr>
            <w:tcW w:w="1740" w:type="dxa"/>
            <w:vAlign w:val="center"/>
          </w:tcPr>
          <w:p w14:paraId="0B955D5A">
            <w:pPr>
              <w:pStyle w:val="20"/>
              <w:jc w:val="center"/>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1.优先采购</w:t>
            </w:r>
          </w:p>
          <w:p w14:paraId="7C2AFE43">
            <w:pPr>
              <w:pStyle w:val="20"/>
              <w:jc w:val="center"/>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产品名称</w:t>
            </w:r>
          </w:p>
        </w:tc>
        <w:tc>
          <w:tcPr>
            <w:tcW w:w="1350" w:type="dxa"/>
            <w:vAlign w:val="center"/>
          </w:tcPr>
          <w:p w14:paraId="1C0FCD23">
            <w:pPr>
              <w:pStyle w:val="20"/>
              <w:jc w:val="both"/>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品牌、型号</w:t>
            </w:r>
          </w:p>
        </w:tc>
        <w:tc>
          <w:tcPr>
            <w:tcW w:w="1398" w:type="dxa"/>
            <w:vAlign w:val="center"/>
          </w:tcPr>
          <w:p w14:paraId="253D86FE">
            <w:pPr>
              <w:pStyle w:val="20"/>
              <w:jc w:val="center"/>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制造商</w:t>
            </w:r>
          </w:p>
        </w:tc>
        <w:tc>
          <w:tcPr>
            <w:tcW w:w="1531" w:type="dxa"/>
            <w:vAlign w:val="center"/>
          </w:tcPr>
          <w:p w14:paraId="4470787E">
            <w:pPr>
              <w:pStyle w:val="20"/>
              <w:jc w:val="center"/>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认证证书编号</w:t>
            </w:r>
          </w:p>
        </w:tc>
        <w:tc>
          <w:tcPr>
            <w:tcW w:w="894" w:type="dxa"/>
            <w:vAlign w:val="center"/>
          </w:tcPr>
          <w:p w14:paraId="29CB58C9">
            <w:pPr>
              <w:pStyle w:val="20"/>
              <w:jc w:val="center"/>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数量</w:t>
            </w:r>
          </w:p>
        </w:tc>
        <w:tc>
          <w:tcPr>
            <w:tcW w:w="920" w:type="dxa"/>
            <w:vAlign w:val="center"/>
          </w:tcPr>
          <w:p w14:paraId="7919D6C8">
            <w:pPr>
              <w:pStyle w:val="20"/>
              <w:jc w:val="center"/>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单价</w:t>
            </w:r>
          </w:p>
          <w:p w14:paraId="6F51A699">
            <w:pPr>
              <w:pStyle w:val="20"/>
              <w:jc w:val="center"/>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（元）</w:t>
            </w:r>
          </w:p>
        </w:tc>
        <w:tc>
          <w:tcPr>
            <w:tcW w:w="1477" w:type="dxa"/>
            <w:vAlign w:val="center"/>
          </w:tcPr>
          <w:p w14:paraId="2A7123CF">
            <w:pPr>
              <w:pStyle w:val="20"/>
              <w:jc w:val="center"/>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合计（元）</w:t>
            </w:r>
          </w:p>
        </w:tc>
      </w:tr>
      <w:tr w14:paraId="4C5EE2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jc w:val="center"/>
        </w:trPr>
        <w:tc>
          <w:tcPr>
            <w:tcW w:w="646" w:type="dxa"/>
            <w:vMerge w:val="continue"/>
            <w:tcBorders>
              <w:top w:val="nil"/>
            </w:tcBorders>
            <w:vAlign w:val="center"/>
          </w:tcPr>
          <w:p w14:paraId="71D5658C">
            <w:pPr>
              <w:jc w:val="center"/>
              <w:rPr>
                <w:rFonts w:ascii="仿宋_GB2312" w:hAnsi="仿宋_GB2312" w:eastAsia="仿宋_GB2312" w:cs="仿宋_GB2312"/>
                <w:color w:val="auto"/>
                <w:sz w:val="24"/>
                <w:szCs w:val="24"/>
                <w:highlight w:val="none"/>
              </w:rPr>
            </w:pPr>
          </w:p>
        </w:tc>
        <w:tc>
          <w:tcPr>
            <w:tcW w:w="1740" w:type="dxa"/>
            <w:vAlign w:val="center"/>
          </w:tcPr>
          <w:p w14:paraId="22A59789">
            <w:pPr>
              <w:pStyle w:val="20"/>
              <w:jc w:val="center"/>
              <w:rPr>
                <w:rFonts w:ascii="仿宋_GB2312" w:hAnsi="仿宋_GB2312" w:eastAsia="仿宋_GB2312" w:cs="仿宋_GB2312"/>
                <w:color w:val="auto"/>
                <w:sz w:val="24"/>
                <w:szCs w:val="24"/>
                <w:highlight w:val="none"/>
              </w:rPr>
            </w:pPr>
          </w:p>
        </w:tc>
        <w:tc>
          <w:tcPr>
            <w:tcW w:w="1350" w:type="dxa"/>
            <w:vAlign w:val="center"/>
          </w:tcPr>
          <w:p w14:paraId="45B316FF">
            <w:pPr>
              <w:pStyle w:val="20"/>
              <w:jc w:val="center"/>
              <w:rPr>
                <w:rFonts w:ascii="仿宋_GB2312" w:hAnsi="仿宋_GB2312" w:eastAsia="仿宋_GB2312" w:cs="仿宋_GB2312"/>
                <w:color w:val="auto"/>
                <w:sz w:val="24"/>
                <w:szCs w:val="24"/>
                <w:highlight w:val="none"/>
              </w:rPr>
            </w:pPr>
          </w:p>
        </w:tc>
        <w:tc>
          <w:tcPr>
            <w:tcW w:w="1398" w:type="dxa"/>
            <w:vAlign w:val="center"/>
          </w:tcPr>
          <w:p w14:paraId="0285FF45">
            <w:pPr>
              <w:pStyle w:val="20"/>
              <w:jc w:val="center"/>
              <w:rPr>
                <w:rFonts w:ascii="仿宋_GB2312" w:hAnsi="仿宋_GB2312" w:eastAsia="仿宋_GB2312" w:cs="仿宋_GB2312"/>
                <w:color w:val="auto"/>
                <w:sz w:val="24"/>
                <w:szCs w:val="24"/>
                <w:highlight w:val="none"/>
              </w:rPr>
            </w:pPr>
          </w:p>
        </w:tc>
        <w:tc>
          <w:tcPr>
            <w:tcW w:w="1531" w:type="dxa"/>
            <w:vAlign w:val="center"/>
          </w:tcPr>
          <w:p w14:paraId="699EAA3E">
            <w:pPr>
              <w:pStyle w:val="20"/>
              <w:jc w:val="center"/>
              <w:rPr>
                <w:rFonts w:ascii="仿宋_GB2312" w:hAnsi="仿宋_GB2312" w:eastAsia="仿宋_GB2312" w:cs="仿宋_GB2312"/>
                <w:color w:val="auto"/>
                <w:sz w:val="24"/>
                <w:szCs w:val="24"/>
                <w:highlight w:val="none"/>
              </w:rPr>
            </w:pPr>
          </w:p>
        </w:tc>
        <w:tc>
          <w:tcPr>
            <w:tcW w:w="894" w:type="dxa"/>
            <w:vAlign w:val="center"/>
          </w:tcPr>
          <w:p w14:paraId="06F604DD">
            <w:pPr>
              <w:pStyle w:val="20"/>
              <w:jc w:val="center"/>
              <w:rPr>
                <w:rFonts w:ascii="仿宋_GB2312" w:hAnsi="仿宋_GB2312" w:eastAsia="仿宋_GB2312" w:cs="仿宋_GB2312"/>
                <w:color w:val="auto"/>
                <w:sz w:val="24"/>
                <w:szCs w:val="24"/>
                <w:highlight w:val="none"/>
              </w:rPr>
            </w:pPr>
          </w:p>
        </w:tc>
        <w:tc>
          <w:tcPr>
            <w:tcW w:w="920" w:type="dxa"/>
            <w:vAlign w:val="center"/>
          </w:tcPr>
          <w:p w14:paraId="272551D4">
            <w:pPr>
              <w:pStyle w:val="20"/>
              <w:jc w:val="center"/>
              <w:rPr>
                <w:rFonts w:ascii="仿宋_GB2312" w:hAnsi="仿宋_GB2312" w:eastAsia="仿宋_GB2312" w:cs="仿宋_GB2312"/>
                <w:color w:val="auto"/>
                <w:sz w:val="24"/>
                <w:szCs w:val="24"/>
                <w:highlight w:val="none"/>
              </w:rPr>
            </w:pPr>
          </w:p>
        </w:tc>
        <w:tc>
          <w:tcPr>
            <w:tcW w:w="1477" w:type="dxa"/>
            <w:vAlign w:val="center"/>
          </w:tcPr>
          <w:p w14:paraId="5DC0E6B0">
            <w:pPr>
              <w:pStyle w:val="20"/>
              <w:jc w:val="center"/>
              <w:rPr>
                <w:rFonts w:ascii="仿宋_GB2312" w:hAnsi="仿宋_GB2312" w:eastAsia="仿宋_GB2312" w:cs="仿宋_GB2312"/>
                <w:color w:val="auto"/>
                <w:sz w:val="24"/>
                <w:szCs w:val="24"/>
                <w:highlight w:val="none"/>
              </w:rPr>
            </w:pPr>
          </w:p>
        </w:tc>
      </w:tr>
      <w:tr w14:paraId="3FDF44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646" w:type="dxa"/>
            <w:vMerge w:val="continue"/>
            <w:tcBorders>
              <w:top w:val="nil"/>
            </w:tcBorders>
            <w:vAlign w:val="center"/>
          </w:tcPr>
          <w:p w14:paraId="6F1F610D">
            <w:pPr>
              <w:jc w:val="center"/>
              <w:rPr>
                <w:rFonts w:ascii="仿宋_GB2312" w:hAnsi="仿宋_GB2312" w:eastAsia="仿宋_GB2312" w:cs="仿宋_GB2312"/>
                <w:color w:val="auto"/>
                <w:sz w:val="24"/>
                <w:szCs w:val="24"/>
                <w:highlight w:val="none"/>
              </w:rPr>
            </w:pPr>
          </w:p>
        </w:tc>
        <w:tc>
          <w:tcPr>
            <w:tcW w:w="1740" w:type="dxa"/>
            <w:vAlign w:val="center"/>
          </w:tcPr>
          <w:p w14:paraId="21DB2A4F">
            <w:pPr>
              <w:pStyle w:val="20"/>
              <w:jc w:val="center"/>
              <w:rPr>
                <w:rFonts w:ascii="仿宋_GB2312" w:hAnsi="仿宋_GB2312" w:eastAsia="仿宋_GB2312" w:cs="仿宋_GB2312"/>
                <w:color w:val="auto"/>
                <w:sz w:val="24"/>
                <w:szCs w:val="24"/>
                <w:highlight w:val="none"/>
              </w:rPr>
            </w:pPr>
          </w:p>
        </w:tc>
        <w:tc>
          <w:tcPr>
            <w:tcW w:w="1350" w:type="dxa"/>
            <w:vAlign w:val="center"/>
          </w:tcPr>
          <w:p w14:paraId="6FF2D277">
            <w:pPr>
              <w:pStyle w:val="20"/>
              <w:jc w:val="center"/>
              <w:rPr>
                <w:rFonts w:ascii="仿宋_GB2312" w:hAnsi="仿宋_GB2312" w:eastAsia="仿宋_GB2312" w:cs="仿宋_GB2312"/>
                <w:color w:val="auto"/>
                <w:sz w:val="24"/>
                <w:szCs w:val="24"/>
                <w:highlight w:val="none"/>
              </w:rPr>
            </w:pPr>
          </w:p>
        </w:tc>
        <w:tc>
          <w:tcPr>
            <w:tcW w:w="1398" w:type="dxa"/>
            <w:vAlign w:val="center"/>
          </w:tcPr>
          <w:p w14:paraId="51812128">
            <w:pPr>
              <w:pStyle w:val="20"/>
              <w:jc w:val="center"/>
              <w:rPr>
                <w:rFonts w:ascii="仿宋_GB2312" w:hAnsi="仿宋_GB2312" w:eastAsia="仿宋_GB2312" w:cs="仿宋_GB2312"/>
                <w:color w:val="auto"/>
                <w:sz w:val="24"/>
                <w:szCs w:val="24"/>
                <w:highlight w:val="none"/>
              </w:rPr>
            </w:pPr>
          </w:p>
        </w:tc>
        <w:tc>
          <w:tcPr>
            <w:tcW w:w="1531" w:type="dxa"/>
            <w:vAlign w:val="center"/>
          </w:tcPr>
          <w:p w14:paraId="61E1D42B">
            <w:pPr>
              <w:pStyle w:val="20"/>
              <w:jc w:val="center"/>
              <w:rPr>
                <w:rFonts w:ascii="仿宋_GB2312" w:hAnsi="仿宋_GB2312" w:eastAsia="仿宋_GB2312" w:cs="仿宋_GB2312"/>
                <w:color w:val="auto"/>
                <w:sz w:val="24"/>
                <w:szCs w:val="24"/>
                <w:highlight w:val="none"/>
              </w:rPr>
            </w:pPr>
          </w:p>
        </w:tc>
        <w:tc>
          <w:tcPr>
            <w:tcW w:w="894" w:type="dxa"/>
            <w:vAlign w:val="center"/>
          </w:tcPr>
          <w:p w14:paraId="2F957141">
            <w:pPr>
              <w:pStyle w:val="20"/>
              <w:jc w:val="center"/>
              <w:rPr>
                <w:rFonts w:ascii="仿宋_GB2312" w:hAnsi="仿宋_GB2312" w:eastAsia="仿宋_GB2312" w:cs="仿宋_GB2312"/>
                <w:color w:val="auto"/>
                <w:sz w:val="24"/>
                <w:szCs w:val="24"/>
                <w:highlight w:val="none"/>
              </w:rPr>
            </w:pPr>
          </w:p>
        </w:tc>
        <w:tc>
          <w:tcPr>
            <w:tcW w:w="920" w:type="dxa"/>
            <w:vAlign w:val="center"/>
          </w:tcPr>
          <w:p w14:paraId="13269937">
            <w:pPr>
              <w:pStyle w:val="20"/>
              <w:jc w:val="center"/>
              <w:rPr>
                <w:rFonts w:ascii="仿宋_GB2312" w:hAnsi="仿宋_GB2312" w:eastAsia="仿宋_GB2312" w:cs="仿宋_GB2312"/>
                <w:color w:val="auto"/>
                <w:sz w:val="24"/>
                <w:szCs w:val="24"/>
                <w:highlight w:val="none"/>
              </w:rPr>
            </w:pPr>
          </w:p>
        </w:tc>
        <w:tc>
          <w:tcPr>
            <w:tcW w:w="1477" w:type="dxa"/>
            <w:vAlign w:val="center"/>
          </w:tcPr>
          <w:p w14:paraId="4AD09B36">
            <w:pPr>
              <w:pStyle w:val="20"/>
              <w:jc w:val="center"/>
              <w:rPr>
                <w:rFonts w:ascii="仿宋_GB2312" w:hAnsi="仿宋_GB2312" w:eastAsia="仿宋_GB2312" w:cs="仿宋_GB2312"/>
                <w:color w:val="auto"/>
                <w:sz w:val="24"/>
                <w:szCs w:val="24"/>
                <w:highlight w:val="none"/>
              </w:rPr>
            </w:pPr>
          </w:p>
        </w:tc>
      </w:tr>
      <w:tr w14:paraId="19F28E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646" w:type="dxa"/>
            <w:vMerge w:val="continue"/>
            <w:tcBorders>
              <w:top w:val="nil"/>
            </w:tcBorders>
            <w:vAlign w:val="center"/>
          </w:tcPr>
          <w:p w14:paraId="734E1373">
            <w:pPr>
              <w:jc w:val="center"/>
              <w:rPr>
                <w:rFonts w:ascii="仿宋_GB2312" w:hAnsi="仿宋_GB2312" w:eastAsia="仿宋_GB2312" w:cs="仿宋_GB2312"/>
                <w:color w:val="auto"/>
                <w:sz w:val="24"/>
                <w:szCs w:val="24"/>
                <w:highlight w:val="none"/>
              </w:rPr>
            </w:pPr>
          </w:p>
        </w:tc>
        <w:tc>
          <w:tcPr>
            <w:tcW w:w="7833" w:type="dxa"/>
            <w:gridSpan w:val="6"/>
            <w:vAlign w:val="center"/>
          </w:tcPr>
          <w:p w14:paraId="154D0C0E">
            <w:pPr>
              <w:pStyle w:val="20"/>
              <w:jc w:val="center"/>
              <w:rPr>
                <w:rFonts w:ascii="仿宋_GB2312" w:hAnsi="仿宋_GB2312" w:eastAsia="仿宋_GB2312" w:cs="仿宋_GB2312"/>
                <w:b/>
                <w:color w:val="auto"/>
                <w:sz w:val="24"/>
                <w:szCs w:val="24"/>
                <w:highlight w:val="none"/>
              </w:rPr>
            </w:pPr>
          </w:p>
          <w:p w14:paraId="47D43081">
            <w:pPr>
              <w:pStyle w:val="20"/>
              <w:jc w:val="center"/>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优先采购节能产品金额总计（元）</w:t>
            </w:r>
          </w:p>
        </w:tc>
        <w:tc>
          <w:tcPr>
            <w:tcW w:w="1477" w:type="dxa"/>
            <w:vAlign w:val="center"/>
          </w:tcPr>
          <w:p w14:paraId="3255A047">
            <w:pPr>
              <w:pStyle w:val="20"/>
              <w:jc w:val="center"/>
              <w:rPr>
                <w:rFonts w:ascii="仿宋_GB2312" w:hAnsi="仿宋_GB2312" w:eastAsia="仿宋_GB2312" w:cs="仿宋_GB2312"/>
                <w:color w:val="auto"/>
                <w:sz w:val="24"/>
                <w:szCs w:val="24"/>
                <w:highlight w:val="none"/>
              </w:rPr>
            </w:pPr>
          </w:p>
        </w:tc>
      </w:tr>
      <w:tr w14:paraId="37530B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0" w:hRule="atLeast"/>
          <w:jc w:val="center"/>
        </w:trPr>
        <w:tc>
          <w:tcPr>
            <w:tcW w:w="646" w:type="dxa"/>
            <w:vMerge w:val="continue"/>
            <w:tcBorders>
              <w:top w:val="nil"/>
            </w:tcBorders>
            <w:vAlign w:val="center"/>
          </w:tcPr>
          <w:p w14:paraId="094BBBE9">
            <w:pPr>
              <w:jc w:val="center"/>
              <w:rPr>
                <w:rFonts w:ascii="仿宋_GB2312" w:hAnsi="仿宋_GB2312" w:eastAsia="仿宋_GB2312" w:cs="仿宋_GB2312"/>
                <w:color w:val="auto"/>
                <w:sz w:val="24"/>
                <w:szCs w:val="24"/>
                <w:highlight w:val="none"/>
              </w:rPr>
            </w:pPr>
          </w:p>
        </w:tc>
        <w:tc>
          <w:tcPr>
            <w:tcW w:w="1740" w:type="dxa"/>
            <w:vAlign w:val="center"/>
          </w:tcPr>
          <w:p w14:paraId="39748960">
            <w:pPr>
              <w:pStyle w:val="20"/>
              <w:jc w:val="center"/>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2.强制采购</w:t>
            </w:r>
          </w:p>
          <w:p w14:paraId="46C6F666">
            <w:pPr>
              <w:pStyle w:val="20"/>
              <w:jc w:val="center"/>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产品名称</w:t>
            </w:r>
          </w:p>
        </w:tc>
        <w:tc>
          <w:tcPr>
            <w:tcW w:w="1350" w:type="dxa"/>
            <w:vAlign w:val="center"/>
          </w:tcPr>
          <w:p w14:paraId="23598B12">
            <w:pPr>
              <w:pStyle w:val="20"/>
              <w:jc w:val="both"/>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品牌、型号</w:t>
            </w:r>
          </w:p>
        </w:tc>
        <w:tc>
          <w:tcPr>
            <w:tcW w:w="1398" w:type="dxa"/>
            <w:vAlign w:val="center"/>
          </w:tcPr>
          <w:p w14:paraId="3D38ED8F">
            <w:pPr>
              <w:pStyle w:val="20"/>
              <w:jc w:val="center"/>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制造商</w:t>
            </w:r>
          </w:p>
        </w:tc>
        <w:tc>
          <w:tcPr>
            <w:tcW w:w="1531" w:type="dxa"/>
            <w:vAlign w:val="center"/>
          </w:tcPr>
          <w:p w14:paraId="4BFE4D62">
            <w:pPr>
              <w:pStyle w:val="20"/>
              <w:jc w:val="center"/>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认证证书编号</w:t>
            </w:r>
          </w:p>
        </w:tc>
        <w:tc>
          <w:tcPr>
            <w:tcW w:w="894" w:type="dxa"/>
            <w:vAlign w:val="center"/>
          </w:tcPr>
          <w:p w14:paraId="75EB788C">
            <w:pPr>
              <w:pStyle w:val="20"/>
              <w:jc w:val="center"/>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数量</w:t>
            </w:r>
          </w:p>
        </w:tc>
        <w:tc>
          <w:tcPr>
            <w:tcW w:w="920" w:type="dxa"/>
            <w:vAlign w:val="center"/>
          </w:tcPr>
          <w:p w14:paraId="657C8BCB">
            <w:pPr>
              <w:pStyle w:val="20"/>
              <w:jc w:val="center"/>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单价</w:t>
            </w:r>
          </w:p>
          <w:p w14:paraId="760BCB2D">
            <w:pPr>
              <w:pStyle w:val="20"/>
              <w:jc w:val="center"/>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（元）</w:t>
            </w:r>
          </w:p>
        </w:tc>
        <w:tc>
          <w:tcPr>
            <w:tcW w:w="1477" w:type="dxa"/>
            <w:vAlign w:val="center"/>
          </w:tcPr>
          <w:p w14:paraId="3D7E74C9">
            <w:pPr>
              <w:pStyle w:val="20"/>
              <w:jc w:val="center"/>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合计（元）</w:t>
            </w:r>
          </w:p>
        </w:tc>
      </w:tr>
      <w:tr w14:paraId="5AA98B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jc w:val="center"/>
        </w:trPr>
        <w:tc>
          <w:tcPr>
            <w:tcW w:w="646" w:type="dxa"/>
            <w:vMerge w:val="continue"/>
            <w:tcBorders>
              <w:top w:val="nil"/>
            </w:tcBorders>
            <w:vAlign w:val="center"/>
          </w:tcPr>
          <w:p w14:paraId="07E0941E">
            <w:pPr>
              <w:jc w:val="center"/>
              <w:rPr>
                <w:rFonts w:ascii="仿宋_GB2312" w:hAnsi="仿宋_GB2312" w:eastAsia="仿宋_GB2312" w:cs="仿宋_GB2312"/>
                <w:color w:val="auto"/>
                <w:sz w:val="24"/>
                <w:szCs w:val="24"/>
                <w:highlight w:val="none"/>
              </w:rPr>
            </w:pPr>
          </w:p>
        </w:tc>
        <w:tc>
          <w:tcPr>
            <w:tcW w:w="1740" w:type="dxa"/>
            <w:vAlign w:val="center"/>
          </w:tcPr>
          <w:p w14:paraId="4D9F0369">
            <w:pPr>
              <w:pStyle w:val="20"/>
              <w:jc w:val="center"/>
              <w:rPr>
                <w:rFonts w:ascii="仿宋_GB2312" w:hAnsi="仿宋_GB2312" w:eastAsia="仿宋_GB2312" w:cs="仿宋_GB2312"/>
                <w:color w:val="auto"/>
                <w:sz w:val="24"/>
                <w:szCs w:val="24"/>
                <w:highlight w:val="none"/>
              </w:rPr>
            </w:pPr>
          </w:p>
        </w:tc>
        <w:tc>
          <w:tcPr>
            <w:tcW w:w="1350" w:type="dxa"/>
            <w:vAlign w:val="center"/>
          </w:tcPr>
          <w:p w14:paraId="6852BC0B">
            <w:pPr>
              <w:pStyle w:val="20"/>
              <w:jc w:val="center"/>
              <w:rPr>
                <w:rFonts w:ascii="仿宋_GB2312" w:hAnsi="仿宋_GB2312" w:eastAsia="仿宋_GB2312" w:cs="仿宋_GB2312"/>
                <w:color w:val="auto"/>
                <w:sz w:val="24"/>
                <w:szCs w:val="24"/>
                <w:highlight w:val="none"/>
              </w:rPr>
            </w:pPr>
          </w:p>
        </w:tc>
        <w:tc>
          <w:tcPr>
            <w:tcW w:w="1398" w:type="dxa"/>
            <w:vAlign w:val="center"/>
          </w:tcPr>
          <w:p w14:paraId="4904D739">
            <w:pPr>
              <w:pStyle w:val="20"/>
              <w:jc w:val="center"/>
              <w:rPr>
                <w:rFonts w:ascii="仿宋_GB2312" w:hAnsi="仿宋_GB2312" w:eastAsia="仿宋_GB2312" w:cs="仿宋_GB2312"/>
                <w:color w:val="auto"/>
                <w:sz w:val="24"/>
                <w:szCs w:val="24"/>
                <w:highlight w:val="none"/>
              </w:rPr>
            </w:pPr>
          </w:p>
        </w:tc>
        <w:tc>
          <w:tcPr>
            <w:tcW w:w="1531" w:type="dxa"/>
            <w:vAlign w:val="center"/>
          </w:tcPr>
          <w:p w14:paraId="59C18EC1">
            <w:pPr>
              <w:pStyle w:val="20"/>
              <w:jc w:val="center"/>
              <w:rPr>
                <w:rFonts w:ascii="仿宋_GB2312" w:hAnsi="仿宋_GB2312" w:eastAsia="仿宋_GB2312" w:cs="仿宋_GB2312"/>
                <w:color w:val="auto"/>
                <w:sz w:val="24"/>
                <w:szCs w:val="24"/>
                <w:highlight w:val="none"/>
              </w:rPr>
            </w:pPr>
          </w:p>
        </w:tc>
        <w:tc>
          <w:tcPr>
            <w:tcW w:w="894" w:type="dxa"/>
            <w:vAlign w:val="center"/>
          </w:tcPr>
          <w:p w14:paraId="718E7546">
            <w:pPr>
              <w:pStyle w:val="20"/>
              <w:jc w:val="center"/>
              <w:rPr>
                <w:rFonts w:ascii="仿宋_GB2312" w:hAnsi="仿宋_GB2312" w:eastAsia="仿宋_GB2312" w:cs="仿宋_GB2312"/>
                <w:color w:val="auto"/>
                <w:sz w:val="24"/>
                <w:szCs w:val="24"/>
                <w:highlight w:val="none"/>
              </w:rPr>
            </w:pPr>
          </w:p>
        </w:tc>
        <w:tc>
          <w:tcPr>
            <w:tcW w:w="920" w:type="dxa"/>
            <w:vAlign w:val="center"/>
          </w:tcPr>
          <w:p w14:paraId="0136059B">
            <w:pPr>
              <w:pStyle w:val="20"/>
              <w:jc w:val="center"/>
              <w:rPr>
                <w:rFonts w:ascii="仿宋_GB2312" w:hAnsi="仿宋_GB2312" w:eastAsia="仿宋_GB2312" w:cs="仿宋_GB2312"/>
                <w:color w:val="auto"/>
                <w:sz w:val="24"/>
                <w:szCs w:val="24"/>
                <w:highlight w:val="none"/>
              </w:rPr>
            </w:pPr>
          </w:p>
        </w:tc>
        <w:tc>
          <w:tcPr>
            <w:tcW w:w="1477" w:type="dxa"/>
            <w:vAlign w:val="center"/>
          </w:tcPr>
          <w:p w14:paraId="1081B280">
            <w:pPr>
              <w:pStyle w:val="20"/>
              <w:jc w:val="center"/>
              <w:rPr>
                <w:rFonts w:ascii="仿宋_GB2312" w:hAnsi="仿宋_GB2312" w:eastAsia="仿宋_GB2312" w:cs="仿宋_GB2312"/>
                <w:color w:val="auto"/>
                <w:sz w:val="24"/>
                <w:szCs w:val="24"/>
                <w:highlight w:val="none"/>
              </w:rPr>
            </w:pPr>
          </w:p>
        </w:tc>
      </w:tr>
      <w:tr w14:paraId="24A1F1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646" w:type="dxa"/>
            <w:vMerge w:val="continue"/>
            <w:tcBorders>
              <w:top w:val="nil"/>
            </w:tcBorders>
            <w:vAlign w:val="center"/>
          </w:tcPr>
          <w:p w14:paraId="3568F320">
            <w:pPr>
              <w:jc w:val="center"/>
              <w:rPr>
                <w:rFonts w:ascii="仿宋_GB2312" w:hAnsi="仿宋_GB2312" w:eastAsia="仿宋_GB2312" w:cs="仿宋_GB2312"/>
                <w:color w:val="auto"/>
                <w:sz w:val="24"/>
                <w:szCs w:val="24"/>
                <w:highlight w:val="none"/>
              </w:rPr>
            </w:pPr>
          </w:p>
        </w:tc>
        <w:tc>
          <w:tcPr>
            <w:tcW w:w="1740" w:type="dxa"/>
            <w:vAlign w:val="center"/>
          </w:tcPr>
          <w:p w14:paraId="1643D876">
            <w:pPr>
              <w:pStyle w:val="20"/>
              <w:jc w:val="center"/>
              <w:rPr>
                <w:rFonts w:ascii="仿宋_GB2312" w:hAnsi="仿宋_GB2312" w:eastAsia="仿宋_GB2312" w:cs="仿宋_GB2312"/>
                <w:color w:val="auto"/>
                <w:sz w:val="24"/>
                <w:szCs w:val="24"/>
                <w:highlight w:val="none"/>
              </w:rPr>
            </w:pPr>
          </w:p>
        </w:tc>
        <w:tc>
          <w:tcPr>
            <w:tcW w:w="1350" w:type="dxa"/>
            <w:vAlign w:val="center"/>
          </w:tcPr>
          <w:p w14:paraId="43D3E56F">
            <w:pPr>
              <w:pStyle w:val="20"/>
              <w:jc w:val="center"/>
              <w:rPr>
                <w:rFonts w:ascii="仿宋_GB2312" w:hAnsi="仿宋_GB2312" w:eastAsia="仿宋_GB2312" w:cs="仿宋_GB2312"/>
                <w:color w:val="auto"/>
                <w:sz w:val="24"/>
                <w:szCs w:val="24"/>
                <w:highlight w:val="none"/>
              </w:rPr>
            </w:pPr>
          </w:p>
        </w:tc>
        <w:tc>
          <w:tcPr>
            <w:tcW w:w="1398" w:type="dxa"/>
            <w:vAlign w:val="center"/>
          </w:tcPr>
          <w:p w14:paraId="3315A080">
            <w:pPr>
              <w:pStyle w:val="20"/>
              <w:jc w:val="center"/>
              <w:rPr>
                <w:rFonts w:ascii="仿宋_GB2312" w:hAnsi="仿宋_GB2312" w:eastAsia="仿宋_GB2312" w:cs="仿宋_GB2312"/>
                <w:color w:val="auto"/>
                <w:sz w:val="24"/>
                <w:szCs w:val="24"/>
                <w:highlight w:val="none"/>
              </w:rPr>
            </w:pPr>
          </w:p>
        </w:tc>
        <w:tc>
          <w:tcPr>
            <w:tcW w:w="1531" w:type="dxa"/>
            <w:vAlign w:val="center"/>
          </w:tcPr>
          <w:p w14:paraId="5FBB2BC9">
            <w:pPr>
              <w:pStyle w:val="20"/>
              <w:jc w:val="center"/>
              <w:rPr>
                <w:rFonts w:ascii="仿宋_GB2312" w:hAnsi="仿宋_GB2312" w:eastAsia="仿宋_GB2312" w:cs="仿宋_GB2312"/>
                <w:color w:val="auto"/>
                <w:sz w:val="24"/>
                <w:szCs w:val="24"/>
                <w:highlight w:val="none"/>
              </w:rPr>
            </w:pPr>
          </w:p>
        </w:tc>
        <w:tc>
          <w:tcPr>
            <w:tcW w:w="894" w:type="dxa"/>
            <w:vAlign w:val="center"/>
          </w:tcPr>
          <w:p w14:paraId="2A8B9D54">
            <w:pPr>
              <w:pStyle w:val="20"/>
              <w:jc w:val="center"/>
              <w:rPr>
                <w:rFonts w:ascii="仿宋_GB2312" w:hAnsi="仿宋_GB2312" w:eastAsia="仿宋_GB2312" w:cs="仿宋_GB2312"/>
                <w:color w:val="auto"/>
                <w:sz w:val="24"/>
                <w:szCs w:val="24"/>
                <w:highlight w:val="none"/>
              </w:rPr>
            </w:pPr>
          </w:p>
        </w:tc>
        <w:tc>
          <w:tcPr>
            <w:tcW w:w="920" w:type="dxa"/>
            <w:vAlign w:val="center"/>
          </w:tcPr>
          <w:p w14:paraId="491F7B27">
            <w:pPr>
              <w:pStyle w:val="20"/>
              <w:jc w:val="center"/>
              <w:rPr>
                <w:rFonts w:ascii="仿宋_GB2312" w:hAnsi="仿宋_GB2312" w:eastAsia="仿宋_GB2312" w:cs="仿宋_GB2312"/>
                <w:color w:val="auto"/>
                <w:sz w:val="24"/>
                <w:szCs w:val="24"/>
                <w:highlight w:val="none"/>
              </w:rPr>
            </w:pPr>
          </w:p>
        </w:tc>
        <w:tc>
          <w:tcPr>
            <w:tcW w:w="1477" w:type="dxa"/>
            <w:vAlign w:val="center"/>
          </w:tcPr>
          <w:p w14:paraId="57C466A0">
            <w:pPr>
              <w:pStyle w:val="20"/>
              <w:jc w:val="center"/>
              <w:rPr>
                <w:rFonts w:ascii="仿宋_GB2312" w:hAnsi="仿宋_GB2312" w:eastAsia="仿宋_GB2312" w:cs="仿宋_GB2312"/>
                <w:color w:val="auto"/>
                <w:sz w:val="24"/>
                <w:szCs w:val="24"/>
                <w:highlight w:val="none"/>
              </w:rPr>
            </w:pPr>
          </w:p>
        </w:tc>
      </w:tr>
      <w:tr w14:paraId="4839B6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646" w:type="dxa"/>
            <w:vMerge w:val="continue"/>
            <w:tcBorders>
              <w:top w:val="nil"/>
            </w:tcBorders>
            <w:vAlign w:val="center"/>
          </w:tcPr>
          <w:p w14:paraId="73C2373E">
            <w:pPr>
              <w:jc w:val="center"/>
              <w:rPr>
                <w:rFonts w:ascii="仿宋_GB2312" w:hAnsi="仿宋_GB2312" w:eastAsia="仿宋_GB2312" w:cs="仿宋_GB2312"/>
                <w:color w:val="auto"/>
                <w:sz w:val="24"/>
                <w:szCs w:val="24"/>
                <w:highlight w:val="none"/>
              </w:rPr>
            </w:pPr>
          </w:p>
        </w:tc>
        <w:tc>
          <w:tcPr>
            <w:tcW w:w="7833" w:type="dxa"/>
            <w:gridSpan w:val="6"/>
            <w:vAlign w:val="center"/>
          </w:tcPr>
          <w:p w14:paraId="7CCE2FD8">
            <w:pPr>
              <w:pStyle w:val="20"/>
              <w:jc w:val="center"/>
              <w:rPr>
                <w:rFonts w:ascii="仿宋_GB2312" w:hAnsi="仿宋_GB2312" w:eastAsia="仿宋_GB2312" w:cs="仿宋_GB2312"/>
                <w:b/>
                <w:color w:val="auto"/>
                <w:sz w:val="24"/>
                <w:szCs w:val="24"/>
                <w:highlight w:val="none"/>
              </w:rPr>
            </w:pPr>
          </w:p>
          <w:p w14:paraId="0D0E6815">
            <w:pPr>
              <w:pStyle w:val="20"/>
              <w:jc w:val="center"/>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强制采购节能产品金额总计（元）</w:t>
            </w:r>
          </w:p>
        </w:tc>
        <w:tc>
          <w:tcPr>
            <w:tcW w:w="1477" w:type="dxa"/>
            <w:vAlign w:val="center"/>
          </w:tcPr>
          <w:p w14:paraId="7CBBB5C8">
            <w:pPr>
              <w:pStyle w:val="20"/>
              <w:jc w:val="center"/>
              <w:rPr>
                <w:rFonts w:ascii="仿宋_GB2312" w:hAnsi="仿宋_GB2312" w:eastAsia="仿宋_GB2312" w:cs="仿宋_GB2312"/>
                <w:color w:val="auto"/>
                <w:sz w:val="24"/>
                <w:szCs w:val="24"/>
                <w:highlight w:val="none"/>
              </w:rPr>
            </w:pPr>
          </w:p>
        </w:tc>
      </w:tr>
      <w:tr w14:paraId="39F25D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0" w:hRule="atLeast"/>
          <w:jc w:val="center"/>
        </w:trPr>
        <w:tc>
          <w:tcPr>
            <w:tcW w:w="646" w:type="dxa"/>
            <w:vMerge w:val="restart"/>
            <w:vAlign w:val="center"/>
          </w:tcPr>
          <w:p w14:paraId="6926240B">
            <w:pPr>
              <w:pStyle w:val="20"/>
              <w:jc w:val="center"/>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环境标志产品</w:t>
            </w:r>
          </w:p>
        </w:tc>
        <w:tc>
          <w:tcPr>
            <w:tcW w:w="1740" w:type="dxa"/>
            <w:vAlign w:val="center"/>
          </w:tcPr>
          <w:p w14:paraId="7741B0D4">
            <w:pPr>
              <w:pStyle w:val="20"/>
              <w:jc w:val="center"/>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产品名称</w:t>
            </w:r>
          </w:p>
        </w:tc>
        <w:tc>
          <w:tcPr>
            <w:tcW w:w="1350" w:type="dxa"/>
            <w:vAlign w:val="center"/>
          </w:tcPr>
          <w:p w14:paraId="1192B1A9">
            <w:pPr>
              <w:pStyle w:val="20"/>
              <w:jc w:val="both"/>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品牌、型号</w:t>
            </w:r>
          </w:p>
        </w:tc>
        <w:tc>
          <w:tcPr>
            <w:tcW w:w="1398" w:type="dxa"/>
            <w:vAlign w:val="center"/>
          </w:tcPr>
          <w:p w14:paraId="43B66D1F">
            <w:pPr>
              <w:pStyle w:val="20"/>
              <w:jc w:val="center"/>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制造商</w:t>
            </w:r>
          </w:p>
        </w:tc>
        <w:tc>
          <w:tcPr>
            <w:tcW w:w="1531" w:type="dxa"/>
            <w:vAlign w:val="center"/>
          </w:tcPr>
          <w:p w14:paraId="4885181A">
            <w:pPr>
              <w:pStyle w:val="20"/>
              <w:jc w:val="center"/>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认证证书编号</w:t>
            </w:r>
          </w:p>
        </w:tc>
        <w:tc>
          <w:tcPr>
            <w:tcW w:w="894" w:type="dxa"/>
            <w:vAlign w:val="center"/>
          </w:tcPr>
          <w:p w14:paraId="34FA6F1E">
            <w:pPr>
              <w:pStyle w:val="20"/>
              <w:jc w:val="center"/>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数量</w:t>
            </w:r>
          </w:p>
        </w:tc>
        <w:tc>
          <w:tcPr>
            <w:tcW w:w="920" w:type="dxa"/>
            <w:vAlign w:val="center"/>
          </w:tcPr>
          <w:p w14:paraId="0685AB4B">
            <w:pPr>
              <w:pStyle w:val="20"/>
              <w:jc w:val="center"/>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单价</w:t>
            </w:r>
          </w:p>
          <w:p w14:paraId="5109041B">
            <w:pPr>
              <w:pStyle w:val="20"/>
              <w:jc w:val="center"/>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（元）</w:t>
            </w:r>
          </w:p>
        </w:tc>
        <w:tc>
          <w:tcPr>
            <w:tcW w:w="1477" w:type="dxa"/>
            <w:vAlign w:val="center"/>
          </w:tcPr>
          <w:p w14:paraId="61EF71EC">
            <w:pPr>
              <w:pStyle w:val="20"/>
              <w:jc w:val="center"/>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合计（元）</w:t>
            </w:r>
          </w:p>
        </w:tc>
      </w:tr>
      <w:tr w14:paraId="3B7447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jc w:val="center"/>
        </w:trPr>
        <w:tc>
          <w:tcPr>
            <w:tcW w:w="646" w:type="dxa"/>
            <w:vMerge w:val="continue"/>
            <w:tcBorders>
              <w:top w:val="nil"/>
            </w:tcBorders>
            <w:vAlign w:val="center"/>
          </w:tcPr>
          <w:p w14:paraId="21E982C9">
            <w:pPr>
              <w:jc w:val="center"/>
              <w:rPr>
                <w:rFonts w:ascii="仿宋_GB2312" w:hAnsi="仿宋_GB2312" w:eastAsia="仿宋_GB2312" w:cs="仿宋_GB2312"/>
                <w:color w:val="auto"/>
                <w:sz w:val="24"/>
                <w:szCs w:val="24"/>
                <w:highlight w:val="none"/>
              </w:rPr>
            </w:pPr>
          </w:p>
        </w:tc>
        <w:tc>
          <w:tcPr>
            <w:tcW w:w="1740" w:type="dxa"/>
            <w:vAlign w:val="center"/>
          </w:tcPr>
          <w:p w14:paraId="164B2D8B">
            <w:pPr>
              <w:pStyle w:val="20"/>
              <w:jc w:val="center"/>
              <w:rPr>
                <w:rFonts w:ascii="仿宋_GB2312" w:hAnsi="仿宋_GB2312" w:eastAsia="仿宋_GB2312" w:cs="仿宋_GB2312"/>
                <w:color w:val="auto"/>
                <w:sz w:val="24"/>
                <w:szCs w:val="24"/>
                <w:highlight w:val="none"/>
              </w:rPr>
            </w:pPr>
          </w:p>
        </w:tc>
        <w:tc>
          <w:tcPr>
            <w:tcW w:w="1350" w:type="dxa"/>
            <w:vAlign w:val="center"/>
          </w:tcPr>
          <w:p w14:paraId="5D1EDCC6">
            <w:pPr>
              <w:pStyle w:val="20"/>
              <w:jc w:val="center"/>
              <w:rPr>
                <w:rFonts w:ascii="仿宋_GB2312" w:hAnsi="仿宋_GB2312" w:eastAsia="仿宋_GB2312" w:cs="仿宋_GB2312"/>
                <w:color w:val="auto"/>
                <w:sz w:val="24"/>
                <w:szCs w:val="24"/>
                <w:highlight w:val="none"/>
              </w:rPr>
            </w:pPr>
          </w:p>
        </w:tc>
        <w:tc>
          <w:tcPr>
            <w:tcW w:w="1398" w:type="dxa"/>
            <w:vAlign w:val="center"/>
          </w:tcPr>
          <w:p w14:paraId="04088960">
            <w:pPr>
              <w:pStyle w:val="20"/>
              <w:jc w:val="center"/>
              <w:rPr>
                <w:rFonts w:ascii="仿宋_GB2312" w:hAnsi="仿宋_GB2312" w:eastAsia="仿宋_GB2312" w:cs="仿宋_GB2312"/>
                <w:color w:val="auto"/>
                <w:sz w:val="24"/>
                <w:szCs w:val="24"/>
                <w:highlight w:val="none"/>
              </w:rPr>
            </w:pPr>
          </w:p>
        </w:tc>
        <w:tc>
          <w:tcPr>
            <w:tcW w:w="1531" w:type="dxa"/>
            <w:vAlign w:val="center"/>
          </w:tcPr>
          <w:p w14:paraId="568ADB80">
            <w:pPr>
              <w:pStyle w:val="20"/>
              <w:jc w:val="center"/>
              <w:rPr>
                <w:rFonts w:ascii="仿宋_GB2312" w:hAnsi="仿宋_GB2312" w:eastAsia="仿宋_GB2312" w:cs="仿宋_GB2312"/>
                <w:color w:val="auto"/>
                <w:sz w:val="24"/>
                <w:szCs w:val="24"/>
                <w:highlight w:val="none"/>
              </w:rPr>
            </w:pPr>
          </w:p>
        </w:tc>
        <w:tc>
          <w:tcPr>
            <w:tcW w:w="894" w:type="dxa"/>
            <w:vAlign w:val="center"/>
          </w:tcPr>
          <w:p w14:paraId="28139D1C">
            <w:pPr>
              <w:pStyle w:val="20"/>
              <w:jc w:val="center"/>
              <w:rPr>
                <w:rFonts w:ascii="仿宋_GB2312" w:hAnsi="仿宋_GB2312" w:eastAsia="仿宋_GB2312" w:cs="仿宋_GB2312"/>
                <w:color w:val="auto"/>
                <w:sz w:val="24"/>
                <w:szCs w:val="24"/>
                <w:highlight w:val="none"/>
              </w:rPr>
            </w:pPr>
          </w:p>
        </w:tc>
        <w:tc>
          <w:tcPr>
            <w:tcW w:w="920" w:type="dxa"/>
            <w:vAlign w:val="center"/>
          </w:tcPr>
          <w:p w14:paraId="137F0C52">
            <w:pPr>
              <w:pStyle w:val="20"/>
              <w:jc w:val="center"/>
              <w:rPr>
                <w:rFonts w:ascii="仿宋_GB2312" w:hAnsi="仿宋_GB2312" w:eastAsia="仿宋_GB2312" w:cs="仿宋_GB2312"/>
                <w:color w:val="auto"/>
                <w:sz w:val="24"/>
                <w:szCs w:val="24"/>
                <w:highlight w:val="none"/>
              </w:rPr>
            </w:pPr>
          </w:p>
        </w:tc>
        <w:tc>
          <w:tcPr>
            <w:tcW w:w="1477" w:type="dxa"/>
            <w:vAlign w:val="center"/>
          </w:tcPr>
          <w:p w14:paraId="0C0874C4">
            <w:pPr>
              <w:pStyle w:val="20"/>
              <w:jc w:val="center"/>
              <w:rPr>
                <w:rFonts w:ascii="仿宋_GB2312" w:hAnsi="仿宋_GB2312" w:eastAsia="仿宋_GB2312" w:cs="仿宋_GB2312"/>
                <w:color w:val="auto"/>
                <w:sz w:val="24"/>
                <w:szCs w:val="24"/>
                <w:highlight w:val="none"/>
              </w:rPr>
            </w:pPr>
          </w:p>
        </w:tc>
      </w:tr>
      <w:tr w14:paraId="101E7B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646" w:type="dxa"/>
            <w:vMerge w:val="continue"/>
            <w:tcBorders>
              <w:top w:val="nil"/>
            </w:tcBorders>
            <w:vAlign w:val="center"/>
          </w:tcPr>
          <w:p w14:paraId="76F7A523">
            <w:pPr>
              <w:jc w:val="center"/>
              <w:rPr>
                <w:rFonts w:ascii="仿宋_GB2312" w:hAnsi="仿宋_GB2312" w:eastAsia="仿宋_GB2312" w:cs="仿宋_GB2312"/>
                <w:color w:val="auto"/>
                <w:sz w:val="24"/>
                <w:szCs w:val="24"/>
                <w:highlight w:val="none"/>
              </w:rPr>
            </w:pPr>
          </w:p>
        </w:tc>
        <w:tc>
          <w:tcPr>
            <w:tcW w:w="1740" w:type="dxa"/>
            <w:vAlign w:val="center"/>
          </w:tcPr>
          <w:p w14:paraId="15871459">
            <w:pPr>
              <w:pStyle w:val="20"/>
              <w:jc w:val="center"/>
              <w:rPr>
                <w:rFonts w:ascii="仿宋_GB2312" w:hAnsi="仿宋_GB2312" w:eastAsia="仿宋_GB2312" w:cs="仿宋_GB2312"/>
                <w:color w:val="auto"/>
                <w:sz w:val="24"/>
                <w:szCs w:val="24"/>
                <w:highlight w:val="none"/>
              </w:rPr>
            </w:pPr>
          </w:p>
        </w:tc>
        <w:tc>
          <w:tcPr>
            <w:tcW w:w="1350" w:type="dxa"/>
            <w:vAlign w:val="center"/>
          </w:tcPr>
          <w:p w14:paraId="7A244BB5">
            <w:pPr>
              <w:pStyle w:val="20"/>
              <w:jc w:val="center"/>
              <w:rPr>
                <w:rFonts w:ascii="仿宋_GB2312" w:hAnsi="仿宋_GB2312" w:eastAsia="仿宋_GB2312" w:cs="仿宋_GB2312"/>
                <w:color w:val="auto"/>
                <w:sz w:val="24"/>
                <w:szCs w:val="24"/>
                <w:highlight w:val="none"/>
              </w:rPr>
            </w:pPr>
          </w:p>
        </w:tc>
        <w:tc>
          <w:tcPr>
            <w:tcW w:w="1398" w:type="dxa"/>
            <w:vAlign w:val="center"/>
          </w:tcPr>
          <w:p w14:paraId="5D79537E">
            <w:pPr>
              <w:pStyle w:val="20"/>
              <w:jc w:val="center"/>
              <w:rPr>
                <w:rFonts w:ascii="仿宋_GB2312" w:hAnsi="仿宋_GB2312" w:eastAsia="仿宋_GB2312" w:cs="仿宋_GB2312"/>
                <w:color w:val="auto"/>
                <w:sz w:val="24"/>
                <w:szCs w:val="24"/>
                <w:highlight w:val="none"/>
              </w:rPr>
            </w:pPr>
          </w:p>
        </w:tc>
        <w:tc>
          <w:tcPr>
            <w:tcW w:w="1531" w:type="dxa"/>
            <w:vAlign w:val="center"/>
          </w:tcPr>
          <w:p w14:paraId="1284E29E">
            <w:pPr>
              <w:pStyle w:val="20"/>
              <w:jc w:val="center"/>
              <w:rPr>
                <w:rFonts w:ascii="仿宋_GB2312" w:hAnsi="仿宋_GB2312" w:eastAsia="仿宋_GB2312" w:cs="仿宋_GB2312"/>
                <w:color w:val="auto"/>
                <w:sz w:val="24"/>
                <w:szCs w:val="24"/>
                <w:highlight w:val="none"/>
              </w:rPr>
            </w:pPr>
          </w:p>
        </w:tc>
        <w:tc>
          <w:tcPr>
            <w:tcW w:w="894" w:type="dxa"/>
            <w:vAlign w:val="center"/>
          </w:tcPr>
          <w:p w14:paraId="0EF672B6">
            <w:pPr>
              <w:pStyle w:val="20"/>
              <w:jc w:val="center"/>
              <w:rPr>
                <w:rFonts w:ascii="仿宋_GB2312" w:hAnsi="仿宋_GB2312" w:eastAsia="仿宋_GB2312" w:cs="仿宋_GB2312"/>
                <w:color w:val="auto"/>
                <w:sz w:val="24"/>
                <w:szCs w:val="24"/>
                <w:highlight w:val="none"/>
              </w:rPr>
            </w:pPr>
          </w:p>
        </w:tc>
        <w:tc>
          <w:tcPr>
            <w:tcW w:w="920" w:type="dxa"/>
            <w:vAlign w:val="center"/>
          </w:tcPr>
          <w:p w14:paraId="1F9B6325">
            <w:pPr>
              <w:pStyle w:val="20"/>
              <w:jc w:val="center"/>
              <w:rPr>
                <w:rFonts w:ascii="仿宋_GB2312" w:hAnsi="仿宋_GB2312" w:eastAsia="仿宋_GB2312" w:cs="仿宋_GB2312"/>
                <w:color w:val="auto"/>
                <w:sz w:val="24"/>
                <w:szCs w:val="24"/>
                <w:highlight w:val="none"/>
              </w:rPr>
            </w:pPr>
          </w:p>
        </w:tc>
        <w:tc>
          <w:tcPr>
            <w:tcW w:w="1477" w:type="dxa"/>
            <w:vAlign w:val="center"/>
          </w:tcPr>
          <w:p w14:paraId="273750AB">
            <w:pPr>
              <w:pStyle w:val="20"/>
              <w:jc w:val="center"/>
              <w:rPr>
                <w:rFonts w:ascii="仿宋_GB2312" w:hAnsi="仿宋_GB2312" w:eastAsia="仿宋_GB2312" w:cs="仿宋_GB2312"/>
                <w:color w:val="auto"/>
                <w:sz w:val="24"/>
                <w:szCs w:val="24"/>
                <w:highlight w:val="none"/>
              </w:rPr>
            </w:pPr>
          </w:p>
        </w:tc>
      </w:tr>
      <w:tr w14:paraId="35539D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6" w:hRule="atLeast"/>
          <w:jc w:val="center"/>
        </w:trPr>
        <w:tc>
          <w:tcPr>
            <w:tcW w:w="646" w:type="dxa"/>
            <w:vMerge w:val="continue"/>
            <w:tcBorders>
              <w:top w:val="nil"/>
            </w:tcBorders>
            <w:vAlign w:val="center"/>
          </w:tcPr>
          <w:p w14:paraId="7C830C59">
            <w:pPr>
              <w:jc w:val="center"/>
              <w:rPr>
                <w:rFonts w:ascii="仿宋_GB2312" w:hAnsi="仿宋_GB2312" w:eastAsia="仿宋_GB2312" w:cs="仿宋_GB2312"/>
                <w:color w:val="auto"/>
                <w:sz w:val="24"/>
                <w:szCs w:val="24"/>
                <w:highlight w:val="none"/>
              </w:rPr>
            </w:pPr>
          </w:p>
        </w:tc>
        <w:tc>
          <w:tcPr>
            <w:tcW w:w="7833" w:type="dxa"/>
            <w:gridSpan w:val="6"/>
            <w:vAlign w:val="center"/>
          </w:tcPr>
          <w:p w14:paraId="4A7DB994">
            <w:pPr>
              <w:pStyle w:val="20"/>
              <w:jc w:val="center"/>
              <w:rPr>
                <w:rFonts w:ascii="仿宋_GB2312" w:hAnsi="仿宋_GB2312" w:eastAsia="仿宋_GB2312" w:cs="仿宋_GB2312"/>
                <w:b/>
                <w:color w:val="auto"/>
                <w:sz w:val="24"/>
                <w:szCs w:val="24"/>
                <w:highlight w:val="none"/>
              </w:rPr>
            </w:pPr>
          </w:p>
          <w:p w14:paraId="5445375C">
            <w:pPr>
              <w:pStyle w:val="20"/>
              <w:jc w:val="center"/>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环境标志产品金额总计（元）</w:t>
            </w:r>
          </w:p>
        </w:tc>
        <w:tc>
          <w:tcPr>
            <w:tcW w:w="1477" w:type="dxa"/>
            <w:vAlign w:val="center"/>
          </w:tcPr>
          <w:p w14:paraId="7E69A108">
            <w:pPr>
              <w:pStyle w:val="20"/>
              <w:jc w:val="center"/>
              <w:rPr>
                <w:rFonts w:ascii="仿宋_GB2312" w:hAnsi="仿宋_GB2312" w:eastAsia="仿宋_GB2312" w:cs="仿宋_GB2312"/>
                <w:color w:val="auto"/>
                <w:sz w:val="24"/>
                <w:szCs w:val="24"/>
                <w:highlight w:val="none"/>
              </w:rPr>
            </w:pPr>
          </w:p>
        </w:tc>
      </w:tr>
    </w:tbl>
    <w:p w14:paraId="63C39482">
      <w:pPr>
        <w:pStyle w:val="7"/>
        <w:spacing w:line="360" w:lineRule="auto"/>
        <w:ind w:firstLine="422" w:firstLineChars="200"/>
        <w:jc w:val="both"/>
        <w:rPr>
          <w:rFonts w:ascii="黑体"/>
          <w:b/>
          <w:color w:val="auto"/>
          <w:sz w:val="21"/>
          <w:highlight w:val="none"/>
        </w:rPr>
      </w:pPr>
    </w:p>
    <w:p w14:paraId="61252248">
      <w:pPr>
        <w:spacing w:line="360" w:lineRule="auto"/>
        <w:ind w:firstLine="440" w:firstLineChars="200"/>
        <w:jc w:val="both"/>
        <w:rPr>
          <w:color w:val="auto"/>
          <w:highlight w:val="none"/>
        </w:rPr>
      </w:pPr>
      <w:r>
        <w:rPr>
          <w:color w:val="auto"/>
          <w:highlight w:val="none"/>
        </w:rPr>
        <w:t>（后附相关认证证书）</w:t>
      </w:r>
    </w:p>
    <w:p w14:paraId="68A102F0">
      <w:pPr>
        <w:spacing w:line="360" w:lineRule="auto"/>
        <w:ind w:firstLine="440" w:firstLineChars="200"/>
        <w:jc w:val="both"/>
        <w:rPr>
          <w:color w:val="auto"/>
          <w:highlight w:val="none"/>
        </w:rPr>
      </w:pPr>
      <w:r>
        <w:rPr>
          <w:color w:val="auto"/>
          <w:highlight w:val="none"/>
        </w:rPr>
        <w:t>填报要求：</w:t>
      </w:r>
    </w:p>
    <w:p w14:paraId="03FAA8C7">
      <w:pPr>
        <w:spacing w:line="360" w:lineRule="auto"/>
        <w:ind w:firstLine="440" w:firstLineChars="200"/>
        <w:jc w:val="both"/>
        <w:rPr>
          <w:color w:val="auto"/>
          <w:highlight w:val="none"/>
        </w:rPr>
      </w:pPr>
      <w:r>
        <w:rPr>
          <w:rFonts w:hint="eastAsia"/>
          <w:color w:val="auto"/>
          <w:highlight w:val="none"/>
        </w:rPr>
        <w:t>1.</w:t>
      </w:r>
      <w:r>
        <w:rPr>
          <w:color w:val="auto"/>
          <w:highlight w:val="none"/>
        </w:rPr>
        <w:t>请根据招标文件“第六章项目需求及技术要求”要求的节能产品类型、环境标志产品类型，填写本表。</w:t>
      </w:r>
    </w:p>
    <w:p w14:paraId="422989DF">
      <w:pPr>
        <w:spacing w:line="360" w:lineRule="auto"/>
        <w:ind w:firstLine="440" w:firstLineChars="200"/>
        <w:jc w:val="both"/>
        <w:rPr>
          <w:color w:val="auto"/>
          <w:highlight w:val="none"/>
        </w:rPr>
      </w:pPr>
      <w:r>
        <w:rPr>
          <w:rFonts w:hint="eastAsia"/>
          <w:color w:val="auto"/>
          <w:highlight w:val="none"/>
        </w:rPr>
        <w:t>2.</w:t>
      </w:r>
      <w:r>
        <w:rPr>
          <w:color w:val="auto"/>
          <w:highlight w:val="none"/>
        </w:rPr>
        <w:t>本表的产品名称和品牌、型号、金额应与《分项报价表》一致。</w:t>
      </w:r>
    </w:p>
    <w:p w14:paraId="4E9B16F6">
      <w:pPr>
        <w:spacing w:line="360" w:lineRule="auto"/>
        <w:ind w:firstLine="440" w:firstLineChars="200"/>
        <w:jc w:val="both"/>
        <w:rPr>
          <w:color w:val="auto"/>
          <w:highlight w:val="none"/>
        </w:rPr>
      </w:pPr>
      <w:r>
        <w:rPr>
          <w:rFonts w:hint="eastAsia"/>
          <w:color w:val="auto"/>
          <w:highlight w:val="none"/>
        </w:rPr>
        <w:t>3.</w:t>
      </w:r>
      <w:r>
        <w:rPr>
          <w:color w:val="auto"/>
          <w:highlight w:val="none"/>
        </w:rPr>
        <w:t>请投标人正确填写本表，所填内容和后附的节能产品和环境标志产品认证证书等证明资料将作为评审的依据。其内容或数据应与对应的证明资料相符。未填写或未正确填写本表的，所提供的对应节能、环保证明资料不予认可。</w:t>
      </w:r>
    </w:p>
    <w:p w14:paraId="2ECCCB3D">
      <w:pPr>
        <w:spacing w:line="360" w:lineRule="auto"/>
        <w:ind w:firstLine="440" w:firstLineChars="200"/>
        <w:jc w:val="both"/>
        <w:rPr>
          <w:rFonts w:ascii="黑体" w:eastAsia="黑体"/>
          <w:b/>
          <w:bCs/>
          <w:color w:val="auto"/>
          <w:highlight w:val="none"/>
        </w:rPr>
      </w:pPr>
      <w:r>
        <w:rPr>
          <w:rFonts w:hint="eastAsia"/>
          <w:color w:val="auto"/>
          <w:highlight w:val="none"/>
        </w:rPr>
        <w:t>4.</w:t>
      </w:r>
      <w:r>
        <w:rPr>
          <w:color w:val="auto"/>
          <w:highlight w:val="none"/>
        </w:rPr>
        <w:t>无适用政府采购政策产品，可不填。</w:t>
      </w:r>
    </w:p>
    <w:p w14:paraId="019D9DE8">
      <w:pPr>
        <w:spacing w:line="360" w:lineRule="auto"/>
        <w:ind w:firstLine="442" w:firstLineChars="200"/>
        <w:jc w:val="both"/>
        <w:rPr>
          <w:rFonts w:ascii="黑体" w:eastAsia="黑体"/>
          <w:b/>
          <w:bCs/>
          <w:color w:val="auto"/>
          <w:highlight w:val="none"/>
        </w:rPr>
      </w:pPr>
      <w:r>
        <w:rPr>
          <w:rFonts w:hint="eastAsia" w:ascii="黑体" w:eastAsia="黑体"/>
          <w:b/>
          <w:bCs/>
          <w:color w:val="auto"/>
          <w:highlight w:val="none"/>
        </w:rPr>
        <w:br w:type="page"/>
      </w:r>
    </w:p>
    <w:p w14:paraId="16BF9058">
      <w:pPr>
        <w:pStyle w:val="7"/>
        <w:spacing w:line="360" w:lineRule="auto"/>
        <w:ind w:firstLine="562" w:firstLineChars="200"/>
        <w:jc w:val="center"/>
        <w:rPr>
          <w:rFonts w:ascii="黑体" w:eastAsia="黑体"/>
          <w:b/>
          <w:bCs/>
          <w:color w:val="auto"/>
          <w:highlight w:val="none"/>
        </w:rPr>
      </w:pPr>
      <w:r>
        <w:rPr>
          <w:rFonts w:hint="eastAsia" w:ascii="黑体" w:eastAsia="黑体"/>
          <w:b/>
          <w:bCs/>
          <w:color w:val="auto"/>
          <w:highlight w:val="none"/>
        </w:rPr>
        <w:t>十一、关于符合本国产品标准的声明函</w:t>
      </w:r>
    </w:p>
    <w:p w14:paraId="4E114940">
      <w:pPr>
        <w:pStyle w:val="7"/>
        <w:spacing w:line="360" w:lineRule="auto"/>
        <w:ind w:firstLine="422" w:firstLineChars="200"/>
        <w:jc w:val="both"/>
        <w:rPr>
          <w:rFonts w:cs="宋体"/>
          <w:b/>
          <w:bCs/>
          <w:color w:val="auto"/>
          <w:sz w:val="21"/>
          <w:szCs w:val="21"/>
          <w:highlight w:val="none"/>
        </w:rPr>
      </w:pPr>
    </w:p>
    <w:p w14:paraId="0833F3F5">
      <w:pPr>
        <w:pStyle w:val="7"/>
        <w:spacing w:line="360" w:lineRule="auto"/>
        <w:ind w:firstLine="560" w:firstLineChars="200"/>
        <w:jc w:val="both"/>
        <w:rPr>
          <w:rFonts w:cs="宋体"/>
          <w:color w:val="auto"/>
          <w:highlight w:val="none"/>
        </w:rPr>
      </w:pPr>
      <w:r>
        <w:rPr>
          <w:rFonts w:hint="eastAsia" w:cs="宋体"/>
          <w:color w:val="auto"/>
          <w:highlight w:val="none"/>
        </w:rPr>
        <w:t>本公司（单位）郑重声明，根据《国务院办公厅关于在政府采购中实施本国产品标准及相关政策的通知》（国办发〔2025〕34号）的规定，本公司（单位）提供的以下产品属于本国产品。具体情况如下：</w:t>
      </w:r>
    </w:p>
    <w:p w14:paraId="4C22B5C0">
      <w:pPr>
        <w:pStyle w:val="7"/>
        <w:spacing w:line="360" w:lineRule="auto"/>
        <w:ind w:firstLine="560" w:firstLineChars="200"/>
        <w:jc w:val="both"/>
        <w:rPr>
          <w:rFonts w:cs="宋体"/>
          <w:color w:val="auto"/>
          <w:highlight w:val="none"/>
        </w:rPr>
      </w:pPr>
      <w:r>
        <w:rPr>
          <w:rFonts w:hint="eastAsia" w:cs="宋体"/>
          <w:color w:val="auto"/>
          <w:highlight w:val="none"/>
        </w:rPr>
        <w:t>1.</w:t>
      </w:r>
      <w:r>
        <w:rPr>
          <w:rFonts w:hint="eastAsia" w:cs="宋体"/>
          <w:color w:val="auto"/>
          <w:highlight w:val="none"/>
          <w:u w:val="single"/>
        </w:rPr>
        <w:t>（产品名称 1）</w:t>
      </w:r>
      <w:r>
        <w:rPr>
          <w:rFonts w:hint="eastAsia" w:cs="宋体"/>
          <w:color w:val="auto"/>
          <w:highlight w:val="none"/>
        </w:rPr>
        <w:t>1，生产厂为</w:t>
      </w:r>
      <w:r>
        <w:rPr>
          <w:rFonts w:hint="eastAsia" w:cs="宋体"/>
          <w:color w:val="auto"/>
          <w:highlight w:val="none"/>
          <w:u w:val="single"/>
        </w:rPr>
        <w:t>（厂名）</w:t>
      </w:r>
      <w:r>
        <w:rPr>
          <w:rFonts w:hint="eastAsia" w:cs="宋体"/>
          <w:color w:val="auto"/>
          <w:highlight w:val="none"/>
        </w:rPr>
        <w:t>2，厂址为</w:t>
      </w:r>
      <w:r>
        <w:rPr>
          <w:rFonts w:hint="eastAsia" w:cs="宋体"/>
          <w:color w:val="auto"/>
          <w:highlight w:val="none"/>
          <w:u w:val="single"/>
        </w:rPr>
        <w:t>（生产厂址）</w:t>
      </w:r>
      <w:r>
        <w:rPr>
          <w:rFonts w:hint="eastAsia" w:cs="宋体"/>
          <w:color w:val="auto"/>
          <w:highlight w:val="none"/>
        </w:rPr>
        <w:t>。</w:t>
      </w:r>
      <w:r>
        <w:rPr>
          <w:rFonts w:hint="eastAsia" w:cs="宋体"/>
          <w:color w:val="auto"/>
          <w:highlight w:val="none"/>
          <w:u w:val="single"/>
        </w:rPr>
        <w:t>（产品名称 1）</w:t>
      </w:r>
      <w:r>
        <w:rPr>
          <w:rFonts w:hint="eastAsia" w:cs="宋体"/>
          <w:color w:val="auto"/>
          <w:highlight w:val="none"/>
        </w:rPr>
        <w:t>的中国境内生产的组件成本占比≥</w:t>
      </w:r>
      <w:r>
        <w:rPr>
          <w:rFonts w:hint="eastAsia" w:cs="宋体"/>
          <w:color w:val="auto"/>
          <w:highlight w:val="none"/>
          <w:u w:val="single"/>
        </w:rPr>
        <w:t>（规定比例）</w:t>
      </w:r>
      <w:r>
        <w:rPr>
          <w:rFonts w:hint="eastAsia" w:cs="宋体"/>
          <w:color w:val="auto"/>
          <w:highlight w:val="none"/>
        </w:rPr>
        <w:t>3。</w:t>
      </w:r>
      <w:r>
        <w:rPr>
          <w:rFonts w:hint="eastAsia" w:cs="宋体"/>
          <w:color w:val="auto"/>
          <w:highlight w:val="none"/>
          <w:u w:val="single"/>
        </w:rPr>
        <w:t>（产品名称 1）</w:t>
      </w:r>
      <w:r>
        <w:rPr>
          <w:rFonts w:hint="eastAsia" w:cs="宋体"/>
          <w:color w:val="auto"/>
          <w:highlight w:val="none"/>
        </w:rPr>
        <w:t>的</w:t>
      </w:r>
      <w:r>
        <w:rPr>
          <w:rFonts w:hint="eastAsia" w:cs="宋体"/>
          <w:color w:val="auto"/>
          <w:highlight w:val="none"/>
          <w:u w:val="single"/>
        </w:rPr>
        <w:t>（关键组件）</w:t>
      </w:r>
      <w:r>
        <w:rPr>
          <w:rFonts w:hint="eastAsia" w:cs="宋体"/>
          <w:color w:val="auto"/>
          <w:highlight w:val="none"/>
        </w:rPr>
        <w:t>4 在中国境内生产。</w:t>
      </w:r>
      <w:r>
        <w:rPr>
          <w:rFonts w:hint="eastAsia" w:cs="宋体"/>
          <w:color w:val="auto"/>
          <w:highlight w:val="none"/>
          <w:u w:val="single"/>
        </w:rPr>
        <w:t>（产品名称 1）</w:t>
      </w:r>
      <w:r>
        <w:rPr>
          <w:rFonts w:hint="eastAsia" w:cs="宋体"/>
          <w:color w:val="auto"/>
          <w:highlight w:val="none"/>
        </w:rPr>
        <w:t>的</w:t>
      </w:r>
      <w:r>
        <w:rPr>
          <w:rFonts w:hint="eastAsia" w:cs="宋体"/>
          <w:color w:val="auto"/>
          <w:highlight w:val="none"/>
          <w:u w:val="single"/>
        </w:rPr>
        <w:t>（关键工序）</w:t>
      </w:r>
      <w:r>
        <w:rPr>
          <w:rFonts w:hint="eastAsia" w:cs="宋体"/>
          <w:color w:val="auto"/>
          <w:highlight w:val="none"/>
        </w:rPr>
        <w:t>5 在中国境内完成。</w:t>
      </w:r>
    </w:p>
    <w:p w14:paraId="6AA365FB">
      <w:pPr>
        <w:pStyle w:val="7"/>
        <w:spacing w:line="360" w:lineRule="auto"/>
        <w:ind w:firstLine="560" w:firstLineChars="200"/>
        <w:jc w:val="both"/>
        <w:rPr>
          <w:rFonts w:cs="宋体"/>
          <w:color w:val="auto"/>
          <w:highlight w:val="none"/>
        </w:rPr>
      </w:pPr>
      <w:r>
        <w:rPr>
          <w:rFonts w:hint="eastAsia" w:cs="宋体"/>
          <w:color w:val="auto"/>
          <w:highlight w:val="none"/>
        </w:rPr>
        <w:t>2.</w:t>
      </w:r>
      <w:r>
        <w:rPr>
          <w:rFonts w:hint="eastAsia" w:cs="宋体"/>
          <w:color w:val="auto"/>
          <w:highlight w:val="none"/>
          <w:u w:val="single"/>
        </w:rPr>
        <w:t>（产品名称 2）</w:t>
      </w:r>
      <w:r>
        <w:rPr>
          <w:rFonts w:hint="eastAsia" w:cs="宋体"/>
          <w:color w:val="auto"/>
          <w:highlight w:val="none"/>
        </w:rPr>
        <w:t>，生产厂为</w:t>
      </w:r>
      <w:r>
        <w:rPr>
          <w:rFonts w:hint="eastAsia" w:cs="宋体"/>
          <w:color w:val="auto"/>
          <w:highlight w:val="none"/>
          <w:u w:val="single"/>
        </w:rPr>
        <w:t>（厂名）</w:t>
      </w:r>
      <w:r>
        <w:rPr>
          <w:rFonts w:hint="eastAsia" w:cs="宋体"/>
          <w:color w:val="auto"/>
          <w:highlight w:val="none"/>
        </w:rPr>
        <w:t>，厂址为</w:t>
      </w:r>
      <w:r>
        <w:rPr>
          <w:rFonts w:hint="eastAsia" w:cs="宋体"/>
          <w:color w:val="auto"/>
          <w:highlight w:val="none"/>
          <w:u w:val="single"/>
        </w:rPr>
        <w:t>（生产厂址）</w:t>
      </w:r>
      <w:r>
        <w:rPr>
          <w:rFonts w:hint="eastAsia" w:cs="宋体"/>
          <w:color w:val="auto"/>
          <w:highlight w:val="none"/>
        </w:rPr>
        <w:t>。</w:t>
      </w:r>
      <w:r>
        <w:rPr>
          <w:rFonts w:hint="eastAsia" w:cs="宋体"/>
          <w:color w:val="auto"/>
          <w:highlight w:val="none"/>
          <w:u w:val="single"/>
        </w:rPr>
        <w:t>（产品名称 2）</w:t>
      </w:r>
      <w:r>
        <w:rPr>
          <w:rFonts w:hint="eastAsia" w:cs="宋体"/>
          <w:color w:val="auto"/>
          <w:highlight w:val="none"/>
        </w:rPr>
        <w:t>的中国境内生产的组件成本占比≥</w:t>
      </w:r>
      <w:r>
        <w:rPr>
          <w:rFonts w:hint="eastAsia" w:cs="宋体"/>
          <w:color w:val="auto"/>
          <w:highlight w:val="none"/>
          <w:u w:val="single"/>
        </w:rPr>
        <w:t>（规定比例）</w:t>
      </w:r>
      <w:r>
        <w:rPr>
          <w:rFonts w:hint="eastAsia" w:cs="宋体"/>
          <w:color w:val="auto"/>
          <w:highlight w:val="none"/>
        </w:rPr>
        <w:t>。</w:t>
      </w:r>
      <w:r>
        <w:rPr>
          <w:rFonts w:hint="eastAsia" w:cs="宋体"/>
          <w:color w:val="auto"/>
          <w:highlight w:val="none"/>
          <w:u w:val="single"/>
        </w:rPr>
        <w:t>（产品名称 2）</w:t>
      </w:r>
      <w:r>
        <w:rPr>
          <w:rFonts w:hint="eastAsia" w:cs="宋体"/>
          <w:color w:val="auto"/>
          <w:highlight w:val="none"/>
        </w:rPr>
        <w:t>的</w:t>
      </w:r>
      <w:r>
        <w:rPr>
          <w:rFonts w:hint="eastAsia" w:cs="宋体"/>
          <w:color w:val="auto"/>
          <w:highlight w:val="none"/>
          <w:u w:val="single"/>
        </w:rPr>
        <w:t>（关键组件）</w:t>
      </w:r>
      <w:r>
        <w:rPr>
          <w:rFonts w:hint="eastAsia" w:cs="宋体"/>
          <w:color w:val="auto"/>
          <w:highlight w:val="none"/>
        </w:rPr>
        <w:t>在中国境内生产。</w:t>
      </w:r>
      <w:r>
        <w:rPr>
          <w:rFonts w:hint="eastAsia" w:cs="宋体"/>
          <w:color w:val="auto"/>
          <w:highlight w:val="none"/>
          <w:u w:val="single"/>
        </w:rPr>
        <w:t>（产品名称 2）</w:t>
      </w:r>
      <w:r>
        <w:rPr>
          <w:rFonts w:hint="eastAsia" w:cs="宋体"/>
          <w:color w:val="auto"/>
          <w:highlight w:val="none"/>
        </w:rPr>
        <w:t>的</w:t>
      </w:r>
      <w:r>
        <w:rPr>
          <w:rFonts w:hint="eastAsia" w:cs="宋体"/>
          <w:color w:val="auto"/>
          <w:highlight w:val="none"/>
          <w:u w:val="single"/>
        </w:rPr>
        <w:t>（关键工序）</w:t>
      </w:r>
      <w:r>
        <w:rPr>
          <w:rFonts w:hint="eastAsia" w:cs="宋体"/>
          <w:color w:val="auto"/>
          <w:highlight w:val="none"/>
        </w:rPr>
        <w:t>在中国境内完成。</w:t>
      </w:r>
    </w:p>
    <w:p w14:paraId="198C4938">
      <w:pPr>
        <w:pStyle w:val="7"/>
        <w:spacing w:line="360" w:lineRule="auto"/>
        <w:ind w:firstLine="560" w:firstLineChars="200"/>
        <w:jc w:val="both"/>
        <w:rPr>
          <w:rFonts w:cs="宋体"/>
          <w:color w:val="auto"/>
          <w:highlight w:val="none"/>
        </w:rPr>
      </w:pPr>
      <w:r>
        <w:rPr>
          <w:rFonts w:hint="eastAsia" w:cs="宋体"/>
          <w:color w:val="auto"/>
          <w:highlight w:val="none"/>
        </w:rPr>
        <w:t>……</w:t>
      </w:r>
    </w:p>
    <w:p w14:paraId="35E1A690">
      <w:pPr>
        <w:pStyle w:val="7"/>
        <w:spacing w:line="360" w:lineRule="auto"/>
        <w:ind w:firstLine="560" w:firstLineChars="200"/>
        <w:jc w:val="both"/>
        <w:rPr>
          <w:rFonts w:cs="宋体"/>
          <w:color w:val="auto"/>
          <w:highlight w:val="none"/>
        </w:rPr>
      </w:pPr>
      <w:r>
        <w:rPr>
          <w:rFonts w:hint="eastAsia" w:cs="宋体"/>
          <w:color w:val="auto"/>
          <w:highlight w:val="none"/>
        </w:rPr>
        <w:t>本公司（单位）对上述声明内容的真实性负责。如有虚假，愿承担相应法律责任。</w:t>
      </w:r>
    </w:p>
    <w:p w14:paraId="2CBFA526">
      <w:pPr>
        <w:spacing w:line="360" w:lineRule="auto"/>
        <w:ind w:firstLine="560" w:firstLineChars="200"/>
        <w:jc w:val="both"/>
        <w:rPr>
          <w:rFonts w:ascii="宋体" w:hAnsi="宋体" w:cs="宋体"/>
          <w:color w:val="auto"/>
          <w:sz w:val="28"/>
          <w:szCs w:val="28"/>
          <w:highlight w:val="none"/>
        </w:rPr>
      </w:pPr>
    </w:p>
    <w:p w14:paraId="4F2F7D8B">
      <w:pPr>
        <w:pStyle w:val="7"/>
        <w:spacing w:line="360" w:lineRule="auto"/>
        <w:ind w:firstLine="560" w:firstLineChars="200"/>
        <w:jc w:val="both"/>
        <w:rPr>
          <w:rFonts w:cs="宋体"/>
          <w:color w:val="auto"/>
          <w:highlight w:val="none"/>
        </w:rPr>
      </w:pPr>
      <w:r>
        <w:rPr>
          <w:rFonts w:hint="eastAsia" w:cs="宋体"/>
          <w:color w:val="auto"/>
          <w:highlight w:val="none"/>
        </w:rPr>
        <w:t>公司（单位）名称（盖章）：</w:t>
      </w:r>
    </w:p>
    <w:p w14:paraId="6BF0160F">
      <w:pPr>
        <w:pStyle w:val="7"/>
        <w:spacing w:line="360" w:lineRule="auto"/>
        <w:ind w:firstLine="560" w:firstLineChars="200"/>
        <w:jc w:val="both"/>
        <w:rPr>
          <w:rFonts w:cs="宋体"/>
          <w:color w:val="auto"/>
          <w:highlight w:val="none"/>
        </w:rPr>
      </w:pPr>
      <w:r>
        <w:rPr>
          <w:rFonts w:hint="eastAsia" w:cs="宋体"/>
          <w:color w:val="auto"/>
          <w:highlight w:val="none"/>
        </w:rPr>
        <w:t>日期：       年    月    日</w:t>
      </w:r>
    </w:p>
    <w:p w14:paraId="748B321C">
      <w:pPr>
        <w:spacing w:line="360" w:lineRule="auto"/>
        <w:ind w:firstLine="440" w:firstLineChars="200"/>
        <w:jc w:val="both"/>
        <w:rPr>
          <w:color w:val="auto"/>
          <w:highlight w:val="none"/>
        </w:rPr>
      </w:pPr>
    </w:p>
    <w:p w14:paraId="1B0E5555">
      <w:pPr>
        <w:spacing w:line="360" w:lineRule="auto"/>
        <w:ind w:firstLine="440" w:firstLineChars="200"/>
        <w:jc w:val="both"/>
        <w:rPr>
          <w:color w:val="auto"/>
          <w:highlight w:val="none"/>
        </w:rPr>
      </w:pPr>
      <w:r>
        <w:rPr>
          <w:rFonts w:hint="eastAsia"/>
          <w:color w:val="auto"/>
          <w:highlight w:val="none"/>
        </w:rPr>
        <w:t>1.产品如有型号，请在“产品名称 ”栏一并填写。</w:t>
      </w:r>
    </w:p>
    <w:p w14:paraId="0FEC6CC8">
      <w:pPr>
        <w:spacing w:line="360" w:lineRule="auto"/>
        <w:ind w:firstLine="440" w:firstLineChars="200"/>
        <w:jc w:val="both"/>
        <w:rPr>
          <w:color w:val="auto"/>
          <w:highlight w:val="none"/>
        </w:rPr>
      </w:pPr>
      <w:r>
        <w:rPr>
          <w:rFonts w:hint="eastAsia"/>
          <w:color w:val="auto"/>
          <w:highlight w:val="none"/>
        </w:rPr>
        <w:t>2.生产厂名与厂址应与生产厂营业执照载明的相关信息保持一致。</w:t>
      </w:r>
    </w:p>
    <w:p w14:paraId="7C15F265">
      <w:pPr>
        <w:spacing w:line="360" w:lineRule="auto"/>
        <w:ind w:firstLine="440" w:firstLineChars="200"/>
        <w:jc w:val="both"/>
        <w:rPr>
          <w:color w:val="auto"/>
          <w:highlight w:val="none"/>
        </w:rPr>
      </w:pPr>
      <w:r>
        <w:rPr>
          <w:rFonts w:hint="eastAsia"/>
          <w:color w:val="auto"/>
          <w:highlight w:val="none"/>
        </w:rPr>
        <w:t>3.该产品的中国境内生产的组件成本占比相关要求实施前，“规定比例 ”栏可不填，下同。</w:t>
      </w:r>
    </w:p>
    <w:p w14:paraId="7101004E">
      <w:pPr>
        <w:spacing w:line="360" w:lineRule="auto"/>
        <w:ind w:firstLine="440" w:firstLineChars="200"/>
        <w:jc w:val="both"/>
        <w:rPr>
          <w:color w:val="auto"/>
          <w:highlight w:val="none"/>
        </w:rPr>
      </w:pPr>
      <w:r>
        <w:rPr>
          <w:rFonts w:hint="eastAsia"/>
          <w:color w:val="auto"/>
          <w:highlight w:val="none"/>
        </w:rPr>
        <w:t>4.该产品的关键组件要求实施前，“关键组件 ”栏可不填，下同。</w:t>
      </w:r>
    </w:p>
    <w:p w14:paraId="4E7594AA">
      <w:pPr>
        <w:spacing w:line="360" w:lineRule="auto"/>
        <w:ind w:firstLine="440" w:firstLineChars="200"/>
        <w:jc w:val="both"/>
        <w:rPr>
          <w:color w:val="auto"/>
          <w:highlight w:val="none"/>
        </w:rPr>
      </w:pPr>
      <w:r>
        <w:rPr>
          <w:rFonts w:hint="eastAsia"/>
          <w:color w:val="auto"/>
          <w:highlight w:val="none"/>
        </w:rPr>
        <w:t>5.该产品的关键工序要求实施前，“关键工序 ”栏可不填，下同。</w:t>
      </w:r>
    </w:p>
    <w:p w14:paraId="0FD51FFE">
      <w:pPr>
        <w:pStyle w:val="7"/>
        <w:spacing w:line="360" w:lineRule="auto"/>
        <w:ind w:firstLine="420" w:firstLineChars="200"/>
        <w:jc w:val="both"/>
        <w:rPr>
          <w:rFonts w:cs="宋体"/>
          <w:color w:val="auto"/>
          <w:sz w:val="21"/>
          <w:szCs w:val="21"/>
          <w:highlight w:val="none"/>
        </w:rPr>
      </w:pPr>
    </w:p>
    <w:p w14:paraId="5E782FC2">
      <w:pPr>
        <w:rPr>
          <w:rFonts w:hint="eastAsia" w:ascii="黑体" w:eastAsia="黑体"/>
          <w:color w:val="auto"/>
          <w:highlight w:val="none"/>
        </w:rPr>
      </w:pPr>
      <w:bookmarkStart w:id="65" w:name="十、其他文件"/>
      <w:bookmarkEnd w:id="65"/>
      <w:r>
        <w:rPr>
          <w:rFonts w:hint="eastAsia" w:ascii="黑体" w:eastAsia="黑体"/>
          <w:color w:val="auto"/>
          <w:highlight w:val="none"/>
        </w:rPr>
        <w:br w:type="page"/>
      </w:r>
    </w:p>
    <w:p w14:paraId="6D855CC1">
      <w:pPr>
        <w:pStyle w:val="5"/>
        <w:spacing w:line="360" w:lineRule="auto"/>
        <w:ind w:left="0" w:firstLine="562" w:firstLineChars="200"/>
        <w:jc w:val="center"/>
        <w:rPr>
          <w:rFonts w:ascii="黑体" w:eastAsia="黑体"/>
          <w:color w:val="auto"/>
          <w:highlight w:val="none"/>
        </w:rPr>
      </w:pPr>
      <w:r>
        <w:rPr>
          <w:rFonts w:hint="eastAsia" w:ascii="黑体" w:eastAsia="黑体"/>
          <w:color w:val="auto"/>
          <w:highlight w:val="none"/>
        </w:rPr>
        <w:t>十二、其他文件</w:t>
      </w:r>
    </w:p>
    <w:p w14:paraId="30445060">
      <w:pPr>
        <w:spacing w:line="360" w:lineRule="auto"/>
        <w:ind w:firstLine="442" w:firstLineChars="200"/>
        <w:jc w:val="both"/>
        <w:rPr>
          <w:rFonts w:ascii="黑体" w:eastAsia="黑体"/>
          <w:b/>
          <w:bCs/>
          <w:color w:val="auto"/>
          <w:highlight w:val="none"/>
        </w:rPr>
      </w:pPr>
    </w:p>
    <w:p w14:paraId="47CC3AE2">
      <w:pPr>
        <w:widowControl/>
        <w:spacing w:line="360" w:lineRule="auto"/>
        <w:ind w:firstLine="480" w:firstLineChars="200"/>
        <w:jc w:val="both"/>
        <w:rPr>
          <w:color w:val="auto"/>
          <w:sz w:val="24"/>
          <w:highlight w:val="none"/>
        </w:rPr>
      </w:pPr>
      <w:r>
        <w:rPr>
          <w:rFonts w:hint="eastAsia"/>
          <w:color w:val="auto"/>
          <w:sz w:val="24"/>
          <w:highlight w:val="none"/>
        </w:rPr>
        <w:t>1.评审所需要的技术、商务相关资料及技术证明文件，由投标人根据招标文件要求提供。</w:t>
      </w:r>
    </w:p>
    <w:p w14:paraId="00FBB8F0">
      <w:pPr>
        <w:spacing w:line="360" w:lineRule="auto"/>
        <w:ind w:firstLine="480" w:firstLineChars="200"/>
        <w:jc w:val="both"/>
        <w:rPr>
          <w:color w:val="auto"/>
          <w:sz w:val="24"/>
          <w:highlight w:val="none"/>
        </w:rPr>
      </w:pPr>
      <w:bookmarkStart w:id="66" w:name="_Toc211963803"/>
      <w:bookmarkStart w:id="67" w:name="_Toc532473517"/>
      <w:r>
        <w:rPr>
          <w:rFonts w:hint="eastAsia"/>
          <w:color w:val="auto"/>
          <w:sz w:val="24"/>
          <w:highlight w:val="none"/>
        </w:rPr>
        <w:t>2.</w:t>
      </w:r>
      <w:bookmarkEnd w:id="66"/>
      <w:bookmarkEnd w:id="67"/>
      <w:bookmarkStart w:id="68" w:name="_Toc211963804"/>
      <w:r>
        <w:rPr>
          <w:rFonts w:hint="eastAsia"/>
          <w:color w:val="auto"/>
          <w:sz w:val="24"/>
          <w:highlight w:val="none"/>
        </w:rPr>
        <w:t>投标人认为需要提供的其他相关资料</w:t>
      </w:r>
      <w:bookmarkEnd w:id="68"/>
      <w:r>
        <w:rPr>
          <w:rFonts w:hint="eastAsia"/>
          <w:color w:val="auto"/>
          <w:sz w:val="24"/>
          <w:highlight w:val="none"/>
        </w:rPr>
        <w:t>。</w:t>
      </w:r>
      <w:bookmarkStart w:id="69" w:name="第六章_项目需求及技术要求"/>
      <w:bookmarkEnd w:id="69"/>
    </w:p>
    <w:p w14:paraId="7D18E402">
      <w:pPr>
        <w:rPr>
          <w:color w:val="auto"/>
          <w:highlight w:val="none"/>
        </w:rPr>
      </w:pPr>
      <w:r>
        <w:rPr>
          <w:color w:val="auto"/>
          <w:highlight w:val="none"/>
        </w:rPr>
        <w:br w:type="page"/>
      </w:r>
    </w:p>
    <w:p w14:paraId="3EF02580">
      <w:pPr>
        <w:pStyle w:val="2"/>
        <w:spacing w:line="360" w:lineRule="auto"/>
        <w:ind w:firstLine="723" w:firstLineChars="200"/>
        <w:rPr>
          <w:rFonts w:ascii="仿宋" w:hAnsi="仿宋" w:eastAsia="仿宋" w:cs="仿宋"/>
          <w:color w:val="auto"/>
          <w:highlight w:val="none"/>
        </w:rPr>
      </w:pPr>
      <w:bookmarkStart w:id="70" w:name="_Toc20541"/>
      <w:r>
        <w:rPr>
          <w:rFonts w:hint="eastAsia" w:ascii="仿宋" w:hAnsi="仿宋" w:eastAsia="仿宋" w:cs="仿宋"/>
          <w:color w:val="auto"/>
          <w:highlight w:val="none"/>
        </w:rPr>
        <w:t>第六章 采购需求</w:t>
      </w:r>
      <w:bookmarkEnd w:id="70"/>
    </w:p>
    <w:p w14:paraId="07075913">
      <w:pPr>
        <w:pStyle w:val="5"/>
        <w:spacing w:line="360" w:lineRule="auto"/>
        <w:ind w:left="0" w:firstLine="550" w:firstLineChars="200"/>
        <w:jc w:val="both"/>
        <w:rPr>
          <w:rFonts w:asciiTheme="minorEastAsia" w:hAnsiTheme="minorEastAsia" w:cstheme="minorEastAsia"/>
          <w:color w:val="auto"/>
          <w:spacing w:val="-3"/>
          <w:highlight w:val="none"/>
        </w:rPr>
      </w:pPr>
      <w:bookmarkStart w:id="71" w:name="一、项目需求"/>
      <w:bookmarkEnd w:id="71"/>
      <w:r>
        <w:rPr>
          <w:rFonts w:hint="eastAsia" w:asciiTheme="minorEastAsia" w:hAnsiTheme="minorEastAsia" w:cstheme="minorEastAsia"/>
          <w:color w:val="auto"/>
          <w:spacing w:val="-3"/>
          <w:highlight w:val="none"/>
        </w:rPr>
        <w:t>一、采购清单</w:t>
      </w:r>
    </w:p>
    <w:tbl>
      <w:tblPr>
        <w:tblStyle w:val="15"/>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1"/>
        <w:gridCol w:w="2629"/>
        <w:gridCol w:w="1235"/>
        <w:gridCol w:w="2618"/>
        <w:gridCol w:w="2063"/>
      </w:tblGrid>
      <w:tr w14:paraId="690AF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575" w:type="pct"/>
            <w:tcBorders>
              <w:top w:val="single" w:color="auto" w:sz="4" w:space="0"/>
            </w:tcBorders>
            <w:vAlign w:val="center"/>
          </w:tcPr>
          <w:p w14:paraId="30B6BF4B">
            <w:pPr>
              <w:spacing w:line="360" w:lineRule="auto"/>
              <w:jc w:val="center"/>
              <w:rPr>
                <w:rFonts w:hint="default" w:ascii="Times New Roman" w:hAnsi="Times New Roman" w:cs="Times New Roman"/>
                <w:bCs/>
                <w:color w:val="auto"/>
                <w:sz w:val="28"/>
                <w:szCs w:val="28"/>
                <w:highlight w:val="none"/>
              </w:rPr>
            </w:pPr>
            <w:r>
              <w:rPr>
                <w:rFonts w:hint="default" w:ascii="Times New Roman" w:hAnsi="Times New Roman" w:cs="Times New Roman"/>
                <w:bCs/>
                <w:color w:val="auto"/>
                <w:sz w:val="28"/>
                <w:szCs w:val="28"/>
                <w:highlight w:val="none"/>
              </w:rPr>
              <w:t>序号</w:t>
            </w:r>
          </w:p>
        </w:tc>
        <w:tc>
          <w:tcPr>
            <w:tcW w:w="1361" w:type="pct"/>
            <w:tcBorders>
              <w:top w:val="single" w:color="auto" w:sz="4" w:space="0"/>
            </w:tcBorders>
            <w:vAlign w:val="center"/>
          </w:tcPr>
          <w:p w14:paraId="1183B19C">
            <w:pPr>
              <w:spacing w:line="360" w:lineRule="auto"/>
              <w:jc w:val="center"/>
              <w:rPr>
                <w:rFonts w:hint="default" w:ascii="Times New Roman" w:hAnsi="Times New Roman" w:cs="Times New Roman"/>
                <w:bCs/>
                <w:color w:val="auto"/>
                <w:sz w:val="28"/>
                <w:szCs w:val="28"/>
                <w:highlight w:val="none"/>
              </w:rPr>
            </w:pPr>
            <w:r>
              <w:rPr>
                <w:rFonts w:hint="default" w:ascii="Times New Roman" w:hAnsi="Times New Roman" w:cs="Times New Roman"/>
                <w:bCs/>
                <w:color w:val="auto"/>
                <w:sz w:val="28"/>
                <w:szCs w:val="28"/>
                <w:highlight w:val="none"/>
              </w:rPr>
              <w:t>设备名称</w:t>
            </w:r>
          </w:p>
        </w:tc>
        <w:tc>
          <w:tcPr>
            <w:tcW w:w="639" w:type="pct"/>
            <w:tcBorders>
              <w:top w:val="single" w:color="auto" w:sz="4" w:space="0"/>
            </w:tcBorders>
            <w:vAlign w:val="center"/>
          </w:tcPr>
          <w:p w14:paraId="65EDF597">
            <w:pPr>
              <w:spacing w:line="360" w:lineRule="auto"/>
              <w:jc w:val="center"/>
              <w:rPr>
                <w:rFonts w:hint="default" w:ascii="Times New Roman" w:hAnsi="Times New Roman" w:cs="Times New Roman"/>
                <w:bCs/>
                <w:color w:val="auto"/>
                <w:sz w:val="28"/>
                <w:szCs w:val="28"/>
                <w:highlight w:val="none"/>
              </w:rPr>
            </w:pPr>
            <w:r>
              <w:rPr>
                <w:rFonts w:hint="default" w:ascii="Times New Roman" w:hAnsi="Times New Roman" w:cs="Times New Roman"/>
                <w:bCs/>
                <w:color w:val="auto"/>
                <w:sz w:val="28"/>
                <w:szCs w:val="28"/>
                <w:highlight w:val="none"/>
              </w:rPr>
              <w:t>数量</w:t>
            </w:r>
          </w:p>
        </w:tc>
        <w:tc>
          <w:tcPr>
            <w:tcW w:w="1355" w:type="pct"/>
            <w:tcBorders>
              <w:top w:val="single" w:color="auto" w:sz="4" w:space="0"/>
            </w:tcBorders>
            <w:vAlign w:val="center"/>
          </w:tcPr>
          <w:p w14:paraId="69451B76">
            <w:pPr>
              <w:spacing w:line="360" w:lineRule="auto"/>
              <w:jc w:val="center"/>
              <w:rPr>
                <w:rFonts w:hint="default" w:ascii="Times New Roman" w:hAnsi="Times New Roman" w:cs="Times New Roman"/>
                <w:bCs/>
                <w:color w:val="auto"/>
                <w:sz w:val="28"/>
                <w:szCs w:val="28"/>
                <w:highlight w:val="none"/>
              </w:rPr>
            </w:pPr>
            <w:r>
              <w:rPr>
                <w:rFonts w:hint="default" w:ascii="Times New Roman" w:hAnsi="Times New Roman" w:cs="Times New Roman"/>
                <w:bCs/>
                <w:color w:val="auto"/>
                <w:sz w:val="28"/>
                <w:szCs w:val="28"/>
                <w:highlight w:val="none"/>
              </w:rPr>
              <w:t>是否接受进口产品</w:t>
            </w:r>
          </w:p>
        </w:tc>
        <w:tc>
          <w:tcPr>
            <w:tcW w:w="1068" w:type="pct"/>
            <w:tcBorders>
              <w:top w:val="single" w:color="auto" w:sz="4" w:space="0"/>
            </w:tcBorders>
            <w:vAlign w:val="center"/>
          </w:tcPr>
          <w:p w14:paraId="30AC5C18">
            <w:pPr>
              <w:spacing w:line="360" w:lineRule="auto"/>
              <w:jc w:val="center"/>
              <w:rPr>
                <w:rFonts w:hint="default" w:ascii="Times New Roman" w:hAnsi="Times New Roman" w:cs="Times New Roman"/>
                <w:bCs/>
                <w:color w:val="auto"/>
                <w:sz w:val="28"/>
                <w:szCs w:val="28"/>
                <w:highlight w:val="none"/>
              </w:rPr>
            </w:pPr>
            <w:r>
              <w:rPr>
                <w:rFonts w:hint="default" w:ascii="Times New Roman" w:hAnsi="Times New Roman" w:cs="Times New Roman"/>
                <w:bCs/>
                <w:color w:val="auto"/>
                <w:sz w:val="28"/>
                <w:szCs w:val="28"/>
                <w:highlight w:val="none"/>
              </w:rPr>
              <w:t>是否核心产品</w:t>
            </w:r>
          </w:p>
        </w:tc>
      </w:tr>
      <w:tr w14:paraId="00735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75" w:type="pct"/>
            <w:tcBorders>
              <w:top w:val="single" w:color="auto" w:sz="4" w:space="0"/>
            </w:tcBorders>
            <w:shd w:val="clear" w:color="auto" w:fill="auto"/>
            <w:vAlign w:val="center"/>
          </w:tcPr>
          <w:p w14:paraId="3D7775E7">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1</w:t>
            </w:r>
          </w:p>
        </w:tc>
        <w:tc>
          <w:tcPr>
            <w:tcW w:w="1361" w:type="pct"/>
            <w:tcBorders>
              <w:top w:val="single" w:color="auto" w:sz="4" w:space="0"/>
            </w:tcBorders>
            <w:shd w:val="clear" w:color="auto" w:fill="auto"/>
            <w:vAlign w:val="center"/>
          </w:tcPr>
          <w:p w14:paraId="3E24314A">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一体化智能安全防爆供气柜</w:t>
            </w:r>
          </w:p>
        </w:tc>
        <w:tc>
          <w:tcPr>
            <w:tcW w:w="639" w:type="pct"/>
            <w:tcBorders>
              <w:top w:val="single" w:color="auto" w:sz="4" w:space="0"/>
            </w:tcBorders>
            <w:shd w:val="clear" w:color="auto" w:fill="auto"/>
            <w:vAlign w:val="center"/>
          </w:tcPr>
          <w:p w14:paraId="6FC28079">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1</w:t>
            </w:r>
          </w:p>
        </w:tc>
        <w:tc>
          <w:tcPr>
            <w:tcW w:w="1355" w:type="pct"/>
            <w:tcBorders>
              <w:top w:val="single" w:color="auto" w:sz="4" w:space="0"/>
            </w:tcBorders>
            <w:shd w:val="clear" w:color="auto" w:fill="auto"/>
            <w:vAlign w:val="center"/>
          </w:tcPr>
          <w:p w14:paraId="7729B861">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否</w:t>
            </w:r>
          </w:p>
        </w:tc>
        <w:tc>
          <w:tcPr>
            <w:tcW w:w="1068" w:type="pct"/>
            <w:tcBorders>
              <w:top w:val="single" w:color="auto" w:sz="4" w:space="0"/>
            </w:tcBorders>
            <w:shd w:val="clear" w:color="auto" w:fill="auto"/>
            <w:vAlign w:val="center"/>
          </w:tcPr>
          <w:p w14:paraId="47DC0EA9">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是</w:t>
            </w:r>
          </w:p>
        </w:tc>
      </w:tr>
      <w:tr w14:paraId="63184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75" w:type="pct"/>
            <w:tcBorders>
              <w:top w:val="single" w:color="auto" w:sz="4" w:space="0"/>
            </w:tcBorders>
            <w:shd w:val="clear" w:color="auto" w:fill="auto"/>
            <w:vAlign w:val="center"/>
          </w:tcPr>
          <w:p w14:paraId="0B030E9F">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2</w:t>
            </w:r>
          </w:p>
        </w:tc>
        <w:tc>
          <w:tcPr>
            <w:tcW w:w="1361" w:type="pct"/>
            <w:tcBorders>
              <w:top w:val="single" w:color="auto" w:sz="4" w:space="0"/>
            </w:tcBorders>
            <w:shd w:val="clear" w:color="auto" w:fill="auto"/>
            <w:vAlign w:val="center"/>
          </w:tcPr>
          <w:p w14:paraId="34AE2B09">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气体泄漏联动排风系统</w:t>
            </w:r>
          </w:p>
        </w:tc>
        <w:tc>
          <w:tcPr>
            <w:tcW w:w="639" w:type="pct"/>
            <w:tcBorders>
              <w:top w:val="single" w:color="auto" w:sz="4" w:space="0"/>
            </w:tcBorders>
            <w:shd w:val="clear" w:color="auto" w:fill="auto"/>
            <w:vAlign w:val="center"/>
          </w:tcPr>
          <w:p w14:paraId="7ADAE1BA">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3</w:t>
            </w:r>
          </w:p>
        </w:tc>
        <w:tc>
          <w:tcPr>
            <w:tcW w:w="1355" w:type="pct"/>
            <w:tcBorders>
              <w:top w:val="single" w:color="auto" w:sz="4" w:space="0"/>
            </w:tcBorders>
            <w:shd w:val="clear" w:color="auto" w:fill="auto"/>
            <w:vAlign w:val="center"/>
          </w:tcPr>
          <w:p w14:paraId="5FE47CA3">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否</w:t>
            </w:r>
          </w:p>
        </w:tc>
        <w:tc>
          <w:tcPr>
            <w:tcW w:w="1068" w:type="pct"/>
            <w:tcBorders>
              <w:top w:val="single" w:color="auto" w:sz="4" w:space="0"/>
            </w:tcBorders>
            <w:shd w:val="clear" w:color="auto" w:fill="auto"/>
            <w:vAlign w:val="center"/>
          </w:tcPr>
          <w:p w14:paraId="14E8656E">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否</w:t>
            </w:r>
          </w:p>
        </w:tc>
      </w:tr>
      <w:tr w14:paraId="47D54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75" w:type="pct"/>
            <w:tcBorders>
              <w:top w:val="single" w:color="auto" w:sz="4" w:space="0"/>
            </w:tcBorders>
            <w:shd w:val="clear" w:color="auto" w:fill="auto"/>
            <w:vAlign w:val="center"/>
          </w:tcPr>
          <w:p w14:paraId="39D68E75">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3</w:t>
            </w:r>
          </w:p>
        </w:tc>
        <w:tc>
          <w:tcPr>
            <w:tcW w:w="1361" w:type="pct"/>
            <w:tcBorders>
              <w:top w:val="single" w:color="auto" w:sz="4" w:space="0"/>
            </w:tcBorders>
            <w:shd w:val="clear" w:color="auto" w:fill="auto"/>
            <w:vAlign w:val="center"/>
          </w:tcPr>
          <w:p w14:paraId="2F2755FD">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防爆开关</w:t>
            </w:r>
          </w:p>
        </w:tc>
        <w:tc>
          <w:tcPr>
            <w:tcW w:w="639" w:type="pct"/>
            <w:tcBorders>
              <w:top w:val="single" w:color="auto" w:sz="4" w:space="0"/>
            </w:tcBorders>
            <w:shd w:val="clear" w:color="auto" w:fill="auto"/>
            <w:vAlign w:val="center"/>
          </w:tcPr>
          <w:p w14:paraId="1AB7C728">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3</w:t>
            </w:r>
          </w:p>
        </w:tc>
        <w:tc>
          <w:tcPr>
            <w:tcW w:w="1355" w:type="pct"/>
            <w:tcBorders>
              <w:top w:val="single" w:color="auto" w:sz="4" w:space="0"/>
            </w:tcBorders>
            <w:shd w:val="clear" w:color="auto" w:fill="auto"/>
            <w:vAlign w:val="center"/>
          </w:tcPr>
          <w:p w14:paraId="2BCB5412">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否</w:t>
            </w:r>
          </w:p>
        </w:tc>
        <w:tc>
          <w:tcPr>
            <w:tcW w:w="1068" w:type="pct"/>
            <w:tcBorders>
              <w:top w:val="single" w:color="auto" w:sz="4" w:space="0"/>
            </w:tcBorders>
            <w:shd w:val="clear" w:color="auto" w:fill="auto"/>
            <w:vAlign w:val="center"/>
          </w:tcPr>
          <w:p w14:paraId="3364F275">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否</w:t>
            </w:r>
          </w:p>
        </w:tc>
      </w:tr>
      <w:tr w14:paraId="49833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75" w:type="pct"/>
            <w:tcBorders>
              <w:top w:val="single" w:color="auto" w:sz="4" w:space="0"/>
            </w:tcBorders>
            <w:shd w:val="clear" w:color="auto" w:fill="auto"/>
            <w:vAlign w:val="center"/>
          </w:tcPr>
          <w:p w14:paraId="03DF6984">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4</w:t>
            </w:r>
          </w:p>
        </w:tc>
        <w:tc>
          <w:tcPr>
            <w:tcW w:w="1361" w:type="pct"/>
            <w:tcBorders>
              <w:top w:val="single" w:color="auto" w:sz="4" w:space="0"/>
            </w:tcBorders>
            <w:shd w:val="clear" w:color="auto" w:fill="auto"/>
            <w:vAlign w:val="center"/>
          </w:tcPr>
          <w:p w14:paraId="1A70009A">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防爆灯</w:t>
            </w:r>
          </w:p>
        </w:tc>
        <w:tc>
          <w:tcPr>
            <w:tcW w:w="639" w:type="pct"/>
            <w:tcBorders>
              <w:top w:val="single" w:color="auto" w:sz="4" w:space="0"/>
            </w:tcBorders>
            <w:shd w:val="clear" w:color="auto" w:fill="auto"/>
            <w:vAlign w:val="center"/>
          </w:tcPr>
          <w:p w14:paraId="340DDDC0">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4</w:t>
            </w:r>
          </w:p>
        </w:tc>
        <w:tc>
          <w:tcPr>
            <w:tcW w:w="1355" w:type="pct"/>
            <w:tcBorders>
              <w:top w:val="single" w:color="auto" w:sz="4" w:space="0"/>
            </w:tcBorders>
            <w:shd w:val="clear" w:color="auto" w:fill="auto"/>
            <w:vAlign w:val="center"/>
          </w:tcPr>
          <w:p w14:paraId="3859A6AD">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否</w:t>
            </w:r>
          </w:p>
        </w:tc>
        <w:tc>
          <w:tcPr>
            <w:tcW w:w="1068" w:type="pct"/>
            <w:tcBorders>
              <w:top w:val="single" w:color="auto" w:sz="4" w:space="0"/>
            </w:tcBorders>
            <w:shd w:val="clear" w:color="auto" w:fill="auto"/>
            <w:vAlign w:val="center"/>
          </w:tcPr>
          <w:p w14:paraId="565614AB">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否</w:t>
            </w:r>
          </w:p>
        </w:tc>
      </w:tr>
      <w:tr w14:paraId="26D2D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75" w:type="pct"/>
            <w:tcBorders>
              <w:top w:val="single" w:color="auto" w:sz="4" w:space="0"/>
            </w:tcBorders>
            <w:shd w:val="clear" w:color="auto" w:fill="auto"/>
            <w:vAlign w:val="center"/>
          </w:tcPr>
          <w:p w14:paraId="5B77B9B6">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5</w:t>
            </w:r>
          </w:p>
        </w:tc>
        <w:tc>
          <w:tcPr>
            <w:tcW w:w="1361" w:type="pct"/>
            <w:tcBorders>
              <w:top w:val="single" w:color="auto" w:sz="4" w:space="0"/>
            </w:tcBorders>
            <w:shd w:val="clear" w:color="auto" w:fill="auto"/>
            <w:vAlign w:val="center"/>
          </w:tcPr>
          <w:p w14:paraId="430CEF78">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防爆温湿度检测表</w:t>
            </w:r>
          </w:p>
        </w:tc>
        <w:tc>
          <w:tcPr>
            <w:tcW w:w="639" w:type="pct"/>
            <w:tcBorders>
              <w:top w:val="single" w:color="auto" w:sz="4" w:space="0"/>
            </w:tcBorders>
            <w:shd w:val="clear" w:color="auto" w:fill="auto"/>
            <w:vAlign w:val="center"/>
          </w:tcPr>
          <w:p w14:paraId="1C78183D">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3</w:t>
            </w:r>
          </w:p>
        </w:tc>
        <w:tc>
          <w:tcPr>
            <w:tcW w:w="1355" w:type="pct"/>
            <w:tcBorders>
              <w:top w:val="single" w:color="auto" w:sz="4" w:space="0"/>
            </w:tcBorders>
            <w:shd w:val="clear" w:color="auto" w:fill="auto"/>
            <w:vAlign w:val="center"/>
          </w:tcPr>
          <w:p w14:paraId="52E14E2A">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否</w:t>
            </w:r>
          </w:p>
        </w:tc>
        <w:tc>
          <w:tcPr>
            <w:tcW w:w="1068" w:type="pct"/>
            <w:tcBorders>
              <w:top w:val="single" w:color="auto" w:sz="4" w:space="0"/>
            </w:tcBorders>
            <w:shd w:val="clear" w:color="auto" w:fill="auto"/>
            <w:vAlign w:val="center"/>
          </w:tcPr>
          <w:p w14:paraId="2ABEFD58">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否</w:t>
            </w:r>
          </w:p>
        </w:tc>
      </w:tr>
      <w:tr w14:paraId="3524B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75" w:type="pct"/>
            <w:tcBorders>
              <w:top w:val="single" w:color="auto" w:sz="4" w:space="0"/>
            </w:tcBorders>
            <w:shd w:val="clear" w:color="auto" w:fill="auto"/>
            <w:vAlign w:val="center"/>
          </w:tcPr>
          <w:p w14:paraId="6C14DE37">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6</w:t>
            </w:r>
          </w:p>
        </w:tc>
        <w:tc>
          <w:tcPr>
            <w:tcW w:w="1361" w:type="pct"/>
            <w:tcBorders>
              <w:top w:val="single" w:color="auto" w:sz="4" w:space="0"/>
            </w:tcBorders>
            <w:shd w:val="clear" w:color="auto" w:fill="auto"/>
            <w:vAlign w:val="center"/>
          </w:tcPr>
          <w:p w14:paraId="71F559A3">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静电消除设备</w:t>
            </w:r>
          </w:p>
        </w:tc>
        <w:tc>
          <w:tcPr>
            <w:tcW w:w="639" w:type="pct"/>
            <w:tcBorders>
              <w:top w:val="single" w:color="auto" w:sz="4" w:space="0"/>
            </w:tcBorders>
            <w:shd w:val="clear" w:color="auto" w:fill="auto"/>
            <w:vAlign w:val="center"/>
          </w:tcPr>
          <w:p w14:paraId="14430DDD">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3</w:t>
            </w:r>
          </w:p>
        </w:tc>
        <w:tc>
          <w:tcPr>
            <w:tcW w:w="1355" w:type="pct"/>
            <w:tcBorders>
              <w:top w:val="single" w:color="auto" w:sz="4" w:space="0"/>
            </w:tcBorders>
            <w:shd w:val="clear" w:color="auto" w:fill="auto"/>
            <w:vAlign w:val="center"/>
          </w:tcPr>
          <w:p w14:paraId="2F4DDB86">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否</w:t>
            </w:r>
          </w:p>
        </w:tc>
        <w:tc>
          <w:tcPr>
            <w:tcW w:w="1068" w:type="pct"/>
            <w:tcBorders>
              <w:top w:val="single" w:color="auto" w:sz="4" w:space="0"/>
            </w:tcBorders>
            <w:shd w:val="clear" w:color="auto" w:fill="auto"/>
            <w:vAlign w:val="center"/>
          </w:tcPr>
          <w:p w14:paraId="4908BE8E">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否</w:t>
            </w:r>
          </w:p>
        </w:tc>
      </w:tr>
      <w:tr w14:paraId="35B39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75" w:type="pct"/>
            <w:tcBorders>
              <w:top w:val="single" w:color="auto" w:sz="4" w:space="0"/>
            </w:tcBorders>
            <w:shd w:val="clear" w:color="auto" w:fill="auto"/>
            <w:vAlign w:val="center"/>
          </w:tcPr>
          <w:p w14:paraId="7F32D134">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7</w:t>
            </w:r>
          </w:p>
        </w:tc>
        <w:tc>
          <w:tcPr>
            <w:tcW w:w="1361" w:type="pct"/>
            <w:tcBorders>
              <w:top w:val="single" w:color="auto" w:sz="4" w:space="0"/>
            </w:tcBorders>
            <w:shd w:val="clear" w:color="auto" w:fill="auto"/>
            <w:vAlign w:val="center"/>
          </w:tcPr>
          <w:p w14:paraId="1A4BB9DE">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防爆视频监控系统</w:t>
            </w:r>
          </w:p>
        </w:tc>
        <w:tc>
          <w:tcPr>
            <w:tcW w:w="639" w:type="pct"/>
            <w:tcBorders>
              <w:top w:val="single" w:color="auto" w:sz="4" w:space="0"/>
            </w:tcBorders>
            <w:shd w:val="clear" w:color="auto" w:fill="auto"/>
            <w:vAlign w:val="center"/>
          </w:tcPr>
          <w:p w14:paraId="57F0FEFB">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1</w:t>
            </w:r>
          </w:p>
        </w:tc>
        <w:tc>
          <w:tcPr>
            <w:tcW w:w="1355" w:type="pct"/>
            <w:tcBorders>
              <w:top w:val="single" w:color="auto" w:sz="4" w:space="0"/>
            </w:tcBorders>
            <w:shd w:val="clear" w:color="auto" w:fill="auto"/>
            <w:vAlign w:val="center"/>
          </w:tcPr>
          <w:p w14:paraId="79C5B982">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否</w:t>
            </w:r>
          </w:p>
        </w:tc>
        <w:tc>
          <w:tcPr>
            <w:tcW w:w="1068" w:type="pct"/>
            <w:tcBorders>
              <w:top w:val="single" w:color="auto" w:sz="4" w:space="0"/>
            </w:tcBorders>
            <w:shd w:val="clear" w:color="auto" w:fill="auto"/>
            <w:vAlign w:val="center"/>
          </w:tcPr>
          <w:p w14:paraId="0D26F64D">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否</w:t>
            </w:r>
          </w:p>
        </w:tc>
      </w:tr>
      <w:tr w14:paraId="5D95A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75" w:type="pct"/>
            <w:tcBorders>
              <w:top w:val="single" w:color="auto" w:sz="4" w:space="0"/>
              <w:bottom w:val="single" w:color="auto" w:sz="4" w:space="0"/>
            </w:tcBorders>
            <w:shd w:val="clear" w:color="auto" w:fill="auto"/>
            <w:vAlign w:val="center"/>
          </w:tcPr>
          <w:p w14:paraId="58C849B3">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8</w:t>
            </w:r>
          </w:p>
        </w:tc>
        <w:tc>
          <w:tcPr>
            <w:tcW w:w="1361" w:type="pct"/>
            <w:tcBorders>
              <w:top w:val="single" w:color="auto" w:sz="4" w:space="0"/>
              <w:bottom w:val="single" w:color="auto" w:sz="4" w:space="0"/>
            </w:tcBorders>
            <w:shd w:val="clear" w:color="auto" w:fill="auto"/>
            <w:vAlign w:val="center"/>
          </w:tcPr>
          <w:p w14:paraId="1127934F">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配套消防设施</w:t>
            </w:r>
          </w:p>
        </w:tc>
        <w:tc>
          <w:tcPr>
            <w:tcW w:w="639" w:type="pct"/>
            <w:tcBorders>
              <w:top w:val="single" w:color="auto" w:sz="4" w:space="0"/>
              <w:bottom w:val="single" w:color="auto" w:sz="4" w:space="0"/>
            </w:tcBorders>
            <w:shd w:val="clear" w:color="auto" w:fill="auto"/>
            <w:vAlign w:val="center"/>
          </w:tcPr>
          <w:p w14:paraId="7A6DCD9C">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4</w:t>
            </w:r>
          </w:p>
        </w:tc>
        <w:tc>
          <w:tcPr>
            <w:tcW w:w="1355" w:type="pct"/>
            <w:tcBorders>
              <w:top w:val="single" w:color="auto" w:sz="4" w:space="0"/>
              <w:bottom w:val="single" w:color="auto" w:sz="4" w:space="0"/>
            </w:tcBorders>
            <w:shd w:val="clear" w:color="auto" w:fill="auto"/>
            <w:vAlign w:val="center"/>
          </w:tcPr>
          <w:p w14:paraId="4D0065E9">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否</w:t>
            </w:r>
          </w:p>
        </w:tc>
        <w:tc>
          <w:tcPr>
            <w:tcW w:w="1068" w:type="pct"/>
            <w:tcBorders>
              <w:top w:val="single" w:color="auto" w:sz="4" w:space="0"/>
              <w:bottom w:val="single" w:color="auto" w:sz="4" w:space="0"/>
            </w:tcBorders>
            <w:shd w:val="clear" w:color="auto" w:fill="auto"/>
            <w:vAlign w:val="center"/>
          </w:tcPr>
          <w:p w14:paraId="6F9CDD2B">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否</w:t>
            </w:r>
          </w:p>
        </w:tc>
      </w:tr>
      <w:tr w14:paraId="65A2E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75" w:type="pct"/>
            <w:tcBorders>
              <w:top w:val="single" w:color="auto" w:sz="4" w:space="0"/>
              <w:bottom w:val="single" w:color="auto" w:sz="4" w:space="0"/>
            </w:tcBorders>
            <w:shd w:val="clear" w:color="auto" w:fill="auto"/>
            <w:vAlign w:val="center"/>
          </w:tcPr>
          <w:p w14:paraId="2D8B28DD">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9</w:t>
            </w:r>
          </w:p>
        </w:tc>
        <w:tc>
          <w:tcPr>
            <w:tcW w:w="1361" w:type="pct"/>
            <w:tcBorders>
              <w:top w:val="single" w:color="auto" w:sz="4" w:space="0"/>
              <w:bottom w:val="single" w:color="auto" w:sz="4" w:space="0"/>
            </w:tcBorders>
            <w:shd w:val="clear" w:color="auto" w:fill="auto"/>
            <w:vAlign w:val="center"/>
          </w:tcPr>
          <w:p w14:paraId="2DD43E63">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专用应急柜</w:t>
            </w:r>
          </w:p>
        </w:tc>
        <w:tc>
          <w:tcPr>
            <w:tcW w:w="639" w:type="pct"/>
            <w:tcBorders>
              <w:top w:val="single" w:color="auto" w:sz="4" w:space="0"/>
              <w:bottom w:val="single" w:color="auto" w:sz="4" w:space="0"/>
            </w:tcBorders>
            <w:shd w:val="clear" w:color="auto" w:fill="auto"/>
            <w:vAlign w:val="center"/>
          </w:tcPr>
          <w:p w14:paraId="1C7823EA">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1</w:t>
            </w:r>
          </w:p>
        </w:tc>
        <w:tc>
          <w:tcPr>
            <w:tcW w:w="1355" w:type="pct"/>
            <w:tcBorders>
              <w:top w:val="single" w:color="auto" w:sz="4" w:space="0"/>
              <w:bottom w:val="single" w:color="auto" w:sz="4" w:space="0"/>
            </w:tcBorders>
            <w:shd w:val="clear" w:color="auto" w:fill="auto"/>
            <w:vAlign w:val="center"/>
          </w:tcPr>
          <w:p w14:paraId="74A8C367">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否</w:t>
            </w:r>
          </w:p>
        </w:tc>
        <w:tc>
          <w:tcPr>
            <w:tcW w:w="1068" w:type="pct"/>
            <w:tcBorders>
              <w:top w:val="single" w:color="auto" w:sz="4" w:space="0"/>
              <w:bottom w:val="single" w:color="auto" w:sz="4" w:space="0"/>
            </w:tcBorders>
            <w:shd w:val="clear" w:color="auto" w:fill="auto"/>
            <w:vAlign w:val="center"/>
          </w:tcPr>
          <w:p w14:paraId="160E9A0A">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否</w:t>
            </w:r>
          </w:p>
        </w:tc>
      </w:tr>
      <w:tr w14:paraId="6F30A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75" w:type="pct"/>
            <w:tcBorders>
              <w:top w:val="single" w:color="auto" w:sz="4" w:space="0"/>
              <w:bottom w:val="single" w:color="auto" w:sz="4" w:space="0"/>
            </w:tcBorders>
            <w:shd w:val="clear" w:color="auto" w:fill="auto"/>
            <w:vAlign w:val="center"/>
          </w:tcPr>
          <w:p w14:paraId="57445C76">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10</w:t>
            </w:r>
          </w:p>
        </w:tc>
        <w:tc>
          <w:tcPr>
            <w:tcW w:w="1361" w:type="pct"/>
            <w:tcBorders>
              <w:top w:val="single" w:color="auto" w:sz="4" w:space="0"/>
              <w:bottom w:val="single" w:color="auto" w:sz="4" w:space="0"/>
            </w:tcBorders>
            <w:shd w:val="clear" w:color="auto" w:fill="auto"/>
            <w:vAlign w:val="center"/>
          </w:tcPr>
          <w:p w14:paraId="3B00EC60">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钢瓶固定架</w:t>
            </w:r>
          </w:p>
        </w:tc>
        <w:tc>
          <w:tcPr>
            <w:tcW w:w="639" w:type="pct"/>
            <w:tcBorders>
              <w:top w:val="single" w:color="auto" w:sz="4" w:space="0"/>
              <w:bottom w:val="single" w:color="auto" w:sz="4" w:space="0"/>
            </w:tcBorders>
            <w:shd w:val="clear" w:color="auto" w:fill="auto"/>
            <w:vAlign w:val="center"/>
          </w:tcPr>
          <w:p w14:paraId="1AD98332">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84</w:t>
            </w:r>
          </w:p>
        </w:tc>
        <w:tc>
          <w:tcPr>
            <w:tcW w:w="1355" w:type="pct"/>
            <w:tcBorders>
              <w:top w:val="single" w:color="auto" w:sz="4" w:space="0"/>
              <w:bottom w:val="single" w:color="auto" w:sz="4" w:space="0"/>
            </w:tcBorders>
            <w:shd w:val="clear" w:color="auto" w:fill="auto"/>
            <w:vAlign w:val="center"/>
          </w:tcPr>
          <w:p w14:paraId="7EC8103E">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否</w:t>
            </w:r>
          </w:p>
        </w:tc>
        <w:tc>
          <w:tcPr>
            <w:tcW w:w="1068" w:type="pct"/>
            <w:tcBorders>
              <w:top w:val="single" w:color="auto" w:sz="4" w:space="0"/>
              <w:bottom w:val="single" w:color="auto" w:sz="4" w:space="0"/>
            </w:tcBorders>
            <w:shd w:val="clear" w:color="auto" w:fill="auto"/>
            <w:vAlign w:val="center"/>
          </w:tcPr>
          <w:p w14:paraId="6E6BEA16">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否</w:t>
            </w:r>
          </w:p>
        </w:tc>
      </w:tr>
      <w:tr w14:paraId="7E247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75" w:type="pct"/>
            <w:tcBorders>
              <w:top w:val="single" w:color="auto" w:sz="4" w:space="0"/>
              <w:bottom w:val="single" w:color="auto" w:sz="4" w:space="0"/>
            </w:tcBorders>
            <w:shd w:val="clear" w:color="auto" w:fill="auto"/>
            <w:vAlign w:val="center"/>
          </w:tcPr>
          <w:p w14:paraId="47E617C2">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11</w:t>
            </w:r>
          </w:p>
        </w:tc>
        <w:tc>
          <w:tcPr>
            <w:tcW w:w="1361" w:type="pct"/>
            <w:tcBorders>
              <w:top w:val="single" w:color="auto" w:sz="4" w:space="0"/>
              <w:bottom w:val="single" w:color="auto" w:sz="4" w:space="0"/>
            </w:tcBorders>
            <w:shd w:val="clear" w:color="auto" w:fill="auto"/>
            <w:vAlign w:val="center"/>
          </w:tcPr>
          <w:p w14:paraId="3E3CFAAF">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钢瓶接头</w:t>
            </w:r>
          </w:p>
        </w:tc>
        <w:tc>
          <w:tcPr>
            <w:tcW w:w="639" w:type="pct"/>
            <w:tcBorders>
              <w:top w:val="single" w:color="auto" w:sz="4" w:space="0"/>
              <w:bottom w:val="single" w:color="auto" w:sz="4" w:space="0"/>
            </w:tcBorders>
            <w:shd w:val="clear" w:color="auto" w:fill="auto"/>
            <w:vAlign w:val="center"/>
          </w:tcPr>
          <w:p w14:paraId="6A75CC96">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51</w:t>
            </w:r>
          </w:p>
        </w:tc>
        <w:tc>
          <w:tcPr>
            <w:tcW w:w="1355" w:type="pct"/>
            <w:tcBorders>
              <w:top w:val="single" w:color="auto" w:sz="4" w:space="0"/>
              <w:bottom w:val="single" w:color="auto" w:sz="4" w:space="0"/>
            </w:tcBorders>
            <w:shd w:val="clear" w:color="auto" w:fill="auto"/>
            <w:vAlign w:val="center"/>
          </w:tcPr>
          <w:p w14:paraId="327190BF">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否</w:t>
            </w:r>
          </w:p>
        </w:tc>
        <w:tc>
          <w:tcPr>
            <w:tcW w:w="1068" w:type="pct"/>
            <w:tcBorders>
              <w:top w:val="single" w:color="auto" w:sz="4" w:space="0"/>
              <w:bottom w:val="single" w:color="auto" w:sz="4" w:space="0"/>
            </w:tcBorders>
            <w:shd w:val="clear" w:color="auto" w:fill="auto"/>
            <w:vAlign w:val="center"/>
          </w:tcPr>
          <w:p w14:paraId="01E99A39">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否</w:t>
            </w:r>
          </w:p>
        </w:tc>
      </w:tr>
      <w:tr w14:paraId="12E66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75" w:type="pct"/>
            <w:tcBorders>
              <w:top w:val="single" w:color="auto" w:sz="4" w:space="0"/>
              <w:bottom w:val="single" w:color="auto" w:sz="4" w:space="0"/>
            </w:tcBorders>
            <w:shd w:val="clear" w:color="auto" w:fill="auto"/>
            <w:vAlign w:val="center"/>
          </w:tcPr>
          <w:p w14:paraId="432AD99C">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12</w:t>
            </w:r>
          </w:p>
        </w:tc>
        <w:tc>
          <w:tcPr>
            <w:tcW w:w="1361" w:type="pct"/>
            <w:tcBorders>
              <w:top w:val="single" w:color="auto" w:sz="4" w:space="0"/>
              <w:bottom w:val="single" w:color="auto" w:sz="4" w:space="0"/>
            </w:tcBorders>
            <w:shd w:val="clear" w:color="auto" w:fill="auto"/>
            <w:vAlign w:val="center"/>
          </w:tcPr>
          <w:p w14:paraId="4FC5128D">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单向阀</w:t>
            </w:r>
          </w:p>
        </w:tc>
        <w:tc>
          <w:tcPr>
            <w:tcW w:w="639" w:type="pct"/>
            <w:tcBorders>
              <w:top w:val="single" w:color="auto" w:sz="4" w:space="0"/>
              <w:bottom w:val="single" w:color="auto" w:sz="4" w:space="0"/>
            </w:tcBorders>
            <w:shd w:val="clear" w:color="auto" w:fill="auto"/>
            <w:vAlign w:val="center"/>
          </w:tcPr>
          <w:p w14:paraId="5DC2D9CA">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8</w:t>
            </w:r>
          </w:p>
        </w:tc>
        <w:tc>
          <w:tcPr>
            <w:tcW w:w="1355" w:type="pct"/>
            <w:tcBorders>
              <w:top w:val="single" w:color="auto" w:sz="4" w:space="0"/>
              <w:bottom w:val="single" w:color="auto" w:sz="4" w:space="0"/>
            </w:tcBorders>
            <w:shd w:val="clear" w:color="auto" w:fill="auto"/>
            <w:vAlign w:val="center"/>
          </w:tcPr>
          <w:p w14:paraId="28E3C3CF">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否</w:t>
            </w:r>
          </w:p>
        </w:tc>
        <w:tc>
          <w:tcPr>
            <w:tcW w:w="1068" w:type="pct"/>
            <w:tcBorders>
              <w:top w:val="single" w:color="auto" w:sz="4" w:space="0"/>
              <w:bottom w:val="single" w:color="auto" w:sz="4" w:space="0"/>
            </w:tcBorders>
            <w:shd w:val="clear" w:color="auto" w:fill="auto"/>
            <w:vAlign w:val="center"/>
          </w:tcPr>
          <w:p w14:paraId="0BED750D">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否</w:t>
            </w:r>
          </w:p>
        </w:tc>
      </w:tr>
      <w:tr w14:paraId="4F5F7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75" w:type="pct"/>
            <w:tcBorders>
              <w:top w:val="single" w:color="auto" w:sz="4" w:space="0"/>
              <w:bottom w:val="single" w:color="auto" w:sz="4" w:space="0"/>
            </w:tcBorders>
            <w:shd w:val="clear" w:color="auto" w:fill="auto"/>
            <w:vAlign w:val="center"/>
          </w:tcPr>
          <w:p w14:paraId="43462EBB">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13</w:t>
            </w:r>
          </w:p>
        </w:tc>
        <w:tc>
          <w:tcPr>
            <w:tcW w:w="1361" w:type="pct"/>
            <w:tcBorders>
              <w:top w:val="single" w:color="auto" w:sz="4" w:space="0"/>
              <w:bottom w:val="single" w:color="auto" w:sz="4" w:space="0"/>
            </w:tcBorders>
            <w:shd w:val="clear" w:color="auto" w:fill="auto"/>
            <w:vAlign w:val="center"/>
          </w:tcPr>
          <w:p w14:paraId="7FE37FEE">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高压软管</w:t>
            </w:r>
          </w:p>
        </w:tc>
        <w:tc>
          <w:tcPr>
            <w:tcW w:w="639" w:type="pct"/>
            <w:tcBorders>
              <w:top w:val="single" w:color="auto" w:sz="4" w:space="0"/>
              <w:bottom w:val="single" w:color="auto" w:sz="4" w:space="0"/>
            </w:tcBorders>
            <w:shd w:val="clear" w:color="auto" w:fill="auto"/>
            <w:vAlign w:val="center"/>
          </w:tcPr>
          <w:p w14:paraId="16AD641E">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51</w:t>
            </w:r>
          </w:p>
        </w:tc>
        <w:tc>
          <w:tcPr>
            <w:tcW w:w="1355" w:type="pct"/>
            <w:tcBorders>
              <w:top w:val="single" w:color="auto" w:sz="4" w:space="0"/>
              <w:bottom w:val="single" w:color="auto" w:sz="4" w:space="0"/>
            </w:tcBorders>
            <w:shd w:val="clear" w:color="auto" w:fill="auto"/>
            <w:vAlign w:val="center"/>
          </w:tcPr>
          <w:p w14:paraId="42823A05">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否</w:t>
            </w:r>
          </w:p>
        </w:tc>
        <w:tc>
          <w:tcPr>
            <w:tcW w:w="1068" w:type="pct"/>
            <w:tcBorders>
              <w:top w:val="single" w:color="auto" w:sz="4" w:space="0"/>
              <w:bottom w:val="single" w:color="auto" w:sz="4" w:space="0"/>
            </w:tcBorders>
            <w:shd w:val="clear" w:color="auto" w:fill="auto"/>
            <w:vAlign w:val="center"/>
          </w:tcPr>
          <w:p w14:paraId="15688695">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否</w:t>
            </w:r>
          </w:p>
        </w:tc>
      </w:tr>
      <w:tr w14:paraId="66423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75" w:type="pct"/>
            <w:tcBorders>
              <w:top w:val="single" w:color="auto" w:sz="4" w:space="0"/>
              <w:bottom w:val="single" w:color="auto" w:sz="4" w:space="0"/>
            </w:tcBorders>
            <w:shd w:val="clear" w:color="auto" w:fill="auto"/>
            <w:vAlign w:val="center"/>
          </w:tcPr>
          <w:p w14:paraId="0A2354E4">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14</w:t>
            </w:r>
          </w:p>
        </w:tc>
        <w:tc>
          <w:tcPr>
            <w:tcW w:w="1361" w:type="pct"/>
            <w:tcBorders>
              <w:top w:val="single" w:color="auto" w:sz="4" w:space="0"/>
              <w:bottom w:val="single" w:color="auto" w:sz="4" w:space="0"/>
            </w:tcBorders>
            <w:shd w:val="clear" w:color="auto" w:fill="auto"/>
            <w:vAlign w:val="center"/>
          </w:tcPr>
          <w:p w14:paraId="47D468AF">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单瓶减压输出控制系统</w:t>
            </w:r>
          </w:p>
        </w:tc>
        <w:tc>
          <w:tcPr>
            <w:tcW w:w="639" w:type="pct"/>
            <w:tcBorders>
              <w:top w:val="single" w:color="auto" w:sz="4" w:space="0"/>
              <w:bottom w:val="single" w:color="auto" w:sz="4" w:space="0"/>
            </w:tcBorders>
            <w:shd w:val="clear" w:color="auto" w:fill="auto"/>
            <w:vAlign w:val="center"/>
          </w:tcPr>
          <w:p w14:paraId="0EB3B50E">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2</w:t>
            </w:r>
          </w:p>
        </w:tc>
        <w:tc>
          <w:tcPr>
            <w:tcW w:w="1355" w:type="pct"/>
            <w:tcBorders>
              <w:top w:val="single" w:color="auto" w:sz="4" w:space="0"/>
              <w:bottom w:val="single" w:color="auto" w:sz="4" w:space="0"/>
            </w:tcBorders>
            <w:shd w:val="clear" w:color="auto" w:fill="auto"/>
            <w:vAlign w:val="center"/>
          </w:tcPr>
          <w:p w14:paraId="02C447E3">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否</w:t>
            </w:r>
          </w:p>
        </w:tc>
        <w:tc>
          <w:tcPr>
            <w:tcW w:w="1068" w:type="pct"/>
            <w:tcBorders>
              <w:top w:val="single" w:color="auto" w:sz="4" w:space="0"/>
              <w:bottom w:val="single" w:color="auto" w:sz="4" w:space="0"/>
            </w:tcBorders>
            <w:shd w:val="clear" w:color="auto" w:fill="auto"/>
            <w:vAlign w:val="center"/>
          </w:tcPr>
          <w:p w14:paraId="0ADBF2FB">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否</w:t>
            </w:r>
          </w:p>
        </w:tc>
      </w:tr>
      <w:tr w14:paraId="0BE72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75" w:type="pct"/>
            <w:tcBorders>
              <w:top w:val="single" w:color="auto" w:sz="4" w:space="0"/>
              <w:bottom w:val="single" w:color="auto" w:sz="4" w:space="0"/>
            </w:tcBorders>
            <w:shd w:val="clear" w:color="auto" w:fill="auto"/>
            <w:vAlign w:val="center"/>
          </w:tcPr>
          <w:p w14:paraId="3BEDC743">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15</w:t>
            </w:r>
          </w:p>
        </w:tc>
        <w:tc>
          <w:tcPr>
            <w:tcW w:w="1361" w:type="pct"/>
            <w:tcBorders>
              <w:top w:val="single" w:color="auto" w:sz="4" w:space="0"/>
              <w:bottom w:val="single" w:color="auto" w:sz="4" w:space="0"/>
            </w:tcBorders>
            <w:shd w:val="clear" w:color="auto" w:fill="auto"/>
            <w:vAlign w:val="center"/>
          </w:tcPr>
          <w:p w14:paraId="065A6AD4">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4P自动不间断汇流控制系统</w:t>
            </w:r>
          </w:p>
        </w:tc>
        <w:tc>
          <w:tcPr>
            <w:tcW w:w="639" w:type="pct"/>
            <w:tcBorders>
              <w:top w:val="single" w:color="auto" w:sz="4" w:space="0"/>
              <w:bottom w:val="single" w:color="auto" w:sz="4" w:space="0"/>
            </w:tcBorders>
            <w:shd w:val="clear" w:color="auto" w:fill="auto"/>
            <w:vAlign w:val="center"/>
          </w:tcPr>
          <w:p w14:paraId="04663E5B">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4</w:t>
            </w:r>
          </w:p>
        </w:tc>
        <w:tc>
          <w:tcPr>
            <w:tcW w:w="1355" w:type="pct"/>
            <w:tcBorders>
              <w:top w:val="single" w:color="auto" w:sz="4" w:space="0"/>
              <w:bottom w:val="single" w:color="auto" w:sz="4" w:space="0"/>
            </w:tcBorders>
            <w:shd w:val="clear" w:color="auto" w:fill="auto"/>
            <w:vAlign w:val="center"/>
          </w:tcPr>
          <w:p w14:paraId="314765DE">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否</w:t>
            </w:r>
          </w:p>
        </w:tc>
        <w:tc>
          <w:tcPr>
            <w:tcW w:w="1068" w:type="pct"/>
            <w:tcBorders>
              <w:top w:val="single" w:color="auto" w:sz="4" w:space="0"/>
              <w:bottom w:val="single" w:color="auto" w:sz="4" w:space="0"/>
            </w:tcBorders>
            <w:shd w:val="clear" w:color="auto" w:fill="auto"/>
            <w:vAlign w:val="center"/>
          </w:tcPr>
          <w:p w14:paraId="482F1B75">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否</w:t>
            </w:r>
          </w:p>
        </w:tc>
      </w:tr>
      <w:tr w14:paraId="7B761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75" w:type="pct"/>
            <w:tcBorders>
              <w:top w:val="single" w:color="auto" w:sz="4" w:space="0"/>
              <w:bottom w:val="single" w:color="auto" w:sz="4" w:space="0"/>
            </w:tcBorders>
            <w:shd w:val="clear" w:color="auto" w:fill="auto"/>
            <w:vAlign w:val="center"/>
          </w:tcPr>
          <w:p w14:paraId="3924619F">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16</w:t>
            </w:r>
          </w:p>
        </w:tc>
        <w:tc>
          <w:tcPr>
            <w:tcW w:w="1361" w:type="pct"/>
            <w:tcBorders>
              <w:top w:val="single" w:color="auto" w:sz="4" w:space="0"/>
              <w:bottom w:val="single" w:color="auto" w:sz="4" w:space="0"/>
            </w:tcBorders>
            <w:shd w:val="clear" w:color="auto" w:fill="auto"/>
            <w:vAlign w:val="center"/>
          </w:tcPr>
          <w:p w14:paraId="78851A76">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16P自动不间断汇流控制系统</w:t>
            </w:r>
          </w:p>
        </w:tc>
        <w:tc>
          <w:tcPr>
            <w:tcW w:w="639" w:type="pct"/>
            <w:tcBorders>
              <w:top w:val="single" w:color="auto" w:sz="4" w:space="0"/>
              <w:bottom w:val="single" w:color="auto" w:sz="4" w:space="0"/>
            </w:tcBorders>
            <w:shd w:val="clear" w:color="auto" w:fill="auto"/>
            <w:vAlign w:val="center"/>
          </w:tcPr>
          <w:p w14:paraId="7B33AC91">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2</w:t>
            </w:r>
          </w:p>
        </w:tc>
        <w:tc>
          <w:tcPr>
            <w:tcW w:w="1355" w:type="pct"/>
            <w:tcBorders>
              <w:top w:val="single" w:color="auto" w:sz="4" w:space="0"/>
              <w:bottom w:val="single" w:color="auto" w:sz="4" w:space="0"/>
            </w:tcBorders>
            <w:shd w:val="clear" w:color="auto" w:fill="auto"/>
            <w:vAlign w:val="center"/>
          </w:tcPr>
          <w:p w14:paraId="1ABE1C1A">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否</w:t>
            </w:r>
          </w:p>
        </w:tc>
        <w:tc>
          <w:tcPr>
            <w:tcW w:w="1068" w:type="pct"/>
            <w:tcBorders>
              <w:top w:val="single" w:color="auto" w:sz="4" w:space="0"/>
              <w:bottom w:val="single" w:color="auto" w:sz="4" w:space="0"/>
            </w:tcBorders>
            <w:shd w:val="clear" w:color="auto" w:fill="auto"/>
            <w:vAlign w:val="center"/>
          </w:tcPr>
          <w:p w14:paraId="0C9BC92D">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否</w:t>
            </w:r>
          </w:p>
        </w:tc>
      </w:tr>
      <w:tr w14:paraId="2A96C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75" w:type="pct"/>
            <w:tcBorders>
              <w:top w:val="single" w:color="auto" w:sz="4" w:space="0"/>
              <w:bottom w:val="single" w:color="auto" w:sz="4" w:space="0"/>
            </w:tcBorders>
            <w:shd w:val="clear" w:color="auto" w:fill="auto"/>
            <w:vAlign w:val="center"/>
          </w:tcPr>
          <w:p w14:paraId="7437C785">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17</w:t>
            </w:r>
          </w:p>
        </w:tc>
        <w:tc>
          <w:tcPr>
            <w:tcW w:w="1361" w:type="pct"/>
            <w:tcBorders>
              <w:top w:val="single" w:color="auto" w:sz="4" w:space="0"/>
              <w:bottom w:val="single" w:color="auto" w:sz="4" w:space="0"/>
            </w:tcBorders>
            <w:shd w:val="clear" w:color="auto" w:fill="auto"/>
            <w:vAlign w:val="center"/>
          </w:tcPr>
          <w:p w14:paraId="4C6C0C57">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基础设备改造</w:t>
            </w:r>
          </w:p>
        </w:tc>
        <w:tc>
          <w:tcPr>
            <w:tcW w:w="639" w:type="pct"/>
            <w:tcBorders>
              <w:top w:val="single" w:color="auto" w:sz="4" w:space="0"/>
              <w:bottom w:val="single" w:color="auto" w:sz="4" w:space="0"/>
            </w:tcBorders>
            <w:shd w:val="clear" w:color="auto" w:fill="auto"/>
            <w:vAlign w:val="center"/>
          </w:tcPr>
          <w:p w14:paraId="627C99E7">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1</w:t>
            </w:r>
          </w:p>
        </w:tc>
        <w:tc>
          <w:tcPr>
            <w:tcW w:w="1355" w:type="pct"/>
            <w:tcBorders>
              <w:top w:val="single" w:color="auto" w:sz="4" w:space="0"/>
              <w:bottom w:val="single" w:color="auto" w:sz="4" w:space="0"/>
            </w:tcBorders>
            <w:shd w:val="clear" w:color="auto" w:fill="auto"/>
            <w:vAlign w:val="center"/>
          </w:tcPr>
          <w:p w14:paraId="12280916">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否</w:t>
            </w:r>
          </w:p>
        </w:tc>
        <w:tc>
          <w:tcPr>
            <w:tcW w:w="1068" w:type="pct"/>
            <w:tcBorders>
              <w:top w:val="single" w:color="auto" w:sz="4" w:space="0"/>
              <w:bottom w:val="single" w:color="auto" w:sz="4" w:space="0"/>
            </w:tcBorders>
            <w:shd w:val="clear" w:color="auto" w:fill="auto"/>
            <w:vAlign w:val="center"/>
          </w:tcPr>
          <w:p w14:paraId="553C51E9">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否</w:t>
            </w:r>
          </w:p>
        </w:tc>
      </w:tr>
      <w:tr w14:paraId="1FE0D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75" w:type="pct"/>
            <w:tcBorders>
              <w:top w:val="single" w:color="auto" w:sz="4" w:space="0"/>
              <w:bottom w:val="single" w:color="auto" w:sz="4" w:space="0"/>
            </w:tcBorders>
            <w:shd w:val="clear" w:color="auto" w:fill="auto"/>
            <w:vAlign w:val="center"/>
          </w:tcPr>
          <w:p w14:paraId="466DCD53">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18</w:t>
            </w:r>
          </w:p>
        </w:tc>
        <w:tc>
          <w:tcPr>
            <w:tcW w:w="1361" w:type="pct"/>
            <w:tcBorders>
              <w:top w:val="single" w:color="auto" w:sz="4" w:space="0"/>
              <w:bottom w:val="single" w:color="auto" w:sz="4" w:space="0"/>
            </w:tcBorders>
            <w:shd w:val="clear" w:color="auto" w:fill="auto"/>
            <w:vAlign w:val="center"/>
          </w:tcPr>
          <w:p w14:paraId="5E82C780">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气体安全防护系统</w:t>
            </w:r>
          </w:p>
        </w:tc>
        <w:tc>
          <w:tcPr>
            <w:tcW w:w="639" w:type="pct"/>
            <w:tcBorders>
              <w:top w:val="single" w:color="auto" w:sz="4" w:space="0"/>
              <w:bottom w:val="single" w:color="auto" w:sz="4" w:space="0"/>
            </w:tcBorders>
            <w:shd w:val="clear" w:color="auto" w:fill="auto"/>
            <w:vAlign w:val="center"/>
          </w:tcPr>
          <w:p w14:paraId="42D8CA71">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3</w:t>
            </w:r>
          </w:p>
        </w:tc>
        <w:tc>
          <w:tcPr>
            <w:tcW w:w="1355" w:type="pct"/>
            <w:tcBorders>
              <w:top w:val="single" w:color="auto" w:sz="4" w:space="0"/>
              <w:bottom w:val="single" w:color="auto" w:sz="4" w:space="0"/>
            </w:tcBorders>
            <w:shd w:val="clear" w:color="auto" w:fill="auto"/>
            <w:vAlign w:val="center"/>
          </w:tcPr>
          <w:p w14:paraId="570A7C4E">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否</w:t>
            </w:r>
          </w:p>
        </w:tc>
        <w:tc>
          <w:tcPr>
            <w:tcW w:w="1068" w:type="pct"/>
            <w:tcBorders>
              <w:top w:val="single" w:color="auto" w:sz="4" w:space="0"/>
              <w:bottom w:val="single" w:color="auto" w:sz="4" w:space="0"/>
            </w:tcBorders>
            <w:shd w:val="clear" w:color="auto" w:fill="auto"/>
            <w:vAlign w:val="center"/>
          </w:tcPr>
          <w:p w14:paraId="676F7706">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否</w:t>
            </w:r>
          </w:p>
        </w:tc>
      </w:tr>
      <w:tr w14:paraId="1966F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75" w:type="pct"/>
            <w:tcBorders>
              <w:top w:val="single" w:color="auto" w:sz="4" w:space="0"/>
              <w:bottom w:val="single" w:color="auto" w:sz="4" w:space="0"/>
            </w:tcBorders>
            <w:shd w:val="clear" w:color="auto" w:fill="auto"/>
            <w:vAlign w:val="center"/>
          </w:tcPr>
          <w:p w14:paraId="6DBD3812">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19</w:t>
            </w:r>
          </w:p>
        </w:tc>
        <w:tc>
          <w:tcPr>
            <w:tcW w:w="1361" w:type="pct"/>
            <w:tcBorders>
              <w:top w:val="single" w:color="auto" w:sz="4" w:space="0"/>
              <w:bottom w:val="single" w:color="auto" w:sz="4" w:space="0"/>
            </w:tcBorders>
            <w:shd w:val="clear" w:color="auto" w:fill="auto"/>
            <w:vAlign w:val="center"/>
          </w:tcPr>
          <w:p w14:paraId="2DCF5AF3">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终端球阀</w:t>
            </w:r>
          </w:p>
        </w:tc>
        <w:tc>
          <w:tcPr>
            <w:tcW w:w="639" w:type="pct"/>
            <w:tcBorders>
              <w:top w:val="single" w:color="auto" w:sz="4" w:space="0"/>
              <w:bottom w:val="single" w:color="auto" w:sz="4" w:space="0"/>
            </w:tcBorders>
            <w:shd w:val="clear" w:color="auto" w:fill="auto"/>
            <w:vAlign w:val="center"/>
          </w:tcPr>
          <w:p w14:paraId="0BA472BD">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140</w:t>
            </w:r>
          </w:p>
        </w:tc>
        <w:tc>
          <w:tcPr>
            <w:tcW w:w="1355" w:type="pct"/>
            <w:tcBorders>
              <w:top w:val="single" w:color="auto" w:sz="4" w:space="0"/>
              <w:bottom w:val="single" w:color="auto" w:sz="4" w:space="0"/>
            </w:tcBorders>
            <w:shd w:val="clear" w:color="auto" w:fill="auto"/>
            <w:vAlign w:val="center"/>
          </w:tcPr>
          <w:p w14:paraId="0654C801">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否</w:t>
            </w:r>
          </w:p>
        </w:tc>
        <w:tc>
          <w:tcPr>
            <w:tcW w:w="1068" w:type="pct"/>
            <w:tcBorders>
              <w:top w:val="single" w:color="auto" w:sz="4" w:space="0"/>
              <w:bottom w:val="single" w:color="auto" w:sz="4" w:space="0"/>
            </w:tcBorders>
            <w:shd w:val="clear" w:color="auto" w:fill="auto"/>
            <w:vAlign w:val="center"/>
          </w:tcPr>
          <w:p w14:paraId="05B1202E">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否</w:t>
            </w:r>
          </w:p>
        </w:tc>
      </w:tr>
      <w:tr w14:paraId="767DA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75" w:type="pct"/>
            <w:tcBorders>
              <w:top w:val="single" w:color="auto" w:sz="4" w:space="0"/>
              <w:bottom w:val="single" w:color="auto" w:sz="4" w:space="0"/>
            </w:tcBorders>
            <w:shd w:val="clear" w:color="auto" w:fill="auto"/>
            <w:vAlign w:val="center"/>
          </w:tcPr>
          <w:p w14:paraId="282766F1">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20</w:t>
            </w:r>
          </w:p>
        </w:tc>
        <w:tc>
          <w:tcPr>
            <w:tcW w:w="1361" w:type="pct"/>
            <w:tcBorders>
              <w:top w:val="single" w:color="auto" w:sz="4" w:space="0"/>
              <w:bottom w:val="single" w:color="auto" w:sz="4" w:space="0"/>
            </w:tcBorders>
            <w:shd w:val="clear" w:color="auto" w:fill="auto"/>
            <w:vAlign w:val="center"/>
          </w:tcPr>
          <w:p w14:paraId="44CBE07C">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终端恒压调节系统</w:t>
            </w:r>
          </w:p>
        </w:tc>
        <w:tc>
          <w:tcPr>
            <w:tcW w:w="639" w:type="pct"/>
            <w:tcBorders>
              <w:top w:val="single" w:color="auto" w:sz="4" w:space="0"/>
              <w:bottom w:val="single" w:color="auto" w:sz="4" w:space="0"/>
            </w:tcBorders>
            <w:shd w:val="clear" w:color="auto" w:fill="auto"/>
            <w:vAlign w:val="center"/>
          </w:tcPr>
          <w:p w14:paraId="333A5103">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140</w:t>
            </w:r>
          </w:p>
        </w:tc>
        <w:tc>
          <w:tcPr>
            <w:tcW w:w="1355" w:type="pct"/>
            <w:tcBorders>
              <w:top w:val="single" w:color="auto" w:sz="4" w:space="0"/>
              <w:bottom w:val="single" w:color="auto" w:sz="4" w:space="0"/>
            </w:tcBorders>
            <w:shd w:val="clear" w:color="auto" w:fill="auto"/>
            <w:vAlign w:val="center"/>
          </w:tcPr>
          <w:p w14:paraId="1381B89C">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否</w:t>
            </w:r>
          </w:p>
        </w:tc>
        <w:tc>
          <w:tcPr>
            <w:tcW w:w="1068" w:type="pct"/>
            <w:tcBorders>
              <w:top w:val="single" w:color="auto" w:sz="4" w:space="0"/>
              <w:bottom w:val="single" w:color="auto" w:sz="4" w:space="0"/>
            </w:tcBorders>
            <w:shd w:val="clear" w:color="auto" w:fill="auto"/>
            <w:vAlign w:val="center"/>
          </w:tcPr>
          <w:p w14:paraId="29513C1B">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否</w:t>
            </w:r>
          </w:p>
        </w:tc>
      </w:tr>
      <w:tr w14:paraId="6C211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75" w:type="pct"/>
            <w:tcBorders>
              <w:top w:val="single" w:color="auto" w:sz="4" w:space="0"/>
              <w:bottom w:val="single" w:color="auto" w:sz="4" w:space="0"/>
            </w:tcBorders>
            <w:shd w:val="clear" w:color="auto" w:fill="auto"/>
            <w:vAlign w:val="center"/>
          </w:tcPr>
          <w:p w14:paraId="0EE5AC54">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21</w:t>
            </w:r>
          </w:p>
        </w:tc>
        <w:tc>
          <w:tcPr>
            <w:tcW w:w="1361" w:type="pct"/>
            <w:tcBorders>
              <w:top w:val="single" w:color="auto" w:sz="4" w:space="0"/>
              <w:bottom w:val="single" w:color="auto" w:sz="4" w:space="0"/>
            </w:tcBorders>
            <w:shd w:val="clear" w:color="auto" w:fill="auto"/>
            <w:vAlign w:val="center"/>
          </w:tcPr>
          <w:p w14:paraId="16B8128C">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流量计</w:t>
            </w:r>
          </w:p>
        </w:tc>
        <w:tc>
          <w:tcPr>
            <w:tcW w:w="639" w:type="pct"/>
            <w:tcBorders>
              <w:top w:val="single" w:color="auto" w:sz="4" w:space="0"/>
              <w:bottom w:val="single" w:color="auto" w:sz="4" w:space="0"/>
            </w:tcBorders>
            <w:shd w:val="clear" w:color="auto" w:fill="auto"/>
            <w:vAlign w:val="center"/>
          </w:tcPr>
          <w:p w14:paraId="5381075D">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73</w:t>
            </w:r>
          </w:p>
        </w:tc>
        <w:tc>
          <w:tcPr>
            <w:tcW w:w="1355" w:type="pct"/>
            <w:tcBorders>
              <w:top w:val="single" w:color="auto" w:sz="4" w:space="0"/>
              <w:bottom w:val="single" w:color="auto" w:sz="4" w:space="0"/>
            </w:tcBorders>
            <w:shd w:val="clear" w:color="auto" w:fill="auto"/>
            <w:vAlign w:val="center"/>
          </w:tcPr>
          <w:p w14:paraId="2A495501">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否</w:t>
            </w:r>
          </w:p>
        </w:tc>
        <w:tc>
          <w:tcPr>
            <w:tcW w:w="1068" w:type="pct"/>
            <w:tcBorders>
              <w:top w:val="single" w:color="auto" w:sz="4" w:space="0"/>
              <w:bottom w:val="single" w:color="auto" w:sz="4" w:space="0"/>
            </w:tcBorders>
            <w:shd w:val="clear" w:color="auto" w:fill="auto"/>
            <w:vAlign w:val="center"/>
          </w:tcPr>
          <w:p w14:paraId="5F677DF6">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否</w:t>
            </w:r>
          </w:p>
        </w:tc>
      </w:tr>
      <w:tr w14:paraId="278CC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75" w:type="pct"/>
            <w:tcBorders>
              <w:top w:val="single" w:color="auto" w:sz="4" w:space="0"/>
              <w:bottom w:val="single" w:color="auto" w:sz="4" w:space="0"/>
            </w:tcBorders>
            <w:shd w:val="clear" w:color="auto" w:fill="auto"/>
            <w:vAlign w:val="center"/>
          </w:tcPr>
          <w:p w14:paraId="3E03EFE7">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22</w:t>
            </w:r>
          </w:p>
        </w:tc>
        <w:tc>
          <w:tcPr>
            <w:tcW w:w="1361" w:type="pct"/>
            <w:tcBorders>
              <w:top w:val="single" w:color="auto" w:sz="4" w:space="0"/>
              <w:bottom w:val="single" w:color="auto" w:sz="4" w:space="0"/>
            </w:tcBorders>
            <w:shd w:val="clear" w:color="auto" w:fill="auto"/>
            <w:vAlign w:val="center"/>
          </w:tcPr>
          <w:p w14:paraId="401A9B6C">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不锈钢3/4”BA管</w:t>
            </w:r>
          </w:p>
        </w:tc>
        <w:tc>
          <w:tcPr>
            <w:tcW w:w="639" w:type="pct"/>
            <w:tcBorders>
              <w:top w:val="single" w:color="auto" w:sz="4" w:space="0"/>
              <w:bottom w:val="single" w:color="auto" w:sz="4" w:space="0"/>
            </w:tcBorders>
            <w:shd w:val="clear" w:color="auto" w:fill="auto"/>
            <w:vAlign w:val="center"/>
          </w:tcPr>
          <w:p w14:paraId="44C6D4A8">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140</w:t>
            </w:r>
          </w:p>
        </w:tc>
        <w:tc>
          <w:tcPr>
            <w:tcW w:w="1355" w:type="pct"/>
            <w:tcBorders>
              <w:top w:val="single" w:color="auto" w:sz="4" w:space="0"/>
              <w:bottom w:val="single" w:color="auto" w:sz="4" w:space="0"/>
            </w:tcBorders>
            <w:shd w:val="clear" w:color="auto" w:fill="auto"/>
            <w:vAlign w:val="center"/>
          </w:tcPr>
          <w:p w14:paraId="4BA27762">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否</w:t>
            </w:r>
          </w:p>
        </w:tc>
        <w:tc>
          <w:tcPr>
            <w:tcW w:w="1068" w:type="pct"/>
            <w:tcBorders>
              <w:top w:val="single" w:color="auto" w:sz="4" w:space="0"/>
              <w:bottom w:val="single" w:color="auto" w:sz="4" w:space="0"/>
            </w:tcBorders>
            <w:shd w:val="clear" w:color="auto" w:fill="auto"/>
            <w:vAlign w:val="center"/>
          </w:tcPr>
          <w:p w14:paraId="18329E93">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否</w:t>
            </w:r>
          </w:p>
        </w:tc>
      </w:tr>
      <w:tr w14:paraId="7A08C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75" w:type="pct"/>
            <w:tcBorders>
              <w:top w:val="single" w:color="auto" w:sz="4" w:space="0"/>
              <w:bottom w:val="single" w:color="auto" w:sz="4" w:space="0"/>
            </w:tcBorders>
            <w:shd w:val="clear" w:color="auto" w:fill="auto"/>
            <w:vAlign w:val="center"/>
          </w:tcPr>
          <w:p w14:paraId="0D3D0E4D">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23</w:t>
            </w:r>
          </w:p>
        </w:tc>
        <w:tc>
          <w:tcPr>
            <w:tcW w:w="1361" w:type="pct"/>
            <w:tcBorders>
              <w:top w:val="single" w:color="auto" w:sz="4" w:space="0"/>
              <w:bottom w:val="single" w:color="auto" w:sz="4" w:space="0"/>
            </w:tcBorders>
            <w:shd w:val="clear" w:color="auto" w:fill="auto"/>
            <w:vAlign w:val="center"/>
          </w:tcPr>
          <w:p w14:paraId="12DCF8FD">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不锈钢3/4”BA管</w:t>
            </w:r>
          </w:p>
        </w:tc>
        <w:tc>
          <w:tcPr>
            <w:tcW w:w="639" w:type="pct"/>
            <w:tcBorders>
              <w:top w:val="single" w:color="auto" w:sz="4" w:space="0"/>
              <w:bottom w:val="single" w:color="auto" w:sz="4" w:space="0"/>
            </w:tcBorders>
            <w:shd w:val="clear" w:color="auto" w:fill="auto"/>
            <w:vAlign w:val="center"/>
          </w:tcPr>
          <w:p w14:paraId="32E8C083">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260</w:t>
            </w:r>
          </w:p>
        </w:tc>
        <w:tc>
          <w:tcPr>
            <w:tcW w:w="1355" w:type="pct"/>
            <w:tcBorders>
              <w:top w:val="single" w:color="auto" w:sz="4" w:space="0"/>
              <w:bottom w:val="single" w:color="auto" w:sz="4" w:space="0"/>
            </w:tcBorders>
            <w:shd w:val="clear" w:color="auto" w:fill="auto"/>
            <w:vAlign w:val="center"/>
          </w:tcPr>
          <w:p w14:paraId="54539906">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否</w:t>
            </w:r>
          </w:p>
        </w:tc>
        <w:tc>
          <w:tcPr>
            <w:tcW w:w="1068" w:type="pct"/>
            <w:tcBorders>
              <w:top w:val="single" w:color="auto" w:sz="4" w:space="0"/>
              <w:bottom w:val="single" w:color="auto" w:sz="4" w:space="0"/>
            </w:tcBorders>
            <w:shd w:val="clear" w:color="auto" w:fill="auto"/>
            <w:vAlign w:val="center"/>
          </w:tcPr>
          <w:p w14:paraId="64F242EE">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否</w:t>
            </w:r>
          </w:p>
        </w:tc>
      </w:tr>
      <w:tr w14:paraId="041D9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75" w:type="pct"/>
            <w:tcBorders>
              <w:top w:val="single" w:color="auto" w:sz="4" w:space="0"/>
              <w:bottom w:val="single" w:color="auto" w:sz="4" w:space="0"/>
            </w:tcBorders>
            <w:shd w:val="clear" w:color="auto" w:fill="auto"/>
            <w:vAlign w:val="center"/>
          </w:tcPr>
          <w:p w14:paraId="61F025A4">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24</w:t>
            </w:r>
          </w:p>
        </w:tc>
        <w:tc>
          <w:tcPr>
            <w:tcW w:w="1361" w:type="pct"/>
            <w:tcBorders>
              <w:top w:val="single" w:color="auto" w:sz="4" w:space="0"/>
              <w:bottom w:val="single" w:color="auto" w:sz="4" w:space="0"/>
            </w:tcBorders>
            <w:shd w:val="clear" w:color="auto" w:fill="auto"/>
            <w:vAlign w:val="center"/>
          </w:tcPr>
          <w:p w14:paraId="74321442">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不锈钢1/4”BA管</w:t>
            </w:r>
          </w:p>
        </w:tc>
        <w:tc>
          <w:tcPr>
            <w:tcW w:w="639" w:type="pct"/>
            <w:tcBorders>
              <w:top w:val="single" w:color="auto" w:sz="4" w:space="0"/>
              <w:bottom w:val="single" w:color="auto" w:sz="4" w:space="0"/>
            </w:tcBorders>
            <w:shd w:val="clear" w:color="auto" w:fill="auto"/>
            <w:vAlign w:val="center"/>
          </w:tcPr>
          <w:p w14:paraId="2E54E8B6">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1875</w:t>
            </w:r>
          </w:p>
        </w:tc>
        <w:tc>
          <w:tcPr>
            <w:tcW w:w="1355" w:type="pct"/>
            <w:tcBorders>
              <w:top w:val="single" w:color="auto" w:sz="4" w:space="0"/>
              <w:bottom w:val="single" w:color="auto" w:sz="4" w:space="0"/>
            </w:tcBorders>
            <w:shd w:val="clear" w:color="auto" w:fill="auto"/>
            <w:vAlign w:val="center"/>
          </w:tcPr>
          <w:p w14:paraId="234F2329">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否</w:t>
            </w:r>
          </w:p>
        </w:tc>
        <w:tc>
          <w:tcPr>
            <w:tcW w:w="1068" w:type="pct"/>
            <w:tcBorders>
              <w:top w:val="single" w:color="auto" w:sz="4" w:space="0"/>
              <w:bottom w:val="single" w:color="auto" w:sz="4" w:space="0"/>
            </w:tcBorders>
            <w:shd w:val="clear" w:color="auto" w:fill="auto"/>
            <w:vAlign w:val="center"/>
          </w:tcPr>
          <w:p w14:paraId="1C3F381C">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否</w:t>
            </w:r>
          </w:p>
        </w:tc>
      </w:tr>
      <w:tr w14:paraId="38817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75" w:type="pct"/>
            <w:tcBorders>
              <w:top w:val="single" w:color="auto" w:sz="4" w:space="0"/>
              <w:bottom w:val="single" w:color="auto" w:sz="4" w:space="0"/>
            </w:tcBorders>
            <w:shd w:val="clear" w:color="auto" w:fill="auto"/>
            <w:vAlign w:val="center"/>
          </w:tcPr>
          <w:p w14:paraId="5A5C7960">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25</w:t>
            </w:r>
          </w:p>
        </w:tc>
        <w:tc>
          <w:tcPr>
            <w:tcW w:w="1361" w:type="pct"/>
            <w:tcBorders>
              <w:top w:val="single" w:color="auto" w:sz="4" w:space="0"/>
              <w:bottom w:val="single" w:color="auto" w:sz="4" w:space="0"/>
            </w:tcBorders>
            <w:shd w:val="clear" w:color="auto" w:fill="auto"/>
            <w:vAlign w:val="center"/>
          </w:tcPr>
          <w:p w14:paraId="50FE45B9">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不锈钢1/2”BA管</w:t>
            </w:r>
          </w:p>
        </w:tc>
        <w:tc>
          <w:tcPr>
            <w:tcW w:w="639" w:type="pct"/>
            <w:tcBorders>
              <w:top w:val="single" w:color="auto" w:sz="4" w:space="0"/>
              <w:bottom w:val="single" w:color="auto" w:sz="4" w:space="0"/>
            </w:tcBorders>
            <w:shd w:val="clear" w:color="auto" w:fill="auto"/>
            <w:vAlign w:val="center"/>
          </w:tcPr>
          <w:p w14:paraId="32EF5663">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1580</w:t>
            </w:r>
          </w:p>
        </w:tc>
        <w:tc>
          <w:tcPr>
            <w:tcW w:w="1355" w:type="pct"/>
            <w:tcBorders>
              <w:top w:val="single" w:color="auto" w:sz="4" w:space="0"/>
              <w:bottom w:val="single" w:color="auto" w:sz="4" w:space="0"/>
            </w:tcBorders>
            <w:shd w:val="clear" w:color="auto" w:fill="auto"/>
            <w:vAlign w:val="center"/>
          </w:tcPr>
          <w:p w14:paraId="64DABA1E">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否</w:t>
            </w:r>
          </w:p>
        </w:tc>
        <w:tc>
          <w:tcPr>
            <w:tcW w:w="1068" w:type="pct"/>
            <w:tcBorders>
              <w:top w:val="single" w:color="auto" w:sz="4" w:space="0"/>
              <w:bottom w:val="single" w:color="auto" w:sz="4" w:space="0"/>
            </w:tcBorders>
            <w:shd w:val="clear" w:color="auto" w:fill="auto"/>
            <w:vAlign w:val="center"/>
          </w:tcPr>
          <w:p w14:paraId="55B01F36">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否</w:t>
            </w:r>
          </w:p>
        </w:tc>
      </w:tr>
      <w:tr w14:paraId="4261B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75" w:type="pct"/>
            <w:tcBorders>
              <w:top w:val="single" w:color="auto" w:sz="4" w:space="0"/>
              <w:bottom w:val="single" w:color="auto" w:sz="4" w:space="0"/>
            </w:tcBorders>
            <w:shd w:val="clear" w:color="auto" w:fill="auto"/>
            <w:vAlign w:val="center"/>
          </w:tcPr>
          <w:p w14:paraId="5BD6635C">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26</w:t>
            </w:r>
          </w:p>
        </w:tc>
        <w:tc>
          <w:tcPr>
            <w:tcW w:w="1361" w:type="pct"/>
            <w:tcBorders>
              <w:top w:val="single" w:color="auto" w:sz="4" w:space="0"/>
              <w:bottom w:val="single" w:color="auto" w:sz="4" w:space="0"/>
            </w:tcBorders>
            <w:shd w:val="clear" w:color="auto" w:fill="auto"/>
            <w:vAlign w:val="center"/>
          </w:tcPr>
          <w:p w14:paraId="1552B0C8">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1/2”TEE焊接三通</w:t>
            </w:r>
          </w:p>
        </w:tc>
        <w:tc>
          <w:tcPr>
            <w:tcW w:w="639" w:type="pct"/>
            <w:tcBorders>
              <w:top w:val="single" w:color="auto" w:sz="4" w:space="0"/>
              <w:bottom w:val="single" w:color="auto" w:sz="4" w:space="0"/>
            </w:tcBorders>
            <w:shd w:val="clear" w:color="auto" w:fill="auto"/>
            <w:vAlign w:val="center"/>
          </w:tcPr>
          <w:p w14:paraId="375F27B8">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7</w:t>
            </w:r>
          </w:p>
        </w:tc>
        <w:tc>
          <w:tcPr>
            <w:tcW w:w="1355" w:type="pct"/>
            <w:tcBorders>
              <w:top w:val="single" w:color="auto" w:sz="4" w:space="0"/>
              <w:bottom w:val="single" w:color="auto" w:sz="4" w:space="0"/>
            </w:tcBorders>
            <w:shd w:val="clear" w:color="auto" w:fill="auto"/>
            <w:vAlign w:val="center"/>
          </w:tcPr>
          <w:p w14:paraId="7D665743">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否</w:t>
            </w:r>
          </w:p>
        </w:tc>
        <w:tc>
          <w:tcPr>
            <w:tcW w:w="1068" w:type="pct"/>
            <w:tcBorders>
              <w:top w:val="single" w:color="auto" w:sz="4" w:space="0"/>
              <w:bottom w:val="single" w:color="auto" w:sz="4" w:space="0"/>
            </w:tcBorders>
            <w:shd w:val="clear" w:color="auto" w:fill="auto"/>
            <w:vAlign w:val="center"/>
          </w:tcPr>
          <w:p w14:paraId="2AF8BA26">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否</w:t>
            </w:r>
          </w:p>
        </w:tc>
      </w:tr>
      <w:tr w14:paraId="6A319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75" w:type="pct"/>
            <w:tcBorders>
              <w:top w:val="single" w:color="auto" w:sz="4" w:space="0"/>
              <w:bottom w:val="single" w:color="auto" w:sz="4" w:space="0"/>
            </w:tcBorders>
            <w:shd w:val="clear" w:color="auto" w:fill="auto"/>
            <w:vAlign w:val="center"/>
          </w:tcPr>
          <w:p w14:paraId="44C111C5">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27</w:t>
            </w:r>
          </w:p>
        </w:tc>
        <w:tc>
          <w:tcPr>
            <w:tcW w:w="1361" w:type="pct"/>
            <w:tcBorders>
              <w:top w:val="single" w:color="auto" w:sz="4" w:space="0"/>
              <w:bottom w:val="single" w:color="auto" w:sz="4" w:space="0"/>
            </w:tcBorders>
            <w:shd w:val="clear" w:color="auto" w:fill="auto"/>
            <w:vAlign w:val="center"/>
          </w:tcPr>
          <w:p w14:paraId="68717AE2">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焊接变径三通</w:t>
            </w:r>
          </w:p>
        </w:tc>
        <w:tc>
          <w:tcPr>
            <w:tcW w:w="639" w:type="pct"/>
            <w:tcBorders>
              <w:top w:val="single" w:color="auto" w:sz="4" w:space="0"/>
              <w:bottom w:val="single" w:color="auto" w:sz="4" w:space="0"/>
            </w:tcBorders>
            <w:shd w:val="clear" w:color="auto" w:fill="auto"/>
            <w:vAlign w:val="center"/>
          </w:tcPr>
          <w:p w14:paraId="030D0F66">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256</w:t>
            </w:r>
          </w:p>
        </w:tc>
        <w:tc>
          <w:tcPr>
            <w:tcW w:w="1355" w:type="pct"/>
            <w:tcBorders>
              <w:top w:val="single" w:color="auto" w:sz="4" w:space="0"/>
              <w:bottom w:val="single" w:color="auto" w:sz="4" w:space="0"/>
            </w:tcBorders>
            <w:shd w:val="clear" w:color="auto" w:fill="auto"/>
            <w:vAlign w:val="center"/>
          </w:tcPr>
          <w:p w14:paraId="0897E03C">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否</w:t>
            </w:r>
          </w:p>
        </w:tc>
        <w:tc>
          <w:tcPr>
            <w:tcW w:w="1068" w:type="pct"/>
            <w:tcBorders>
              <w:top w:val="single" w:color="auto" w:sz="4" w:space="0"/>
              <w:bottom w:val="single" w:color="auto" w:sz="4" w:space="0"/>
            </w:tcBorders>
            <w:shd w:val="clear" w:color="auto" w:fill="auto"/>
            <w:vAlign w:val="center"/>
          </w:tcPr>
          <w:p w14:paraId="2D357B18">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否</w:t>
            </w:r>
          </w:p>
        </w:tc>
      </w:tr>
      <w:tr w14:paraId="374DC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75" w:type="pct"/>
            <w:tcBorders>
              <w:top w:val="single" w:color="auto" w:sz="4" w:space="0"/>
              <w:bottom w:val="single" w:color="auto" w:sz="4" w:space="0"/>
            </w:tcBorders>
            <w:shd w:val="clear" w:color="auto" w:fill="auto"/>
            <w:vAlign w:val="center"/>
          </w:tcPr>
          <w:p w14:paraId="5AA8B85C">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28</w:t>
            </w:r>
          </w:p>
        </w:tc>
        <w:tc>
          <w:tcPr>
            <w:tcW w:w="1361" w:type="pct"/>
            <w:tcBorders>
              <w:top w:val="single" w:color="auto" w:sz="4" w:space="0"/>
              <w:bottom w:val="single" w:color="auto" w:sz="4" w:space="0"/>
            </w:tcBorders>
            <w:shd w:val="clear" w:color="auto" w:fill="auto"/>
            <w:vAlign w:val="center"/>
          </w:tcPr>
          <w:p w14:paraId="41FC2045">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终端接头</w:t>
            </w:r>
          </w:p>
        </w:tc>
        <w:tc>
          <w:tcPr>
            <w:tcW w:w="639" w:type="pct"/>
            <w:tcBorders>
              <w:top w:val="single" w:color="auto" w:sz="4" w:space="0"/>
              <w:bottom w:val="single" w:color="auto" w:sz="4" w:space="0"/>
            </w:tcBorders>
            <w:shd w:val="clear" w:color="auto" w:fill="auto"/>
            <w:vAlign w:val="center"/>
          </w:tcPr>
          <w:p w14:paraId="02B6A3BA">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176</w:t>
            </w:r>
          </w:p>
        </w:tc>
        <w:tc>
          <w:tcPr>
            <w:tcW w:w="1355" w:type="pct"/>
            <w:tcBorders>
              <w:top w:val="single" w:color="auto" w:sz="4" w:space="0"/>
              <w:bottom w:val="single" w:color="auto" w:sz="4" w:space="0"/>
            </w:tcBorders>
            <w:shd w:val="clear" w:color="auto" w:fill="auto"/>
            <w:vAlign w:val="center"/>
          </w:tcPr>
          <w:p w14:paraId="222BC497">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否</w:t>
            </w:r>
          </w:p>
        </w:tc>
        <w:tc>
          <w:tcPr>
            <w:tcW w:w="1068" w:type="pct"/>
            <w:tcBorders>
              <w:top w:val="single" w:color="auto" w:sz="4" w:space="0"/>
              <w:bottom w:val="single" w:color="auto" w:sz="4" w:space="0"/>
            </w:tcBorders>
            <w:shd w:val="clear" w:color="auto" w:fill="auto"/>
            <w:vAlign w:val="center"/>
          </w:tcPr>
          <w:p w14:paraId="00A8B668">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否</w:t>
            </w:r>
          </w:p>
        </w:tc>
      </w:tr>
      <w:tr w14:paraId="7CB02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75" w:type="pct"/>
            <w:tcBorders>
              <w:top w:val="single" w:color="auto" w:sz="4" w:space="0"/>
              <w:bottom w:val="single" w:color="auto" w:sz="4" w:space="0"/>
            </w:tcBorders>
            <w:shd w:val="clear" w:color="auto" w:fill="auto"/>
            <w:vAlign w:val="center"/>
          </w:tcPr>
          <w:p w14:paraId="6B656E9B">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29</w:t>
            </w:r>
          </w:p>
        </w:tc>
        <w:tc>
          <w:tcPr>
            <w:tcW w:w="1361" w:type="pct"/>
            <w:tcBorders>
              <w:top w:val="single" w:color="auto" w:sz="4" w:space="0"/>
              <w:bottom w:val="single" w:color="auto" w:sz="4" w:space="0"/>
            </w:tcBorders>
            <w:shd w:val="clear" w:color="auto" w:fill="auto"/>
            <w:vAlign w:val="center"/>
          </w:tcPr>
          <w:p w14:paraId="0C0393B4">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防爆回火防止安全阀</w:t>
            </w:r>
          </w:p>
        </w:tc>
        <w:tc>
          <w:tcPr>
            <w:tcW w:w="639" w:type="pct"/>
            <w:tcBorders>
              <w:top w:val="single" w:color="auto" w:sz="4" w:space="0"/>
              <w:bottom w:val="single" w:color="auto" w:sz="4" w:space="0"/>
            </w:tcBorders>
            <w:shd w:val="clear" w:color="auto" w:fill="auto"/>
            <w:vAlign w:val="center"/>
          </w:tcPr>
          <w:p w14:paraId="4C31918A">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5</w:t>
            </w:r>
          </w:p>
        </w:tc>
        <w:tc>
          <w:tcPr>
            <w:tcW w:w="1355" w:type="pct"/>
            <w:tcBorders>
              <w:top w:val="single" w:color="auto" w:sz="4" w:space="0"/>
              <w:bottom w:val="single" w:color="auto" w:sz="4" w:space="0"/>
            </w:tcBorders>
            <w:shd w:val="clear" w:color="auto" w:fill="auto"/>
            <w:vAlign w:val="center"/>
          </w:tcPr>
          <w:p w14:paraId="17C38C47">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否</w:t>
            </w:r>
          </w:p>
        </w:tc>
        <w:tc>
          <w:tcPr>
            <w:tcW w:w="1068" w:type="pct"/>
            <w:tcBorders>
              <w:top w:val="single" w:color="auto" w:sz="4" w:space="0"/>
              <w:bottom w:val="single" w:color="auto" w:sz="4" w:space="0"/>
            </w:tcBorders>
            <w:shd w:val="clear" w:color="auto" w:fill="auto"/>
            <w:vAlign w:val="center"/>
          </w:tcPr>
          <w:p w14:paraId="75EE1E9F">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否</w:t>
            </w:r>
          </w:p>
        </w:tc>
      </w:tr>
      <w:tr w14:paraId="2E4DC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75" w:type="pct"/>
            <w:tcBorders>
              <w:top w:val="single" w:color="auto" w:sz="4" w:space="0"/>
              <w:bottom w:val="single" w:color="auto" w:sz="4" w:space="0"/>
            </w:tcBorders>
            <w:shd w:val="clear" w:color="auto" w:fill="auto"/>
            <w:vAlign w:val="center"/>
          </w:tcPr>
          <w:p w14:paraId="58D9144E">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30</w:t>
            </w:r>
          </w:p>
        </w:tc>
        <w:tc>
          <w:tcPr>
            <w:tcW w:w="1361" w:type="pct"/>
            <w:tcBorders>
              <w:top w:val="single" w:color="auto" w:sz="4" w:space="0"/>
              <w:bottom w:val="single" w:color="auto" w:sz="4" w:space="0"/>
            </w:tcBorders>
            <w:shd w:val="clear" w:color="auto" w:fill="auto"/>
            <w:vAlign w:val="center"/>
          </w:tcPr>
          <w:p w14:paraId="3EA72078">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气体传感器1</w:t>
            </w:r>
          </w:p>
        </w:tc>
        <w:tc>
          <w:tcPr>
            <w:tcW w:w="639" w:type="pct"/>
            <w:tcBorders>
              <w:top w:val="single" w:color="auto" w:sz="4" w:space="0"/>
              <w:bottom w:val="single" w:color="auto" w:sz="4" w:space="0"/>
            </w:tcBorders>
            <w:shd w:val="clear" w:color="auto" w:fill="auto"/>
            <w:vAlign w:val="center"/>
          </w:tcPr>
          <w:p w14:paraId="7D9D2BB1">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7</w:t>
            </w:r>
          </w:p>
        </w:tc>
        <w:tc>
          <w:tcPr>
            <w:tcW w:w="1355" w:type="pct"/>
            <w:tcBorders>
              <w:top w:val="single" w:color="auto" w:sz="4" w:space="0"/>
              <w:bottom w:val="single" w:color="auto" w:sz="4" w:space="0"/>
            </w:tcBorders>
            <w:shd w:val="clear" w:color="auto" w:fill="auto"/>
            <w:vAlign w:val="center"/>
          </w:tcPr>
          <w:p w14:paraId="53ECAB68">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否</w:t>
            </w:r>
          </w:p>
        </w:tc>
        <w:tc>
          <w:tcPr>
            <w:tcW w:w="1068" w:type="pct"/>
            <w:tcBorders>
              <w:top w:val="single" w:color="auto" w:sz="4" w:space="0"/>
              <w:bottom w:val="single" w:color="auto" w:sz="4" w:space="0"/>
            </w:tcBorders>
            <w:shd w:val="clear" w:color="auto" w:fill="auto"/>
            <w:vAlign w:val="center"/>
          </w:tcPr>
          <w:p w14:paraId="19A2E6D0">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否</w:t>
            </w:r>
          </w:p>
        </w:tc>
      </w:tr>
      <w:tr w14:paraId="653CF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75" w:type="pct"/>
            <w:tcBorders>
              <w:top w:val="single" w:color="auto" w:sz="4" w:space="0"/>
              <w:bottom w:val="single" w:color="auto" w:sz="4" w:space="0"/>
            </w:tcBorders>
            <w:shd w:val="clear" w:color="auto" w:fill="auto"/>
            <w:vAlign w:val="center"/>
          </w:tcPr>
          <w:p w14:paraId="0838D511">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31</w:t>
            </w:r>
          </w:p>
        </w:tc>
        <w:tc>
          <w:tcPr>
            <w:tcW w:w="1361" w:type="pct"/>
            <w:tcBorders>
              <w:top w:val="single" w:color="auto" w:sz="4" w:space="0"/>
              <w:bottom w:val="single" w:color="auto" w:sz="4" w:space="0"/>
            </w:tcBorders>
            <w:shd w:val="clear" w:color="auto" w:fill="auto"/>
            <w:vAlign w:val="center"/>
          </w:tcPr>
          <w:p w14:paraId="5B2D7678">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气体传感器2</w:t>
            </w:r>
          </w:p>
        </w:tc>
        <w:tc>
          <w:tcPr>
            <w:tcW w:w="639" w:type="pct"/>
            <w:tcBorders>
              <w:top w:val="single" w:color="auto" w:sz="4" w:space="0"/>
              <w:bottom w:val="single" w:color="auto" w:sz="4" w:space="0"/>
            </w:tcBorders>
            <w:shd w:val="clear" w:color="auto" w:fill="auto"/>
            <w:vAlign w:val="center"/>
          </w:tcPr>
          <w:p w14:paraId="39A4FA1F">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20</w:t>
            </w:r>
          </w:p>
        </w:tc>
        <w:tc>
          <w:tcPr>
            <w:tcW w:w="1355" w:type="pct"/>
            <w:tcBorders>
              <w:top w:val="single" w:color="auto" w:sz="4" w:space="0"/>
              <w:bottom w:val="single" w:color="auto" w:sz="4" w:space="0"/>
            </w:tcBorders>
            <w:shd w:val="clear" w:color="auto" w:fill="auto"/>
            <w:vAlign w:val="center"/>
          </w:tcPr>
          <w:p w14:paraId="53A7D0A1">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否</w:t>
            </w:r>
          </w:p>
        </w:tc>
        <w:tc>
          <w:tcPr>
            <w:tcW w:w="1068" w:type="pct"/>
            <w:tcBorders>
              <w:top w:val="single" w:color="auto" w:sz="4" w:space="0"/>
              <w:bottom w:val="single" w:color="auto" w:sz="4" w:space="0"/>
            </w:tcBorders>
            <w:shd w:val="clear" w:color="auto" w:fill="auto"/>
            <w:vAlign w:val="center"/>
          </w:tcPr>
          <w:p w14:paraId="699850E1">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否</w:t>
            </w:r>
          </w:p>
        </w:tc>
      </w:tr>
      <w:tr w14:paraId="25941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75" w:type="pct"/>
            <w:tcBorders>
              <w:top w:val="single" w:color="auto" w:sz="4" w:space="0"/>
              <w:bottom w:val="single" w:color="auto" w:sz="4" w:space="0"/>
            </w:tcBorders>
            <w:shd w:val="clear" w:color="auto" w:fill="auto"/>
            <w:vAlign w:val="center"/>
          </w:tcPr>
          <w:p w14:paraId="420C85F8">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32</w:t>
            </w:r>
          </w:p>
        </w:tc>
        <w:tc>
          <w:tcPr>
            <w:tcW w:w="1361" w:type="pct"/>
            <w:tcBorders>
              <w:top w:val="single" w:color="auto" w:sz="4" w:space="0"/>
              <w:bottom w:val="single" w:color="auto" w:sz="4" w:space="0"/>
            </w:tcBorders>
            <w:shd w:val="clear" w:color="auto" w:fill="auto"/>
            <w:vAlign w:val="center"/>
          </w:tcPr>
          <w:p w14:paraId="35343C5A">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实验室气体智能安全监控系统</w:t>
            </w:r>
          </w:p>
        </w:tc>
        <w:tc>
          <w:tcPr>
            <w:tcW w:w="639" w:type="pct"/>
            <w:tcBorders>
              <w:top w:val="single" w:color="auto" w:sz="4" w:space="0"/>
              <w:bottom w:val="single" w:color="auto" w:sz="4" w:space="0"/>
            </w:tcBorders>
            <w:shd w:val="clear" w:color="auto" w:fill="auto"/>
            <w:vAlign w:val="center"/>
          </w:tcPr>
          <w:p w14:paraId="489A06ED">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1</w:t>
            </w:r>
          </w:p>
        </w:tc>
        <w:tc>
          <w:tcPr>
            <w:tcW w:w="1355" w:type="pct"/>
            <w:tcBorders>
              <w:top w:val="single" w:color="auto" w:sz="4" w:space="0"/>
              <w:bottom w:val="single" w:color="auto" w:sz="4" w:space="0"/>
            </w:tcBorders>
            <w:shd w:val="clear" w:color="auto" w:fill="auto"/>
            <w:vAlign w:val="center"/>
          </w:tcPr>
          <w:p w14:paraId="67D4609B">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否</w:t>
            </w:r>
          </w:p>
        </w:tc>
        <w:tc>
          <w:tcPr>
            <w:tcW w:w="1068" w:type="pct"/>
            <w:tcBorders>
              <w:top w:val="single" w:color="auto" w:sz="4" w:space="0"/>
              <w:bottom w:val="single" w:color="auto" w:sz="4" w:space="0"/>
            </w:tcBorders>
            <w:shd w:val="clear" w:color="auto" w:fill="auto"/>
            <w:vAlign w:val="center"/>
          </w:tcPr>
          <w:p w14:paraId="308AFBB5">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否</w:t>
            </w:r>
          </w:p>
        </w:tc>
      </w:tr>
      <w:tr w14:paraId="02ED7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75" w:type="pct"/>
            <w:tcBorders>
              <w:top w:val="single" w:color="auto" w:sz="4" w:space="0"/>
              <w:bottom w:val="single" w:color="auto" w:sz="4" w:space="0"/>
            </w:tcBorders>
            <w:shd w:val="clear" w:color="auto" w:fill="auto"/>
            <w:vAlign w:val="center"/>
          </w:tcPr>
          <w:p w14:paraId="0F023D15">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33</w:t>
            </w:r>
          </w:p>
        </w:tc>
        <w:tc>
          <w:tcPr>
            <w:tcW w:w="1361" w:type="pct"/>
            <w:tcBorders>
              <w:top w:val="single" w:color="auto" w:sz="4" w:space="0"/>
              <w:bottom w:val="single" w:color="auto" w:sz="4" w:space="0"/>
            </w:tcBorders>
            <w:shd w:val="clear" w:color="auto" w:fill="auto"/>
            <w:vAlign w:val="center"/>
          </w:tcPr>
          <w:p w14:paraId="77AA6EB0">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实验室气体流量采集系统</w:t>
            </w:r>
          </w:p>
        </w:tc>
        <w:tc>
          <w:tcPr>
            <w:tcW w:w="639" w:type="pct"/>
            <w:tcBorders>
              <w:top w:val="single" w:color="auto" w:sz="4" w:space="0"/>
              <w:bottom w:val="single" w:color="auto" w:sz="4" w:space="0"/>
            </w:tcBorders>
            <w:shd w:val="clear" w:color="auto" w:fill="auto"/>
            <w:vAlign w:val="center"/>
          </w:tcPr>
          <w:p w14:paraId="19B1FDB8">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1</w:t>
            </w:r>
          </w:p>
        </w:tc>
        <w:tc>
          <w:tcPr>
            <w:tcW w:w="1355" w:type="pct"/>
            <w:tcBorders>
              <w:top w:val="single" w:color="auto" w:sz="4" w:space="0"/>
              <w:bottom w:val="single" w:color="auto" w:sz="4" w:space="0"/>
            </w:tcBorders>
            <w:shd w:val="clear" w:color="auto" w:fill="auto"/>
            <w:vAlign w:val="center"/>
          </w:tcPr>
          <w:p w14:paraId="3ED73A36">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否</w:t>
            </w:r>
          </w:p>
        </w:tc>
        <w:tc>
          <w:tcPr>
            <w:tcW w:w="1068" w:type="pct"/>
            <w:tcBorders>
              <w:top w:val="single" w:color="auto" w:sz="4" w:space="0"/>
              <w:bottom w:val="single" w:color="auto" w:sz="4" w:space="0"/>
            </w:tcBorders>
            <w:shd w:val="clear" w:color="auto" w:fill="auto"/>
            <w:vAlign w:val="center"/>
          </w:tcPr>
          <w:p w14:paraId="18EB557E">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否</w:t>
            </w:r>
          </w:p>
        </w:tc>
      </w:tr>
      <w:tr w14:paraId="1DFDD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75" w:type="pct"/>
            <w:tcBorders>
              <w:top w:val="single" w:color="auto" w:sz="4" w:space="0"/>
              <w:bottom w:val="single" w:color="auto" w:sz="4" w:space="0"/>
            </w:tcBorders>
            <w:shd w:val="clear" w:color="auto" w:fill="auto"/>
            <w:vAlign w:val="center"/>
          </w:tcPr>
          <w:p w14:paraId="0E94CCC7">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34</w:t>
            </w:r>
          </w:p>
        </w:tc>
        <w:tc>
          <w:tcPr>
            <w:tcW w:w="1361" w:type="pct"/>
            <w:tcBorders>
              <w:top w:val="single" w:color="auto" w:sz="4" w:space="0"/>
              <w:bottom w:val="single" w:color="auto" w:sz="4" w:space="0"/>
            </w:tcBorders>
            <w:shd w:val="clear" w:color="auto" w:fill="auto"/>
            <w:vAlign w:val="center"/>
          </w:tcPr>
          <w:p w14:paraId="7DAFC5BE">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显示器</w:t>
            </w:r>
          </w:p>
        </w:tc>
        <w:tc>
          <w:tcPr>
            <w:tcW w:w="639" w:type="pct"/>
            <w:tcBorders>
              <w:top w:val="single" w:color="auto" w:sz="4" w:space="0"/>
              <w:bottom w:val="single" w:color="auto" w:sz="4" w:space="0"/>
            </w:tcBorders>
            <w:shd w:val="clear" w:color="auto" w:fill="auto"/>
            <w:vAlign w:val="center"/>
          </w:tcPr>
          <w:p w14:paraId="345AF3E2">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1</w:t>
            </w:r>
          </w:p>
        </w:tc>
        <w:tc>
          <w:tcPr>
            <w:tcW w:w="1355" w:type="pct"/>
            <w:tcBorders>
              <w:top w:val="single" w:color="auto" w:sz="4" w:space="0"/>
              <w:bottom w:val="single" w:color="auto" w:sz="4" w:space="0"/>
            </w:tcBorders>
            <w:shd w:val="clear" w:color="auto" w:fill="auto"/>
            <w:vAlign w:val="center"/>
          </w:tcPr>
          <w:p w14:paraId="6681D0A1">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否</w:t>
            </w:r>
          </w:p>
        </w:tc>
        <w:tc>
          <w:tcPr>
            <w:tcW w:w="1068" w:type="pct"/>
            <w:tcBorders>
              <w:top w:val="single" w:color="auto" w:sz="4" w:space="0"/>
              <w:bottom w:val="single" w:color="auto" w:sz="4" w:space="0"/>
            </w:tcBorders>
            <w:shd w:val="clear" w:color="auto" w:fill="auto"/>
            <w:vAlign w:val="center"/>
          </w:tcPr>
          <w:p w14:paraId="0F8390D7">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否</w:t>
            </w:r>
          </w:p>
        </w:tc>
      </w:tr>
      <w:tr w14:paraId="132DD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75" w:type="pct"/>
            <w:tcBorders>
              <w:top w:val="single" w:color="auto" w:sz="4" w:space="0"/>
              <w:bottom w:val="single" w:color="auto" w:sz="4" w:space="0"/>
            </w:tcBorders>
            <w:shd w:val="clear" w:color="auto" w:fill="auto"/>
            <w:vAlign w:val="center"/>
          </w:tcPr>
          <w:p w14:paraId="0D7980CD">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35</w:t>
            </w:r>
          </w:p>
        </w:tc>
        <w:tc>
          <w:tcPr>
            <w:tcW w:w="1361" w:type="pct"/>
            <w:tcBorders>
              <w:top w:val="single" w:color="auto" w:sz="4" w:space="0"/>
              <w:bottom w:val="single" w:color="auto" w:sz="4" w:space="0"/>
            </w:tcBorders>
            <w:shd w:val="clear" w:color="auto" w:fill="auto"/>
            <w:vAlign w:val="center"/>
          </w:tcPr>
          <w:p w14:paraId="2794D058">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防爆线管及线缆</w:t>
            </w:r>
          </w:p>
        </w:tc>
        <w:tc>
          <w:tcPr>
            <w:tcW w:w="639" w:type="pct"/>
            <w:tcBorders>
              <w:top w:val="single" w:color="auto" w:sz="4" w:space="0"/>
              <w:bottom w:val="single" w:color="auto" w:sz="4" w:space="0"/>
            </w:tcBorders>
            <w:shd w:val="clear" w:color="auto" w:fill="auto"/>
            <w:vAlign w:val="center"/>
          </w:tcPr>
          <w:p w14:paraId="520D2A3A">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400</w:t>
            </w:r>
          </w:p>
        </w:tc>
        <w:tc>
          <w:tcPr>
            <w:tcW w:w="1355" w:type="pct"/>
            <w:tcBorders>
              <w:top w:val="single" w:color="auto" w:sz="4" w:space="0"/>
              <w:bottom w:val="single" w:color="auto" w:sz="4" w:space="0"/>
            </w:tcBorders>
            <w:shd w:val="clear" w:color="auto" w:fill="auto"/>
            <w:vAlign w:val="center"/>
          </w:tcPr>
          <w:p w14:paraId="4E251663">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否</w:t>
            </w:r>
          </w:p>
        </w:tc>
        <w:tc>
          <w:tcPr>
            <w:tcW w:w="1068" w:type="pct"/>
            <w:tcBorders>
              <w:top w:val="single" w:color="auto" w:sz="4" w:space="0"/>
              <w:bottom w:val="single" w:color="auto" w:sz="4" w:space="0"/>
            </w:tcBorders>
            <w:shd w:val="clear" w:color="auto" w:fill="auto"/>
            <w:vAlign w:val="center"/>
          </w:tcPr>
          <w:p w14:paraId="39F35158">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否</w:t>
            </w:r>
          </w:p>
        </w:tc>
      </w:tr>
      <w:tr w14:paraId="50C7C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75" w:type="pct"/>
            <w:tcBorders>
              <w:top w:val="single" w:color="auto" w:sz="4" w:space="0"/>
              <w:bottom w:val="single" w:color="auto" w:sz="4" w:space="0"/>
            </w:tcBorders>
            <w:shd w:val="clear" w:color="auto" w:fill="auto"/>
            <w:vAlign w:val="center"/>
          </w:tcPr>
          <w:p w14:paraId="1EB5D18D">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36</w:t>
            </w:r>
          </w:p>
        </w:tc>
        <w:tc>
          <w:tcPr>
            <w:tcW w:w="1361" w:type="pct"/>
            <w:tcBorders>
              <w:top w:val="single" w:color="auto" w:sz="4" w:space="0"/>
              <w:bottom w:val="single" w:color="auto" w:sz="4" w:space="0"/>
            </w:tcBorders>
            <w:shd w:val="clear" w:color="auto" w:fill="auto"/>
            <w:vAlign w:val="center"/>
          </w:tcPr>
          <w:p w14:paraId="6AB4192D">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五金配件</w:t>
            </w:r>
          </w:p>
        </w:tc>
        <w:tc>
          <w:tcPr>
            <w:tcW w:w="639" w:type="pct"/>
            <w:tcBorders>
              <w:top w:val="single" w:color="auto" w:sz="4" w:space="0"/>
              <w:bottom w:val="single" w:color="auto" w:sz="4" w:space="0"/>
            </w:tcBorders>
            <w:shd w:val="clear" w:color="auto" w:fill="auto"/>
            <w:vAlign w:val="center"/>
          </w:tcPr>
          <w:p w14:paraId="61C541C3">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1</w:t>
            </w:r>
          </w:p>
        </w:tc>
        <w:tc>
          <w:tcPr>
            <w:tcW w:w="1355" w:type="pct"/>
            <w:tcBorders>
              <w:top w:val="single" w:color="auto" w:sz="4" w:space="0"/>
              <w:bottom w:val="single" w:color="auto" w:sz="4" w:space="0"/>
            </w:tcBorders>
            <w:shd w:val="clear" w:color="auto" w:fill="auto"/>
            <w:vAlign w:val="center"/>
          </w:tcPr>
          <w:p w14:paraId="217BB31B">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否</w:t>
            </w:r>
          </w:p>
        </w:tc>
        <w:tc>
          <w:tcPr>
            <w:tcW w:w="1068" w:type="pct"/>
            <w:tcBorders>
              <w:top w:val="single" w:color="auto" w:sz="4" w:space="0"/>
              <w:bottom w:val="single" w:color="auto" w:sz="4" w:space="0"/>
            </w:tcBorders>
            <w:shd w:val="clear" w:color="auto" w:fill="auto"/>
            <w:vAlign w:val="center"/>
          </w:tcPr>
          <w:p w14:paraId="444C9EF2">
            <w:pPr>
              <w:spacing w:line="360" w:lineRule="auto"/>
              <w:jc w:val="center"/>
              <w:rPr>
                <w:rFonts w:hint="default" w:ascii="Times New Roman" w:hAnsi="Times New Roman" w:cs="Times New Roman"/>
                <w:bCs/>
                <w:color w:val="auto"/>
                <w:sz w:val="28"/>
                <w:szCs w:val="28"/>
                <w:highlight w:val="none"/>
                <w:lang w:val="en-US" w:eastAsia="zh-CN"/>
              </w:rPr>
            </w:pPr>
            <w:r>
              <w:rPr>
                <w:rFonts w:hint="default" w:ascii="Times New Roman" w:hAnsi="Times New Roman" w:cs="Times New Roman"/>
                <w:bCs/>
                <w:color w:val="auto"/>
                <w:sz w:val="28"/>
                <w:szCs w:val="28"/>
                <w:highlight w:val="none"/>
                <w:lang w:val="en-US" w:eastAsia="zh-CN"/>
              </w:rPr>
              <w:t>否</w:t>
            </w:r>
          </w:p>
        </w:tc>
      </w:tr>
    </w:tbl>
    <w:p w14:paraId="09007530">
      <w:pPr>
        <w:pStyle w:val="5"/>
        <w:spacing w:line="360" w:lineRule="auto"/>
        <w:ind w:left="0" w:firstLine="550" w:firstLineChars="200"/>
        <w:jc w:val="both"/>
        <w:rPr>
          <w:rFonts w:asciiTheme="minorEastAsia" w:hAnsiTheme="minorEastAsia" w:cstheme="minorEastAsia"/>
          <w:color w:val="auto"/>
          <w:spacing w:val="-3"/>
          <w:highlight w:val="none"/>
        </w:rPr>
      </w:pPr>
      <w:r>
        <w:rPr>
          <w:rFonts w:hint="eastAsia" w:asciiTheme="minorEastAsia" w:hAnsiTheme="minorEastAsia" w:cstheme="minorEastAsia"/>
          <w:color w:val="auto"/>
          <w:spacing w:val="-3"/>
          <w:highlight w:val="none"/>
        </w:rPr>
        <w:t>二、技术要求：</w:t>
      </w:r>
    </w:p>
    <w:tbl>
      <w:tblPr>
        <w:tblStyle w:val="15"/>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6"/>
        <w:gridCol w:w="1394"/>
        <w:gridCol w:w="6792"/>
        <w:gridCol w:w="800"/>
      </w:tblGrid>
      <w:tr w14:paraId="6F5D20AD">
        <w:tblPrEx>
          <w:tblCellMar>
            <w:top w:w="0" w:type="dxa"/>
            <w:left w:w="108" w:type="dxa"/>
            <w:bottom w:w="0" w:type="dxa"/>
            <w:right w:w="108" w:type="dxa"/>
          </w:tblCellMar>
        </w:tblPrEx>
        <w:trPr>
          <w:trHeight w:val="958" w:hRule="atLeast"/>
          <w:jc w:val="center"/>
        </w:trPr>
        <w:tc>
          <w:tcPr>
            <w:tcW w:w="345" w:type="pct"/>
            <w:tcBorders>
              <w:top w:val="single" w:color="auto" w:sz="4" w:space="0"/>
            </w:tcBorders>
            <w:vAlign w:val="center"/>
          </w:tcPr>
          <w:p w14:paraId="1AB54D53">
            <w:pPr>
              <w:jc w:val="center"/>
              <w:rPr>
                <w:rFonts w:hint="default" w:ascii="Times New Roman" w:hAnsi="Times New Roman" w:cs="Times New Roman"/>
                <w:b/>
                <w:color w:val="auto"/>
                <w:sz w:val="24"/>
                <w:szCs w:val="24"/>
                <w:highlight w:val="none"/>
              </w:rPr>
            </w:pPr>
            <w:r>
              <w:rPr>
                <w:rFonts w:hint="default" w:ascii="Times New Roman" w:hAnsi="Times New Roman" w:cs="Times New Roman"/>
                <w:b/>
                <w:color w:val="auto"/>
                <w:sz w:val="24"/>
                <w:szCs w:val="24"/>
                <w:highlight w:val="none"/>
              </w:rPr>
              <w:t>序号</w:t>
            </w:r>
          </w:p>
        </w:tc>
        <w:tc>
          <w:tcPr>
            <w:tcW w:w="722" w:type="pct"/>
            <w:tcBorders>
              <w:top w:val="single" w:color="auto" w:sz="4" w:space="0"/>
            </w:tcBorders>
            <w:vAlign w:val="center"/>
          </w:tcPr>
          <w:p w14:paraId="69FE84E1">
            <w:pPr>
              <w:jc w:val="center"/>
              <w:rPr>
                <w:rFonts w:hint="default" w:ascii="Times New Roman" w:hAnsi="Times New Roman" w:cs="Times New Roman"/>
                <w:b/>
                <w:color w:val="auto"/>
                <w:sz w:val="24"/>
                <w:szCs w:val="24"/>
                <w:highlight w:val="none"/>
              </w:rPr>
            </w:pPr>
            <w:r>
              <w:rPr>
                <w:rFonts w:hint="default" w:ascii="Times New Roman" w:hAnsi="Times New Roman" w:cs="Times New Roman"/>
                <w:b/>
                <w:color w:val="auto"/>
                <w:sz w:val="24"/>
                <w:szCs w:val="24"/>
                <w:highlight w:val="none"/>
              </w:rPr>
              <w:t>设备名称</w:t>
            </w:r>
          </w:p>
        </w:tc>
        <w:tc>
          <w:tcPr>
            <w:tcW w:w="3517" w:type="pct"/>
            <w:tcBorders>
              <w:top w:val="single" w:color="auto" w:sz="4" w:space="0"/>
            </w:tcBorders>
            <w:vAlign w:val="center"/>
          </w:tcPr>
          <w:p w14:paraId="684D3AB0">
            <w:pPr>
              <w:jc w:val="center"/>
              <w:rPr>
                <w:rFonts w:hint="default" w:ascii="Times New Roman" w:hAnsi="Times New Roman" w:cs="Times New Roman"/>
                <w:b/>
                <w:color w:val="auto"/>
                <w:sz w:val="24"/>
                <w:szCs w:val="24"/>
                <w:highlight w:val="none"/>
              </w:rPr>
            </w:pPr>
            <w:r>
              <w:rPr>
                <w:rFonts w:hint="default" w:ascii="Times New Roman" w:hAnsi="Times New Roman" w:cs="Times New Roman"/>
                <w:b/>
                <w:color w:val="auto"/>
                <w:sz w:val="24"/>
                <w:szCs w:val="24"/>
                <w:highlight w:val="none"/>
              </w:rPr>
              <w:t>采购需求</w:t>
            </w:r>
          </w:p>
        </w:tc>
        <w:tc>
          <w:tcPr>
            <w:tcW w:w="414" w:type="pct"/>
            <w:tcBorders>
              <w:top w:val="single" w:color="auto" w:sz="4" w:space="0"/>
            </w:tcBorders>
            <w:vAlign w:val="center"/>
          </w:tcPr>
          <w:p w14:paraId="4054E7E7">
            <w:pPr>
              <w:jc w:val="center"/>
              <w:rPr>
                <w:rFonts w:hint="default" w:ascii="Times New Roman" w:hAnsi="Times New Roman" w:cs="Times New Roman"/>
                <w:b/>
                <w:color w:val="auto"/>
                <w:sz w:val="24"/>
                <w:szCs w:val="24"/>
                <w:highlight w:val="none"/>
              </w:rPr>
            </w:pPr>
            <w:r>
              <w:rPr>
                <w:rFonts w:hint="default" w:ascii="Times New Roman" w:hAnsi="Times New Roman" w:cs="Times New Roman"/>
                <w:b/>
                <w:color w:val="auto"/>
                <w:sz w:val="24"/>
                <w:szCs w:val="24"/>
                <w:highlight w:val="none"/>
              </w:rPr>
              <w:t>数量</w:t>
            </w:r>
          </w:p>
        </w:tc>
      </w:tr>
      <w:tr w14:paraId="432E7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345" w:type="pct"/>
            <w:tcBorders>
              <w:top w:val="single" w:color="auto" w:sz="4" w:space="0"/>
            </w:tcBorders>
            <w:shd w:val="clear" w:color="auto" w:fill="auto"/>
            <w:vAlign w:val="center"/>
          </w:tcPr>
          <w:p w14:paraId="241B98B6">
            <w:pPr>
              <w:keepNext w:val="0"/>
              <w:keepLines w:val="0"/>
              <w:pageBreakBefore w:val="0"/>
              <w:widowControl/>
              <w:suppressLineNumbers w:val="0"/>
              <w:kinsoku/>
              <w:wordWrap/>
              <w:overflowPunct/>
              <w:topLinePunct w:val="0"/>
              <w:autoSpaceDE w:val="0"/>
              <w:autoSpaceDN w:val="0"/>
              <w:bidi w:val="0"/>
              <w:adjustRightInd/>
              <w:snapToGrid/>
              <w:jc w:val="left"/>
              <w:textAlignment w:val="bottom"/>
              <w:rPr>
                <w:rFonts w:hint="default" w:ascii="Times New Roman" w:hAnsi="Times New Roman" w:eastAsia="仿宋" w:cs="Times New Roman"/>
                <w:color w:val="auto"/>
                <w:sz w:val="28"/>
                <w:szCs w:val="28"/>
                <w:highlight w:val="none"/>
                <w:lang w:val="en-US" w:eastAsia="zh-CN" w:bidi="ar-SA"/>
              </w:rPr>
            </w:pPr>
            <w:r>
              <w:rPr>
                <w:rFonts w:hint="default" w:ascii="Times New Roman" w:hAnsi="Times New Roman" w:eastAsia="仿宋" w:cs="Times New Roman"/>
                <w:i w:val="0"/>
                <w:iCs w:val="0"/>
                <w:color w:val="auto"/>
                <w:kern w:val="0"/>
                <w:sz w:val="28"/>
                <w:szCs w:val="28"/>
                <w:highlight w:val="none"/>
                <w:u w:val="none"/>
                <w:lang w:val="en-US" w:eastAsia="zh-CN" w:bidi="ar"/>
              </w:rPr>
              <w:t>1</w:t>
            </w:r>
          </w:p>
        </w:tc>
        <w:tc>
          <w:tcPr>
            <w:tcW w:w="722" w:type="pct"/>
            <w:tcBorders>
              <w:top w:val="single" w:color="auto" w:sz="4" w:space="0"/>
            </w:tcBorders>
            <w:shd w:val="clear" w:color="auto" w:fill="auto"/>
            <w:vAlign w:val="center"/>
          </w:tcPr>
          <w:p w14:paraId="5FBCD8C3">
            <w:pPr>
              <w:keepNext w:val="0"/>
              <w:keepLines w:val="0"/>
              <w:pageBreakBefore w:val="0"/>
              <w:widowControl/>
              <w:suppressLineNumbers w:val="0"/>
              <w:kinsoku/>
              <w:wordWrap/>
              <w:overflowPunct/>
              <w:topLinePunct w:val="0"/>
              <w:autoSpaceDE w:val="0"/>
              <w:autoSpaceDN w:val="0"/>
              <w:bidi w:val="0"/>
              <w:adjustRightInd/>
              <w:snapToGrid/>
              <w:jc w:val="center"/>
              <w:textAlignment w:val="center"/>
              <w:rPr>
                <w:rFonts w:hint="default" w:ascii="Times New Roman" w:hAnsi="Times New Roman" w:eastAsia="仿宋" w:cs="Times New Roman"/>
                <w:color w:val="auto"/>
                <w:sz w:val="28"/>
                <w:szCs w:val="28"/>
                <w:highlight w:val="none"/>
                <w:lang w:val="en-US" w:eastAsia="zh-CN" w:bidi="ar-SA"/>
              </w:rPr>
            </w:pPr>
            <w:r>
              <w:rPr>
                <w:rFonts w:hint="default" w:ascii="Times New Roman" w:hAnsi="Times New Roman" w:eastAsia="仿宋" w:cs="Times New Roman"/>
                <w:i w:val="0"/>
                <w:iCs w:val="0"/>
                <w:color w:val="auto"/>
                <w:kern w:val="0"/>
                <w:sz w:val="28"/>
                <w:szCs w:val="28"/>
                <w:highlight w:val="none"/>
                <w:u w:val="none"/>
                <w:lang w:val="en-US" w:eastAsia="zh-CN" w:bidi="ar"/>
              </w:rPr>
              <w:t>一体化智能安全防爆供气柜</w:t>
            </w:r>
          </w:p>
        </w:tc>
        <w:tc>
          <w:tcPr>
            <w:tcW w:w="3517" w:type="pct"/>
            <w:tcBorders>
              <w:top w:val="single" w:color="auto" w:sz="4" w:space="0"/>
            </w:tcBorders>
            <w:shd w:val="clear" w:color="auto" w:fill="auto"/>
            <w:vAlign w:val="center"/>
          </w:tcPr>
          <w:p w14:paraId="5C233BCC">
            <w:pPr>
              <w:keepNext w:val="0"/>
              <w:keepLines w:val="0"/>
              <w:pageBreakBefore w:val="0"/>
              <w:widowControl/>
              <w:suppressLineNumbers w:val="0"/>
              <w:kinsoku/>
              <w:wordWrap/>
              <w:overflowPunct/>
              <w:topLinePunct w:val="0"/>
              <w:autoSpaceDE w:val="0"/>
              <w:autoSpaceDN w:val="0"/>
              <w:bidi w:val="0"/>
              <w:adjustRightInd/>
              <w:snapToGrid/>
              <w:jc w:val="left"/>
              <w:textAlignment w:val="center"/>
              <w:rPr>
                <w:rFonts w:hint="default" w:ascii="Times New Roman" w:hAnsi="Times New Roman" w:eastAsia="仿宋" w:cs="Times New Roman"/>
                <w:i w:val="0"/>
                <w:iCs w:val="0"/>
                <w:color w:val="auto"/>
                <w:kern w:val="0"/>
                <w:sz w:val="28"/>
                <w:szCs w:val="28"/>
                <w:highlight w:val="none"/>
                <w:u w:val="none"/>
                <w:lang w:val="en-US" w:eastAsia="zh-CN" w:bidi="ar"/>
              </w:rPr>
            </w:pPr>
            <w:r>
              <w:rPr>
                <w:rFonts w:hint="default" w:ascii="Times New Roman" w:hAnsi="Times New Roman" w:eastAsia="仿宋" w:cs="Times New Roman"/>
                <w:i w:val="0"/>
                <w:iCs w:val="0"/>
                <w:color w:val="auto"/>
                <w:kern w:val="0"/>
                <w:sz w:val="28"/>
                <w:szCs w:val="28"/>
                <w:highlight w:val="none"/>
                <w:u w:val="none"/>
                <w:lang w:val="en-US" w:eastAsia="zh-CN" w:bidi="ar"/>
              </w:rPr>
              <w:t>1、柜体：≥尺寸8000*3000*2800mm，满足不同特性气体分类存放，易燃易爆气体存放间，四周采用全钢加固和专用抗爆墙体，满足防火防爆及物理抗爆等功能；气瓶存放数量≥90瓶，并配置相应的气瓶防倾倒措施。</w:t>
            </w:r>
          </w:p>
          <w:p w14:paraId="4B8898F7">
            <w:pPr>
              <w:keepNext w:val="0"/>
              <w:keepLines w:val="0"/>
              <w:pageBreakBefore w:val="0"/>
              <w:widowControl/>
              <w:suppressLineNumbers w:val="0"/>
              <w:kinsoku/>
              <w:wordWrap/>
              <w:overflowPunct/>
              <w:topLinePunct w:val="0"/>
              <w:autoSpaceDE w:val="0"/>
              <w:autoSpaceDN w:val="0"/>
              <w:bidi w:val="0"/>
              <w:adjustRightInd/>
              <w:snapToGrid/>
              <w:jc w:val="left"/>
              <w:textAlignment w:val="center"/>
              <w:rPr>
                <w:rFonts w:hint="default" w:ascii="Times New Roman" w:hAnsi="Times New Roman" w:eastAsia="仿宋" w:cs="Times New Roman"/>
                <w:i w:val="0"/>
                <w:iCs w:val="0"/>
                <w:color w:val="auto"/>
                <w:kern w:val="0"/>
                <w:sz w:val="28"/>
                <w:szCs w:val="28"/>
                <w:highlight w:val="none"/>
                <w:u w:val="none"/>
                <w:lang w:val="en-US" w:eastAsia="zh-CN" w:bidi="ar"/>
              </w:rPr>
            </w:pPr>
            <w:r>
              <w:rPr>
                <w:rFonts w:hint="default" w:ascii="Times New Roman" w:hAnsi="Times New Roman" w:eastAsia="仿宋" w:cs="Times New Roman"/>
                <w:i w:val="0"/>
                <w:iCs w:val="0"/>
                <w:color w:val="auto"/>
                <w:kern w:val="0"/>
                <w:sz w:val="28"/>
                <w:szCs w:val="28"/>
                <w:highlight w:val="none"/>
                <w:u w:val="none"/>
                <w:lang w:val="en-US" w:eastAsia="zh-CN" w:bidi="ar"/>
              </w:rPr>
              <w:t>2、B 型抗爆门一套，抗爆压力≥200kPa。门体材料：≥3.0mm厚碳结钢板，骨架材料：≥70mm×50mm加厚方管，门扇厚度：≥76mm，门框材料：≥120mm槽钢≥5.0mm厚，锁具类型：防爆手轮锁+防盗锁，铰链大小：35*130 / 50*160 专用抗爆铰链，填充材料：密度≥120KG/m³的岩棉。表面处理：喷塑工艺。</w:t>
            </w:r>
          </w:p>
          <w:p w14:paraId="1DDE9DB5">
            <w:pPr>
              <w:keepNext w:val="0"/>
              <w:keepLines w:val="0"/>
              <w:pageBreakBefore w:val="0"/>
              <w:widowControl/>
              <w:suppressLineNumbers w:val="0"/>
              <w:kinsoku/>
              <w:wordWrap/>
              <w:overflowPunct/>
              <w:topLinePunct w:val="0"/>
              <w:autoSpaceDE w:val="0"/>
              <w:autoSpaceDN w:val="0"/>
              <w:bidi w:val="0"/>
              <w:adjustRightInd/>
              <w:snapToGrid/>
              <w:jc w:val="left"/>
              <w:textAlignment w:val="center"/>
              <w:rPr>
                <w:rFonts w:hint="default" w:ascii="Times New Roman" w:hAnsi="Times New Roman" w:eastAsia="仿宋" w:cs="Times New Roman"/>
                <w:i w:val="0"/>
                <w:iCs w:val="0"/>
                <w:color w:val="auto"/>
                <w:kern w:val="0"/>
                <w:sz w:val="28"/>
                <w:szCs w:val="28"/>
                <w:highlight w:val="none"/>
                <w:u w:val="none"/>
                <w:lang w:val="en-US" w:eastAsia="zh-CN" w:bidi="ar"/>
              </w:rPr>
            </w:pPr>
            <w:r>
              <w:rPr>
                <w:rFonts w:hint="default" w:ascii="Times New Roman" w:hAnsi="Times New Roman" w:eastAsia="仿宋" w:cs="Times New Roman"/>
                <w:i w:val="0"/>
                <w:iCs w:val="0"/>
                <w:color w:val="auto"/>
                <w:kern w:val="0"/>
                <w:sz w:val="28"/>
                <w:szCs w:val="28"/>
                <w:highlight w:val="none"/>
                <w:u w:val="none"/>
                <w:lang w:val="en-US" w:eastAsia="zh-CN" w:bidi="ar"/>
              </w:rPr>
              <w:t>3、防爆空调降温系统三套，额定电压（V）/频率（Hz）：220/50；循环风量(m3/h)：630，噪声（室内/室外）（dB）：11/37，防护等级：≥IP54，防爆触电等级：≥I，防爆等级应满足氢气环境下使用。</w:t>
            </w:r>
          </w:p>
          <w:p w14:paraId="3CE44454">
            <w:pPr>
              <w:keepNext w:val="0"/>
              <w:keepLines w:val="0"/>
              <w:pageBreakBefore w:val="0"/>
              <w:widowControl/>
              <w:suppressLineNumbers w:val="0"/>
              <w:kinsoku/>
              <w:wordWrap/>
              <w:overflowPunct/>
              <w:topLinePunct w:val="0"/>
              <w:autoSpaceDE w:val="0"/>
              <w:autoSpaceDN w:val="0"/>
              <w:bidi w:val="0"/>
              <w:adjustRightInd/>
              <w:snapToGrid/>
              <w:jc w:val="left"/>
              <w:textAlignment w:val="center"/>
              <w:rPr>
                <w:rFonts w:hint="default" w:ascii="Times New Roman" w:hAnsi="Times New Roman" w:eastAsia="仿宋" w:cs="Times New Roman"/>
                <w:i w:val="0"/>
                <w:iCs w:val="0"/>
                <w:color w:val="auto"/>
                <w:kern w:val="0"/>
                <w:sz w:val="28"/>
                <w:szCs w:val="28"/>
                <w:highlight w:val="none"/>
                <w:u w:val="none"/>
                <w:lang w:val="en-US" w:eastAsia="zh-CN" w:bidi="ar"/>
              </w:rPr>
            </w:pPr>
            <w:r>
              <w:rPr>
                <w:rFonts w:hint="default" w:ascii="Times New Roman" w:hAnsi="Times New Roman" w:cs="Times New Roman"/>
                <w:i w:val="0"/>
                <w:iCs w:val="0"/>
                <w:color w:val="auto"/>
                <w:kern w:val="0"/>
                <w:sz w:val="28"/>
                <w:szCs w:val="28"/>
                <w:highlight w:val="none"/>
                <w:u w:val="none"/>
                <w:lang w:val="en-US" w:eastAsia="zh-CN" w:bidi="ar"/>
              </w:rPr>
              <w:t>4</w:t>
            </w:r>
            <w:r>
              <w:rPr>
                <w:rFonts w:hint="default" w:ascii="Times New Roman" w:hAnsi="Times New Roman" w:eastAsia="仿宋" w:cs="Times New Roman"/>
                <w:i w:val="0"/>
                <w:iCs w:val="0"/>
                <w:color w:val="auto"/>
                <w:kern w:val="0"/>
                <w:sz w:val="28"/>
                <w:szCs w:val="28"/>
                <w:highlight w:val="none"/>
                <w:u w:val="none"/>
                <w:lang w:val="en-US" w:eastAsia="zh-CN" w:bidi="ar"/>
              </w:rPr>
              <w:t>、▲柜体及柜内防爆关键部件须提供有效的防爆合格证。</w:t>
            </w:r>
          </w:p>
        </w:tc>
        <w:tc>
          <w:tcPr>
            <w:tcW w:w="414" w:type="pct"/>
            <w:tcBorders>
              <w:top w:val="single" w:color="auto" w:sz="4" w:space="0"/>
            </w:tcBorders>
            <w:vAlign w:val="center"/>
          </w:tcPr>
          <w:p w14:paraId="2585FA61">
            <w:pPr>
              <w:keepNext w:val="0"/>
              <w:keepLines w:val="0"/>
              <w:widowControl/>
              <w:suppressLineNumbers w:val="0"/>
              <w:jc w:val="center"/>
              <w:textAlignment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i w:val="0"/>
                <w:iCs w:val="0"/>
                <w:color w:val="auto"/>
                <w:kern w:val="0"/>
                <w:sz w:val="20"/>
                <w:szCs w:val="20"/>
                <w:highlight w:val="none"/>
                <w:u w:val="none"/>
                <w:lang w:val="en-US" w:eastAsia="zh-CN" w:bidi="ar"/>
              </w:rPr>
              <w:t>1</w:t>
            </w:r>
            <w:r>
              <w:rPr>
                <w:rStyle w:val="27"/>
                <w:rFonts w:hint="default" w:ascii="Times New Roman" w:hAnsi="Times New Roman" w:eastAsia="仿宋" w:cs="Times New Roman"/>
                <w:color w:val="auto"/>
                <w:highlight w:val="none"/>
                <w:lang w:val="en-US" w:eastAsia="zh-CN" w:bidi="ar"/>
              </w:rPr>
              <w:t>台</w:t>
            </w:r>
          </w:p>
        </w:tc>
      </w:tr>
      <w:tr w14:paraId="44B29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345" w:type="pct"/>
            <w:tcBorders>
              <w:top w:val="single" w:color="auto" w:sz="4" w:space="0"/>
            </w:tcBorders>
            <w:shd w:val="clear" w:color="auto" w:fill="auto"/>
            <w:vAlign w:val="center"/>
          </w:tcPr>
          <w:p w14:paraId="6E49595A">
            <w:pPr>
              <w:keepNext w:val="0"/>
              <w:keepLines w:val="0"/>
              <w:pageBreakBefore w:val="0"/>
              <w:widowControl/>
              <w:suppressLineNumbers w:val="0"/>
              <w:kinsoku/>
              <w:wordWrap/>
              <w:overflowPunct/>
              <w:topLinePunct w:val="0"/>
              <w:autoSpaceDE w:val="0"/>
              <w:autoSpaceDN w:val="0"/>
              <w:bidi w:val="0"/>
              <w:adjustRightInd/>
              <w:snapToGrid/>
              <w:jc w:val="left"/>
              <w:textAlignment w:val="bottom"/>
              <w:rPr>
                <w:rFonts w:hint="default" w:ascii="Times New Roman" w:hAnsi="Times New Roman" w:eastAsia="仿宋" w:cs="Times New Roman"/>
                <w:color w:val="auto"/>
                <w:sz w:val="28"/>
                <w:szCs w:val="28"/>
                <w:highlight w:val="none"/>
                <w:lang w:val="en-US" w:eastAsia="zh-CN" w:bidi="ar-SA"/>
              </w:rPr>
            </w:pPr>
            <w:r>
              <w:rPr>
                <w:rFonts w:hint="default" w:ascii="Times New Roman" w:hAnsi="Times New Roman" w:eastAsia="仿宋" w:cs="Times New Roman"/>
                <w:i w:val="0"/>
                <w:iCs w:val="0"/>
                <w:color w:val="auto"/>
                <w:kern w:val="0"/>
                <w:sz w:val="28"/>
                <w:szCs w:val="28"/>
                <w:highlight w:val="none"/>
                <w:u w:val="none"/>
                <w:lang w:val="en-US" w:eastAsia="zh-CN" w:bidi="ar"/>
              </w:rPr>
              <w:t>2</w:t>
            </w:r>
          </w:p>
        </w:tc>
        <w:tc>
          <w:tcPr>
            <w:tcW w:w="722" w:type="pct"/>
            <w:tcBorders>
              <w:top w:val="single" w:color="auto" w:sz="4" w:space="0"/>
            </w:tcBorders>
            <w:shd w:val="clear" w:color="auto" w:fill="auto"/>
            <w:vAlign w:val="center"/>
          </w:tcPr>
          <w:p w14:paraId="689FB3D6">
            <w:pPr>
              <w:keepNext w:val="0"/>
              <w:keepLines w:val="0"/>
              <w:pageBreakBefore w:val="0"/>
              <w:widowControl/>
              <w:suppressLineNumbers w:val="0"/>
              <w:kinsoku/>
              <w:wordWrap/>
              <w:overflowPunct/>
              <w:topLinePunct w:val="0"/>
              <w:autoSpaceDE w:val="0"/>
              <w:autoSpaceDN w:val="0"/>
              <w:bidi w:val="0"/>
              <w:adjustRightInd/>
              <w:snapToGrid/>
              <w:jc w:val="center"/>
              <w:textAlignment w:val="center"/>
              <w:rPr>
                <w:rFonts w:hint="default" w:ascii="Times New Roman" w:hAnsi="Times New Roman" w:eastAsia="仿宋" w:cs="Times New Roman"/>
                <w:color w:val="auto"/>
                <w:sz w:val="28"/>
                <w:szCs w:val="28"/>
                <w:highlight w:val="none"/>
                <w:lang w:val="en-US" w:eastAsia="zh-CN" w:bidi="ar-SA"/>
              </w:rPr>
            </w:pPr>
            <w:r>
              <w:rPr>
                <w:rFonts w:hint="default" w:ascii="Times New Roman" w:hAnsi="Times New Roman" w:eastAsia="仿宋" w:cs="Times New Roman"/>
                <w:i w:val="0"/>
                <w:iCs w:val="0"/>
                <w:color w:val="auto"/>
                <w:kern w:val="0"/>
                <w:sz w:val="28"/>
                <w:szCs w:val="28"/>
                <w:highlight w:val="none"/>
                <w:u w:val="none"/>
                <w:lang w:val="en-US" w:eastAsia="zh-CN" w:bidi="ar"/>
              </w:rPr>
              <w:t>气体泄漏联动排风系统</w:t>
            </w:r>
          </w:p>
        </w:tc>
        <w:tc>
          <w:tcPr>
            <w:tcW w:w="3517" w:type="pct"/>
            <w:tcBorders>
              <w:top w:val="single" w:color="auto" w:sz="4" w:space="0"/>
            </w:tcBorders>
            <w:shd w:val="clear" w:color="auto" w:fill="auto"/>
            <w:vAlign w:val="center"/>
          </w:tcPr>
          <w:p w14:paraId="7134396B">
            <w:pPr>
              <w:keepNext w:val="0"/>
              <w:keepLines w:val="0"/>
              <w:pageBreakBefore w:val="0"/>
              <w:widowControl/>
              <w:suppressLineNumbers w:val="0"/>
              <w:kinsoku/>
              <w:wordWrap/>
              <w:overflowPunct/>
              <w:topLinePunct w:val="0"/>
              <w:autoSpaceDE w:val="0"/>
              <w:autoSpaceDN w:val="0"/>
              <w:bidi w:val="0"/>
              <w:adjustRightInd/>
              <w:snapToGrid/>
              <w:jc w:val="left"/>
              <w:textAlignment w:val="center"/>
              <w:rPr>
                <w:rFonts w:hint="default" w:ascii="Times New Roman" w:hAnsi="Times New Roman" w:eastAsia="仿宋" w:cs="Times New Roman"/>
                <w:i w:val="0"/>
                <w:iCs w:val="0"/>
                <w:color w:val="auto"/>
                <w:kern w:val="0"/>
                <w:sz w:val="28"/>
                <w:szCs w:val="28"/>
                <w:highlight w:val="none"/>
                <w:u w:val="none"/>
                <w:lang w:val="en-US" w:eastAsia="zh-CN" w:bidi="ar"/>
              </w:rPr>
            </w:pPr>
            <w:r>
              <w:rPr>
                <w:rFonts w:hint="default" w:ascii="Times New Roman" w:hAnsi="Times New Roman" w:eastAsia="仿宋" w:cs="Times New Roman"/>
                <w:i w:val="0"/>
                <w:iCs w:val="0"/>
                <w:color w:val="auto"/>
                <w:kern w:val="0"/>
                <w:sz w:val="28"/>
                <w:szCs w:val="28"/>
                <w:highlight w:val="none"/>
                <w:u w:val="none"/>
                <w:lang w:val="en-US" w:eastAsia="zh-CN" w:bidi="ar"/>
              </w:rPr>
              <w:t>采用高效防爆风机，风量不低于4500m³/H，具备报警联动/时控/手动控制功能，可间歇性排风，循环柜内新风，防止气体泄漏聚集，保护柜内安全。</w:t>
            </w:r>
          </w:p>
        </w:tc>
        <w:tc>
          <w:tcPr>
            <w:tcW w:w="414" w:type="pct"/>
            <w:tcBorders>
              <w:top w:val="single" w:color="auto" w:sz="4" w:space="0"/>
            </w:tcBorders>
            <w:vAlign w:val="center"/>
          </w:tcPr>
          <w:p w14:paraId="31FB3E20">
            <w:pPr>
              <w:keepNext w:val="0"/>
              <w:keepLines w:val="0"/>
              <w:widowControl/>
              <w:suppressLineNumbers w:val="0"/>
              <w:jc w:val="center"/>
              <w:textAlignment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i w:val="0"/>
                <w:iCs w:val="0"/>
                <w:color w:val="auto"/>
                <w:kern w:val="0"/>
                <w:sz w:val="20"/>
                <w:szCs w:val="20"/>
                <w:highlight w:val="none"/>
                <w:u w:val="none"/>
                <w:lang w:val="en-US" w:eastAsia="zh-CN" w:bidi="ar"/>
              </w:rPr>
              <w:t>3</w:t>
            </w:r>
            <w:r>
              <w:rPr>
                <w:rStyle w:val="27"/>
                <w:rFonts w:hint="default" w:ascii="Times New Roman" w:hAnsi="Times New Roman" w:eastAsia="仿宋" w:cs="Times New Roman"/>
                <w:color w:val="auto"/>
                <w:highlight w:val="none"/>
                <w:lang w:val="en-US" w:eastAsia="zh-CN" w:bidi="ar"/>
              </w:rPr>
              <w:t>套</w:t>
            </w:r>
          </w:p>
        </w:tc>
      </w:tr>
      <w:tr w14:paraId="22675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345" w:type="pct"/>
            <w:tcBorders>
              <w:top w:val="single" w:color="auto" w:sz="4" w:space="0"/>
            </w:tcBorders>
            <w:shd w:val="clear" w:color="auto" w:fill="auto"/>
            <w:vAlign w:val="center"/>
          </w:tcPr>
          <w:p w14:paraId="576FE49C">
            <w:pPr>
              <w:keepNext w:val="0"/>
              <w:keepLines w:val="0"/>
              <w:pageBreakBefore w:val="0"/>
              <w:widowControl/>
              <w:suppressLineNumbers w:val="0"/>
              <w:kinsoku/>
              <w:wordWrap/>
              <w:overflowPunct/>
              <w:topLinePunct w:val="0"/>
              <w:autoSpaceDE w:val="0"/>
              <w:autoSpaceDN w:val="0"/>
              <w:bidi w:val="0"/>
              <w:adjustRightInd/>
              <w:snapToGrid/>
              <w:jc w:val="left"/>
              <w:textAlignment w:val="bottom"/>
              <w:rPr>
                <w:rFonts w:hint="default" w:ascii="Times New Roman" w:hAnsi="Times New Roman" w:eastAsia="仿宋" w:cs="Times New Roman"/>
                <w:color w:val="auto"/>
                <w:sz w:val="28"/>
                <w:szCs w:val="28"/>
                <w:highlight w:val="none"/>
                <w:lang w:val="en-US" w:eastAsia="zh-CN" w:bidi="ar-SA"/>
              </w:rPr>
            </w:pPr>
            <w:r>
              <w:rPr>
                <w:rFonts w:hint="default" w:ascii="Times New Roman" w:hAnsi="Times New Roman" w:eastAsia="仿宋" w:cs="Times New Roman"/>
                <w:i w:val="0"/>
                <w:iCs w:val="0"/>
                <w:color w:val="auto"/>
                <w:kern w:val="0"/>
                <w:sz w:val="28"/>
                <w:szCs w:val="28"/>
                <w:highlight w:val="none"/>
                <w:u w:val="none"/>
                <w:lang w:val="en-US" w:eastAsia="zh-CN" w:bidi="ar"/>
              </w:rPr>
              <w:t>3</w:t>
            </w:r>
          </w:p>
        </w:tc>
        <w:tc>
          <w:tcPr>
            <w:tcW w:w="722" w:type="pct"/>
            <w:tcBorders>
              <w:top w:val="single" w:color="auto" w:sz="4" w:space="0"/>
            </w:tcBorders>
            <w:shd w:val="clear" w:color="auto" w:fill="auto"/>
            <w:vAlign w:val="center"/>
          </w:tcPr>
          <w:p w14:paraId="073D3D2E">
            <w:pPr>
              <w:keepNext w:val="0"/>
              <w:keepLines w:val="0"/>
              <w:pageBreakBefore w:val="0"/>
              <w:widowControl/>
              <w:suppressLineNumbers w:val="0"/>
              <w:kinsoku/>
              <w:wordWrap/>
              <w:overflowPunct/>
              <w:topLinePunct w:val="0"/>
              <w:autoSpaceDE w:val="0"/>
              <w:autoSpaceDN w:val="0"/>
              <w:bidi w:val="0"/>
              <w:adjustRightInd/>
              <w:snapToGrid/>
              <w:jc w:val="center"/>
              <w:textAlignment w:val="center"/>
              <w:rPr>
                <w:rFonts w:hint="default" w:ascii="Times New Roman" w:hAnsi="Times New Roman" w:eastAsia="仿宋" w:cs="Times New Roman"/>
                <w:color w:val="auto"/>
                <w:sz w:val="28"/>
                <w:szCs w:val="28"/>
                <w:highlight w:val="none"/>
                <w:lang w:val="en-US" w:eastAsia="zh-CN" w:bidi="ar-SA"/>
              </w:rPr>
            </w:pPr>
            <w:r>
              <w:rPr>
                <w:rFonts w:hint="default" w:ascii="Times New Roman" w:hAnsi="Times New Roman" w:eastAsia="仿宋" w:cs="Times New Roman"/>
                <w:i w:val="0"/>
                <w:iCs w:val="0"/>
                <w:color w:val="auto"/>
                <w:kern w:val="0"/>
                <w:sz w:val="28"/>
                <w:szCs w:val="28"/>
                <w:highlight w:val="none"/>
                <w:u w:val="none"/>
                <w:lang w:val="en-US" w:eastAsia="zh-CN" w:bidi="ar"/>
              </w:rPr>
              <w:t>防爆开关</w:t>
            </w:r>
          </w:p>
        </w:tc>
        <w:tc>
          <w:tcPr>
            <w:tcW w:w="3517" w:type="pct"/>
            <w:tcBorders>
              <w:top w:val="single" w:color="auto" w:sz="4" w:space="0"/>
            </w:tcBorders>
            <w:shd w:val="clear" w:color="auto" w:fill="auto"/>
            <w:vAlign w:val="center"/>
          </w:tcPr>
          <w:p w14:paraId="1ED28465">
            <w:pPr>
              <w:keepNext w:val="0"/>
              <w:keepLines w:val="0"/>
              <w:pageBreakBefore w:val="0"/>
              <w:widowControl/>
              <w:suppressLineNumbers w:val="0"/>
              <w:kinsoku/>
              <w:wordWrap/>
              <w:overflowPunct/>
              <w:topLinePunct w:val="0"/>
              <w:autoSpaceDE w:val="0"/>
              <w:autoSpaceDN w:val="0"/>
              <w:bidi w:val="0"/>
              <w:adjustRightInd/>
              <w:snapToGrid/>
              <w:jc w:val="left"/>
              <w:textAlignment w:val="center"/>
              <w:rPr>
                <w:rFonts w:hint="default" w:ascii="Times New Roman" w:hAnsi="Times New Roman" w:eastAsia="仿宋" w:cs="Times New Roman"/>
                <w:i w:val="0"/>
                <w:iCs w:val="0"/>
                <w:color w:val="auto"/>
                <w:kern w:val="0"/>
                <w:sz w:val="28"/>
                <w:szCs w:val="28"/>
                <w:highlight w:val="none"/>
                <w:u w:val="none"/>
                <w:lang w:val="en-US" w:eastAsia="zh-CN" w:bidi="ar"/>
              </w:rPr>
            </w:pPr>
            <w:r>
              <w:rPr>
                <w:rFonts w:hint="default" w:ascii="Times New Roman" w:hAnsi="Times New Roman" w:eastAsia="仿宋" w:cs="Times New Roman"/>
                <w:i w:val="0"/>
                <w:iCs w:val="0"/>
                <w:color w:val="auto"/>
                <w:kern w:val="0"/>
                <w:sz w:val="28"/>
                <w:szCs w:val="28"/>
                <w:highlight w:val="none"/>
                <w:u w:val="none"/>
                <w:lang w:val="en-US" w:eastAsia="zh-CN" w:bidi="ar"/>
              </w:rPr>
              <w:t>适用电压：220V/380V，防爆等级应满足氢气环境下使用。（提供满足在氢气环境下使用的证明文件）</w:t>
            </w:r>
          </w:p>
        </w:tc>
        <w:tc>
          <w:tcPr>
            <w:tcW w:w="414" w:type="pct"/>
            <w:tcBorders>
              <w:top w:val="single" w:color="auto" w:sz="4" w:space="0"/>
            </w:tcBorders>
            <w:vAlign w:val="center"/>
          </w:tcPr>
          <w:p w14:paraId="54B5B685">
            <w:pPr>
              <w:keepNext w:val="0"/>
              <w:keepLines w:val="0"/>
              <w:widowControl/>
              <w:suppressLineNumbers w:val="0"/>
              <w:jc w:val="center"/>
              <w:textAlignment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i w:val="0"/>
                <w:iCs w:val="0"/>
                <w:color w:val="auto"/>
                <w:kern w:val="0"/>
                <w:sz w:val="20"/>
                <w:szCs w:val="20"/>
                <w:highlight w:val="none"/>
                <w:u w:val="none"/>
                <w:lang w:val="en-US" w:eastAsia="zh-CN" w:bidi="ar"/>
              </w:rPr>
              <w:t>3</w:t>
            </w:r>
            <w:r>
              <w:rPr>
                <w:rStyle w:val="27"/>
                <w:rFonts w:hint="default" w:ascii="Times New Roman" w:hAnsi="Times New Roman" w:eastAsia="仿宋" w:cs="Times New Roman"/>
                <w:color w:val="auto"/>
                <w:highlight w:val="none"/>
                <w:lang w:val="en-US" w:eastAsia="zh-CN" w:bidi="ar"/>
              </w:rPr>
              <w:t>套</w:t>
            </w:r>
          </w:p>
        </w:tc>
      </w:tr>
      <w:tr w14:paraId="3A9B3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345" w:type="pct"/>
            <w:tcBorders>
              <w:top w:val="single" w:color="auto" w:sz="4" w:space="0"/>
            </w:tcBorders>
            <w:shd w:val="clear" w:color="auto" w:fill="auto"/>
            <w:vAlign w:val="center"/>
          </w:tcPr>
          <w:p w14:paraId="28EED821">
            <w:pPr>
              <w:keepNext w:val="0"/>
              <w:keepLines w:val="0"/>
              <w:pageBreakBefore w:val="0"/>
              <w:widowControl/>
              <w:suppressLineNumbers w:val="0"/>
              <w:kinsoku/>
              <w:wordWrap/>
              <w:overflowPunct/>
              <w:topLinePunct w:val="0"/>
              <w:autoSpaceDE w:val="0"/>
              <w:autoSpaceDN w:val="0"/>
              <w:bidi w:val="0"/>
              <w:adjustRightInd/>
              <w:snapToGrid/>
              <w:jc w:val="left"/>
              <w:textAlignment w:val="bottom"/>
              <w:rPr>
                <w:rFonts w:hint="default" w:ascii="Times New Roman" w:hAnsi="Times New Roman" w:eastAsia="仿宋" w:cs="Times New Roman"/>
                <w:color w:val="auto"/>
                <w:sz w:val="28"/>
                <w:szCs w:val="28"/>
                <w:highlight w:val="none"/>
                <w:lang w:val="en-US" w:eastAsia="zh-CN" w:bidi="ar-SA"/>
              </w:rPr>
            </w:pPr>
            <w:r>
              <w:rPr>
                <w:rFonts w:hint="default" w:ascii="Times New Roman" w:hAnsi="Times New Roman" w:eastAsia="仿宋" w:cs="Times New Roman"/>
                <w:i w:val="0"/>
                <w:iCs w:val="0"/>
                <w:color w:val="auto"/>
                <w:kern w:val="0"/>
                <w:sz w:val="28"/>
                <w:szCs w:val="28"/>
                <w:highlight w:val="none"/>
                <w:u w:val="none"/>
                <w:lang w:val="en-US" w:eastAsia="zh-CN" w:bidi="ar"/>
              </w:rPr>
              <w:t>4</w:t>
            </w:r>
          </w:p>
        </w:tc>
        <w:tc>
          <w:tcPr>
            <w:tcW w:w="722" w:type="pct"/>
            <w:tcBorders>
              <w:top w:val="single" w:color="auto" w:sz="4" w:space="0"/>
            </w:tcBorders>
            <w:shd w:val="clear" w:color="auto" w:fill="auto"/>
            <w:vAlign w:val="center"/>
          </w:tcPr>
          <w:p w14:paraId="7A832848">
            <w:pPr>
              <w:keepNext w:val="0"/>
              <w:keepLines w:val="0"/>
              <w:pageBreakBefore w:val="0"/>
              <w:widowControl/>
              <w:suppressLineNumbers w:val="0"/>
              <w:kinsoku/>
              <w:wordWrap/>
              <w:overflowPunct/>
              <w:topLinePunct w:val="0"/>
              <w:autoSpaceDE w:val="0"/>
              <w:autoSpaceDN w:val="0"/>
              <w:bidi w:val="0"/>
              <w:adjustRightInd/>
              <w:snapToGrid/>
              <w:jc w:val="center"/>
              <w:textAlignment w:val="center"/>
              <w:rPr>
                <w:rFonts w:hint="default" w:ascii="Times New Roman" w:hAnsi="Times New Roman" w:eastAsia="仿宋" w:cs="Times New Roman"/>
                <w:color w:val="auto"/>
                <w:sz w:val="28"/>
                <w:szCs w:val="28"/>
                <w:highlight w:val="none"/>
                <w:lang w:val="en-US" w:eastAsia="zh-CN" w:bidi="ar-SA"/>
              </w:rPr>
            </w:pPr>
            <w:r>
              <w:rPr>
                <w:rFonts w:hint="default" w:ascii="Times New Roman" w:hAnsi="Times New Roman" w:eastAsia="仿宋" w:cs="Times New Roman"/>
                <w:i w:val="0"/>
                <w:iCs w:val="0"/>
                <w:color w:val="auto"/>
                <w:kern w:val="0"/>
                <w:sz w:val="28"/>
                <w:szCs w:val="28"/>
                <w:highlight w:val="none"/>
                <w:u w:val="none"/>
                <w:lang w:val="en-US" w:eastAsia="zh-CN" w:bidi="ar"/>
              </w:rPr>
              <w:t>防爆灯</w:t>
            </w:r>
          </w:p>
        </w:tc>
        <w:tc>
          <w:tcPr>
            <w:tcW w:w="3517" w:type="pct"/>
            <w:tcBorders>
              <w:top w:val="single" w:color="auto" w:sz="4" w:space="0"/>
            </w:tcBorders>
            <w:shd w:val="clear" w:color="auto" w:fill="auto"/>
            <w:vAlign w:val="center"/>
          </w:tcPr>
          <w:p w14:paraId="06B5F62F">
            <w:pPr>
              <w:keepNext w:val="0"/>
              <w:keepLines w:val="0"/>
              <w:pageBreakBefore w:val="0"/>
              <w:widowControl/>
              <w:suppressLineNumbers w:val="0"/>
              <w:kinsoku/>
              <w:wordWrap/>
              <w:overflowPunct/>
              <w:topLinePunct w:val="0"/>
              <w:autoSpaceDE w:val="0"/>
              <w:autoSpaceDN w:val="0"/>
              <w:bidi w:val="0"/>
              <w:adjustRightInd/>
              <w:snapToGrid/>
              <w:jc w:val="left"/>
              <w:textAlignment w:val="center"/>
              <w:rPr>
                <w:rFonts w:hint="default" w:ascii="Times New Roman" w:hAnsi="Times New Roman" w:eastAsia="仿宋" w:cs="Times New Roman"/>
                <w:i w:val="0"/>
                <w:iCs w:val="0"/>
                <w:color w:val="auto"/>
                <w:kern w:val="0"/>
                <w:sz w:val="28"/>
                <w:szCs w:val="28"/>
                <w:highlight w:val="none"/>
                <w:u w:val="none"/>
                <w:lang w:val="en-US" w:eastAsia="zh-CN" w:bidi="ar"/>
              </w:rPr>
            </w:pPr>
            <w:r>
              <w:rPr>
                <w:rFonts w:hint="default" w:ascii="Times New Roman" w:hAnsi="Times New Roman" w:eastAsia="仿宋" w:cs="Times New Roman"/>
                <w:i w:val="0"/>
                <w:iCs w:val="0"/>
                <w:color w:val="auto"/>
                <w:kern w:val="0"/>
                <w:sz w:val="28"/>
                <w:szCs w:val="28"/>
                <w:highlight w:val="none"/>
                <w:u w:val="none"/>
                <w:lang w:val="en-US" w:eastAsia="zh-CN" w:bidi="ar"/>
              </w:rPr>
              <w:t>额定功率（W）：100W，额定电压（V）：220V，防护等级：IP65引入装置：G3/4″引入口规格，防爆等级应满足氢气环境下使用。（提供满足在氢气环境下使用的证明文件）</w:t>
            </w:r>
          </w:p>
        </w:tc>
        <w:tc>
          <w:tcPr>
            <w:tcW w:w="414" w:type="pct"/>
            <w:tcBorders>
              <w:top w:val="single" w:color="auto" w:sz="4" w:space="0"/>
            </w:tcBorders>
            <w:vAlign w:val="center"/>
          </w:tcPr>
          <w:p w14:paraId="7957A31C">
            <w:pPr>
              <w:keepNext w:val="0"/>
              <w:keepLines w:val="0"/>
              <w:widowControl/>
              <w:suppressLineNumbers w:val="0"/>
              <w:jc w:val="center"/>
              <w:textAlignment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i w:val="0"/>
                <w:iCs w:val="0"/>
                <w:color w:val="auto"/>
                <w:kern w:val="0"/>
                <w:sz w:val="20"/>
                <w:szCs w:val="20"/>
                <w:highlight w:val="none"/>
                <w:u w:val="none"/>
                <w:lang w:val="en-US" w:eastAsia="zh-CN" w:bidi="ar"/>
              </w:rPr>
              <w:t>4</w:t>
            </w:r>
            <w:r>
              <w:rPr>
                <w:rStyle w:val="27"/>
                <w:rFonts w:hint="default" w:ascii="Times New Roman" w:hAnsi="Times New Roman" w:eastAsia="仿宋" w:cs="Times New Roman"/>
                <w:color w:val="auto"/>
                <w:highlight w:val="none"/>
                <w:lang w:val="en-US" w:eastAsia="zh-CN" w:bidi="ar"/>
              </w:rPr>
              <w:t>个</w:t>
            </w:r>
          </w:p>
        </w:tc>
      </w:tr>
      <w:tr w14:paraId="78503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345" w:type="pct"/>
            <w:tcBorders>
              <w:top w:val="single" w:color="auto" w:sz="4" w:space="0"/>
            </w:tcBorders>
            <w:shd w:val="clear" w:color="auto" w:fill="auto"/>
            <w:vAlign w:val="center"/>
          </w:tcPr>
          <w:p w14:paraId="6C07795C">
            <w:pPr>
              <w:keepNext w:val="0"/>
              <w:keepLines w:val="0"/>
              <w:pageBreakBefore w:val="0"/>
              <w:widowControl/>
              <w:suppressLineNumbers w:val="0"/>
              <w:kinsoku/>
              <w:wordWrap/>
              <w:overflowPunct/>
              <w:topLinePunct w:val="0"/>
              <w:autoSpaceDE w:val="0"/>
              <w:autoSpaceDN w:val="0"/>
              <w:bidi w:val="0"/>
              <w:adjustRightInd/>
              <w:snapToGrid/>
              <w:jc w:val="left"/>
              <w:textAlignment w:val="bottom"/>
              <w:rPr>
                <w:rFonts w:hint="default" w:ascii="Times New Roman" w:hAnsi="Times New Roman" w:eastAsia="仿宋" w:cs="Times New Roman"/>
                <w:color w:val="auto"/>
                <w:sz w:val="28"/>
                <w:szCs w:val="28"/>
                <w:highlight w:val="none"/>
                <w:lang w:val="en-US" w:eastAsia="zh-CN" w:bidi="ar-SA"/>
              </w:rPr>
            </w:pPr>
            <w:r>
              <w:rPr>
                <w:rFonts w:hint="default" w:ascii="Times New Roman" w:hAnsi="Times New Roman" w:eastAsia="仿宋" w:cs="Times New Roman"/>
                <w:i w:val="0"/>
                <w:iCs w:val="0"/>
                <w:color w:val="auto"/>
                <w:kern w:val="0"/>
                <w:sz w:val="28"/>
                <w:szCs w:val="28"/>
                <w:highlight w:val="none"/>
                <w:u w:val="none"/>
                <w:lang w:val="en-US" w:eastAsia="zh-CN" w:bidi="ar"/>
              </w:rPr>
              <w:t>5</w:t>
            </w:r>
          </w:p>
        </w:tc>
        <w:tc>
          <w:tcPr>
            <w:tcW w:w="722" w:type="pct"/>
            <w:tcBorders>
              <w:top w:val="single" w:color="auto" w:sz="4" w:space="0"/>
            </w:tcBorders>
            <w:shd w:val="clear" w:color="auto" w:fill="auto"/>
            <w:vAlign w:val="center"/>
          </w:tcPr>
          <w:p w14:paraId="1CEB803E">
            <w:pPr>
              <w:keepNext w:val="0"/>
              <w:keepLines w:val="0"/>
              <w:pageBreakBefore w:val="0"/>
              <w:widowControl/>
              <w:suppressLineNumbers w:val="0"/>
              <w:kinsoku/>
              <w:wordWrap/>
              <w:overflowPunct/>
              <w:topLinePunct w:val="0"/>
              <w:autoSpaceDE w:val="0"/>
              <w:autoSpaceDN w:val="0"/>
              <w:bidi w:val="0"/>
              <w:adjustRightInd/>
              <w:snapToGrid/>
              <w:jc w:val="center"/>
              <w:textAlignment w:val="center"/>
              <w:rPr>
                <w:rFonts w:hint="default" w:ascii="Times New Roman" w:hAnsi="Times New Roman" w:eastAsia="仿宋" w:cs="Times New Roman"/>
                <w:color w:val="auto"/>
                <w:sz w:val="28"/>
                <w:szCs w:val="28"/>
                <w:highlight w:val="none"/>
                <w:lang w:val="en-US" w:eastAsia="zh-CN" w:bidi="ar-SA"/>
              </w:rPr>
            </w:pPr>
            <w:r>
              <w:rPr>
                <w:rFonts w:hint="default" w:ascii="Times New Roman" w:hAnsi="Times New Roman" w:eastAsia="仿宋" w:cs="Times New Roman"/>
                <w:i w:val="0"/>
                <w:iCs w:val="0"/>
                <w:color w:val="auto"/>
                <w:kern w:val="0"/>
                <w:sz w:val="28"/>
                <w:szCs w:val="28"/>
                <w:highlight w:val="none"/>
                <w:u w:val="none"/>
                <w:lang w:val="en-US" w:eastAsia="zh-CN" w:bidi="ar"/>
              </w:rPr>
              <w:t>防爆温湿度检测表</w:t>
            </w:r>
          </w:p>
        </w:tc>
        <w:tc>
          <w:tcPr>
            <w:tcW w:w="3517" w:type="pct"/>
            <w:tcBorders>
              <w:top w:val="single" w:color="auto" w:sz="4" w:space="0"/>
            </w:tcBorders>
            <w:shd w:val="clear" w:color="auto" w:fill="auto"/>
            <w:vAlign w:val="center"/>
          </w:tcPr>
          <w:p w14:paraId="12F02608">
            <w:pPr>
              <w:keepNext w:val="0"/>
              <w:keepLines w:val="0"/>
              <w:pageBreakBefore w:val="0"/>
              <w:widowControl/>
              <w:suppressLineNumbers w:val="0"/>
              <w:kinsoku/>
              <w:wordWrap/>
              <w:overflowPunct/>
              <w:topLinePunct w:val="0"/>
              <w:autoSpaceDE w:val="0"/>
              <w:autoSpaceDN w:val="0"/>
              <w:bidi w:val="0"/>
              <w:adjustRightInd/>
              <w:snapToGrid/>
              <w:jc w:val="left"/>
              <w:textAlignment w:val="center"/>
              <w:rPr>
                <w:rFonts w:hint="default" w:ascii="Times New Roman" w:hAnsi="Times New Roman" w:eastAsia="仿宋" w:cs="Times New Roman"/>
                <w:i w:val="0"/>
                <w:iCs w:val="0"/>
                <w:color w:val="auto"/>
                <w:kern w:val="0"/>
                <w:sz w:val="28"/>
                <w:szCs w:val="28"/>
                <w:highlight w:val="none"/>
                <w:u w:val="none"/>
                <w:lang w:val="en-US" w:eastAsia="zh-CN" w:bidi="ar"/>
              </w:rPr>
            </w:pPr>
            <w:r>
              <w:rPr>
                <w:rFonts w:hint="default" w:ascii="Times New Roman" w:hAnsi="Times New Roman" w:eastAsia="仿宋" w:cs="Times New Roman"/>
                <w:i w:val="0"/>
                <w:iCs w:val="0"/>
                <w:color w:val="auto"/>
                <w:kern w:val="0"/>
                <w:sz w:val="28"/>
                <w:szCs w:val="28"/>
                <w:highlight w:val="none"/>
                <w:u w:val="none"/>
                <w:lang w:val="en-US" w:eastAsia="zh-CN" w:bidi="ar"/>
              </w:rPr>
              <w:t>温度量程：-20~60℃，湿度量程：0~100%rh，温度精度：±0.5℃，湿度精度：±3%rh，防爆等级应满足氢气环境下使用。</w:t>
            </w:r>
          </w:p>
        </w:tc>
        <w:tc>
          <w:tcPr>
            <w:tcW w:w="414" w:type="pct"/>
            <w:tcBorders>
              <w:top w:val="single" w:color="auto" w:sz="4" w:space="0"/>
            </w:tcBorders>
            <w:vAlign w:val="center"/>
          </w:tcPr>
          <w:p w14:paraId="0F9EF30F">
            <w:pPr>
              <w:keepNext w:val="0"/>
              <w:keepLines w:val="0"/>
              <w:widowControl/>
              <w:suppressLineNumbers w:val="0"/>
              <w:jc w:val="center"/>
              <w:textAlignment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i w:val="0"/>
                <w:iCs w:val="0"/>
                <w:color w:val="auto"/>
                <w:kern w:val="0"/>
                <w:sz w:val="20"/>
                <w:szCs w:val="20"/>
                <w:highlight w:val="none"/>
                <w:u w:val="none"/>
                <w:lang w:val="en-US" w:eastAsia="zh-CN" w:bidi="ar"/>
              </w:rPr>
              <w:t>3</w:t>
            </w:r>
            <w:r>
              <w:rPr>
                <w:rStyle w:val="27"/>
                <w:rFonts w:hint="default" w:ascii="Times New Roman" w:hAnsi="Times New Roman" w:eastAsia="仿宋" w:cs="Times New Roman"/>
                <w:color w:val="auto"/>
                <w:highlight w:val="none"/>
                <w:lang w:val="en-US" w:eastAsia="zh-CN" w:bidi="ar"/>
              </w:rPr>
              <w:t>套</w:t>
            </w:r>
          </w:p>
        </w:tc>
      </w:tr>
      <w:tr w14:paraId="57319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345" w:type="pct"/>
            <w:tcBorders>
              <w:top w:val="single" w:color="auto" w:sz="4" w:space="0"/>
            </w:tcBorders>
            <w:shd w:val="clear" w:color="auto" w:fill="auto"/>
            <w:vAlign w:val="center"/>
          </w:tcPr>
          <w:p w14:paraId="23E7EB04">
            <w:pPr>
              <w:keepNext w:val="0"/>
              <w:keepLines w:val="0"/>
              <w:pageBreakBefore w:val="0"/>
              <w:widowControl/>
              <w:suppressLineNumbers w:val="0"/>
              <w:kinsoku/>
              <w:wordWrap/>
              <w:overflowPunct/>
              <w:topLinePunct w:val="0"/>
              <w:autoSpaceDE w:val="0"/>
              <w:autoSpaceDN w:val="0"/>
              <w:bidi w:val="0"/>
              <w:adjustRightInd/>
              <w:snapToGrid/>
              <w:jc w:val="left"/>
              <w:textAlignment w:val="bottom"/>
              <w:rPr>
                <w:rFonts w:hint="default" w:ascii="Times New Roman" w:hAnsi="Times New Roman" w:eastAsia="仿宋" w:cs="Times New Roman"/>
                <w:color w:val="auto"/>
                <w:sz w:val="28"/>
                <w:szCs w:val="28"/>
                <w:highlight w:val="none"/>
                <w:lang w:val="en-US" w:eastAsia="zh-CN" w:bidi="ar-SA"/>
              </w:rPr>
            </w:pPr>
            <w:r>
              <w:rPr>
                <w:rFonts w:hint="default" w:ascii="Times New Roman" w:hAnsi="Times New Roman" w:eastAsia="仿宋" w:cs="Times New Roman"/>
                <w:i w:val="0"/>
                <w:iCs w:val="0"/>
                <w:color w:val="auto"/>
                <w:kern w:val="0"/>
                <w:sz w:val="28"/>
                <w:szCs w:val="28"/>
                <w:highlight w:val="none"/>
                <w:u w:val="none"/>
                <w:lang w:val="en-US" w:eastAsia="zh-CN" w:bidi="ar"/>
              </w:rPr>
              <w:t>6</w:t>
            </w:r>
          </w:p>
        </w:tc>
        <w:tc>
          <w:tcPr>
            <w:tcW w:w="722" w:type="pct"/>
            <w:tcBorders>
              <w:top w:val="single" w:color="auto" w:sz="4" w:space="0"/>
            </w:tcBorders>
            <w:shd w:val="clear" w:color="auto" w:fill="auto"/>
            <w:vAlign w:val="center"/>
          </w:tcPr>
          <w:p w14:paraId="721DA31A">
            <w:pPr>
              <w:keepNext w:val="0"/>
              <w:keepLines w:val="0"/>
              <w:pageBreakBefore w:val="0"/>
              <w:widowControl/>
              <w:suppressLineNumbers w:val="0"/>
              <w:kinsoku/>
              <w:wordWrap/>
              <w:overflowPunct/>
              <w:topLinePunct w:val="0"/>
              <w:autoSpaceDE w:val="0"/>
              <w:autoSpaceDN w:val="0"/>
              <w:bidi w:val="0"/>
              <w:adjustRightInd/>
              <w:snapToGrid/>
              <w:jc w:val="center"/>
              <w:textAlignment w:val="center"/>
              <w:rPr>
                <w:rFonts w:hint="default" w:ascii="Times New Roman" w:hAnsi="Times New Roman" w:eastAsia="仿宋" w:cs="Times New Roman"/>
                <w:color w:val="auto"/>
                <w:sz w:val="28"/>
                <w:szCs w:val="28"/>
                <w:highlight w:val="none"/>
                <w:lang w:val="en-US" w:eastAsia="zh-CN" w:bidi="ar-SA"/>
              </w:rPr>
            </w:pPr>
            <w:r>
              <w:rPr>
                <w:rFonts w:hint="default" w:ascii="Times New Roman" w:hAnsi="Times New Roman" w:eastAsia="仿宋" w:cs="Times New Roman"/>
                <w:i w:val="0"/>
                <w:iCs w:val="0"/>
                <w:color w:val="auto"/>
                <w:kern w:val="0"/>
                <w:sz w:val="28"/>
                <w:szCs w:val="28"/>
                <w:highlight w:val="none"/>
                <w:u w:val="none"/>
                <w:lang w:val="en-US" w:eastAsia="zh-CN" w:bidi="ar"/>
              </w:rPr>
              <w:t>静电消除设备</w:t>
            </w:r>
          </w:p>
        </w:tc>
        <w:tc>
          <w:tcPr>
            <w:tcW w:w="3517" w:type="pct"/>
            <w:tcBorders>
              <w:top w:val="single" w:color="auto" w:sz="4" w:space="0"/>
            </w:tcBorders>
            <w:shd w:val="clear" w:color="auto" w:fill="auto"/>
            <w:vAlign w:val="center"/>
          </w:tcPr>
          <w:p w14:paraId="7D3A8604">
            <w:pPr>
              <w:keepNext w:val="0"/>
              <w:keepLines w:val="0"/>
              <w:pageBreakBefore w:val="0"/>
              <w:widowControl/>
              <w:suppressLineNumbers w:val="0"/>
              <w:kinsoku/>
              <w:wordWrap/>
              <w:overflowPunct/>
              <w:topLinePunct w:val="0"/>
              <w:autoSpaceDE w:val="0"/>
              <w:autoSpaceDN w:val="0"/>
              <w:bidi w:val="0"/>
              <w:adjustRightInd/>
              <w:snapToGrid/>
              <w:jc w:val="left"/>
              <w:textAlignment w:val="center"/>
              <w:rPr>
                <w:rFonts w:hint="default" w:ascii="Times New Roman" w:hAnsi="Times New Roman" w:eastAsia="仿宋" w:cs="Times New Roman"/>
                <w:i w:val="0"/>
                <w:iCs w:val="0"/>
                <w:color w:val="auto"/>
                <w:kern w:val="0"/>
                <w:sz w:val="28"/>
                <w:szCs w:val="28"/>
                <w:highlight w:val="none"/>
                <w:u w:val="none"/>
                <w:lang w:val="en-US" w:eastAsia="zh-CN" w:bidi="ar"/>
              </w:rPr>
            </w:pPr>
            <w:r>
              <w:rPr>
                <w:rFonts w:hint="default" w:ascii="Times New Roman" w:hAnsi="Times New Roman" w:eastAsia="仿宋" w:cs="Times New Roman"/>
                <w:i w:val="0"/>
                <w:iCs w:val="0"/>
                <w:color w:val="auto"/>
                <w:kern w:val="0"/>
                <w:sz w:val="28"/>
                <w:szCs w:val="28"/>
                <w:highlight w:val="none"/>
                <w:u w:val="none"/>
                <w:lang w:val="en-US" w:eastAsia="zh-CN" w:bidi="ar"/>
              </w:rPr>
              <w:t>人体静电消除装置电压：3.6（V），频率：50（Hz），材质：工程尼龙+304不锈钢球体材质：亚导体钢管直径：≥38mm，底部直径：≥130mm，球体直径：≥90mm。</w:t>
            </w:r>
          </w:p>
        </w:tc>
        <w:tc>
          <w:tcPr>
            <w:tcW w:w="414" w:type="pct"/>
            <w:tcBorders>
              <w:top w:val="single" w:color="auto" w:sz="4" w:space="0"/>
            </w:tcBorders>
            <w:vAlign w:val="center"/>
          </w:tcPr>
          <w:p w14:paraId="2EBA702C">
            <w:pPr>
              <w:keepNext w:val="0"/>
              <w:keepLines w:val="0"/>
              <w:widowControl/>
              <w:suppressLineNumbers w:val="0"/>
              <w:jc w:val="center"/>
              <w:textAlignment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i w:val="0"/>
                <w:iCs w:val="0"/>
                <w:color w:val="auto"/>
                <w:kern w:val="0"/>
                <w:sz w:val="20"/>
                <w:szCs w:val="20"/>
                <w:highlight w:val="none"/>
                <w:u w:val="none"/>
                <w:lang w:val="en-US" w:eastAsia="zh-CN" w:bidi="ar"/>
              </w:rPr>
              <w:t>3</w:t>
            </w:r>
            <w:r>
              <w:rPr>
                <w:rStyle w:val="27"/>
                <w:rFonts w:hint="default" w:ascii="Times New Roman" w:hAnsi="Times New Roman" w:eastAsia="仿宋" w:cs="Times New Roman"/>
                <w:color w:val="auto"/>
                <w:highlight w:val="none"/>
                <w:lang w:val="en-US" w:eastAsia="zh-CN" w:bidi="ar"/>
              </w:rPr>
              <w:t>个</w:t>
            </w:r>
          </w:p>
        </w:tc>
      </w:tr>
      <w:tr w14:paraId="6175A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345" w:type="pct"/>
            <w:tcBorders>
              <w:top w:val="single" w:color="auto" w:sz="4" w:space="0"/>
            </w:tcBorders>
            <w:shd w:val="clear" w:color="auto" w:fill="auto"/>
            <w:vAlign w:val="center"/>
          </w:tcPr>
          <w:p w14:paraId="54C2A287">
            <w:pPr>
              <w:keepNext w:val="0"/>
              <w:keepLines w:val="0"/>
              <w:pageBreakBefore w:val="0"/>
              <w:widowControl/>
              <w:suppressLineNumbers w:val="0"/>
              <w:kinsoku/>
              <w:wordWrap/>
              <w:overflowPunct/>
              <w:topLinePunct w:val="0"/>
              <w:autoSpaceDE w:val="0"/>
              <w:autoSpaceDN w:val="0"/>
              <w:bidi w:val="0"/>
              <w:adjustRightInd/>
              <w:snapToGrid/>
              <w:jc w:val="left"/>
              <w:textAlignment w:val="bottom"/>
              <w:rPr>
                <w:rFonts w:hint="default" w:ascii="Times New Roman" w:hAnsi="Times New Roman" w:eastAsia="仿宋" w:cs="Times New Roman"/>
                <w:color w:val="auto"/>
                <w:sz w:val="28"/>
                <w:szCs w:val="28"/>
                <w:highlight w:val="none"/>
                <w:lang w:val="en-US" w:eastAsia="zh-CN" w:bidi="ar-SA"/>
              </w:rPr>
            </w:pPr>
            <w:r>
              <w:rPr>
                <w:rFonts w:hint="default" w:ascii="Times New Roman" w:hAnsi="Times New Roman" w:eastAsia="仿宋" w:cs="Times New Roman"/>
                <w:i w:val="0"/>
                <w:iCs w:val="0"/>
                <w:color w:val="auto"/>
                <w:kern w:val="0"/>
                <w:sz w:val="28"/>
                <w:szCs w:val="28"/>
                <w:highlight w:val="none"/>
                <w:u w:val="none"/>
                <w:lang w:val="en-US" w:eastAsia="zh-CN" w:bidi="ar"/>
              </w:rPr>
              <w:t>7</w:t>
            </w:r>
          </w:p>
        </w:tc>
        <w:tc>
          <w:tcPr>
            <w:tcW w:w="722" w:type="pct"/>
            <w:tcBorders>
              <w:top w:val="single" w:color="auto" w:sz="4" w:space="0"/>
            </w:tcBorders>
            <w:shd w:val="clear" w:color="auto" w:fill="auto"/>
            <w:vAlign w:val="center"/>
          </w:tcPr>
          <w:p w14:paraId="311EEEE7">
            <w:pPr>
              <w:keepNext w:val="0"/>
              <w:keepLines w:val="0"/>
              <w:pageBreakBefore w:val="0"/>
              <w:widowControl/>
              <w:suppressLineNumbers w:val="0"/>
              <w:kinsoku/>
              <w:wordWrap/>
              <w:overflowPunct/>
              <w:topLinePunct w:val="0"/>
              <w:autoSpaceDE w:val="0"/>
              <w:autoSpaceDN w:val="0"/>
              <w:bidi w:val="0"/>
              <w:adjustRightInd/>
              <w:snapToGrid/>
              <w:jc w:val="center"/>
              <w:textAlignment w:val="center"/>
              <w:rPr>
                <w:rFonts w:hint="default" w:ascii="Times New Roman" w:hAnsi="Times New Roman" w:eastAsia="仿宋" w:cs="Times New Roman"/>
                <w:color w:val="auto"/>
                <w:sz w:val="28"/>
                <w:szCs w:val="28"/>
                <w:highlight w:val="none"/>
                <w:lang w:val="en-US" w:eastAsia="zh-CN" w:bidi="ar-SA"/>
              </w:rPr>
            </w:pPr>
            <w:r>
              <w:rPr>
                <w:rFonts w:hint="default" w:ascii="Times New Roman" w:hAnsi="Times New Roman" w:eastAsia="仿宋" w:cs="Times New Roman"/>
                <w:i w:val="0"/>
                <w:iCs w:val="0"/>
                <w:color w:val="auto"/>
                <w:kern w:val="0"/>
                <w:sz w:val="28"/>
                <w:szCs w:val="28"/>
                <w:highlight w:val="none"/>
                <w:u w:val="none"/>
                <w:lang w:val="en-US" w:eastAsia="zh-CN" w:bidi="ar"/>
              </w:rPr>
              <w:t>防爆视频监控系统</w:t>
            </w:r>
          </w:p>
        </w:tc>
        <w:tc>
          <w:tcPr>
            <w:tcW w:w="3517" w:type="pct"/>
            <w:tcBorders>
              <w:top w:val="single" w:color="auto" w:sz="4" w:space="0"/>
            </w:tcBorders>
            <w:shd w:val="clear" w:color="auto" w:fill="auto"/>
            <w:vAlign w:val="center"/>
          </w:tcPr>
          <w:p w14:paraId="0F1E703B">
            <w:pPr>
              <w:keepNext w:val="0"/>
              <w:keepLines w:val="0"/>
              <w:pageBreakBefore w:val="0"/>
              <w:widowControl/>
              <w:suppressLineNumbers w:val="0"/>
              <w:kinsoku/>
              <w:wordWrap/>
              <w:overflowPunct/>
              <w:topLinePunct w:val="0"/>
              <w:autoSpaceDE w:val="0"/>
              <w:autoSpaceDN w:val="0"/>
              <w:bidi w:val="0"/>
              <w:adjustRightInd/>
              <w:snapToGrid/>
              <w:jc w:val="left"/>
              <w:textAlignment w:val="center"/>
              <w:rPr>
                <w:rFonts w:hint="default" w:ascii="Times New Roman" w:hAnsi="Times New Roman" w:eastAsia="仿宋" w:cs="Times New Roman"/>
                <w:i w:val="0"/>
                <w:iCs w:val="0"/>
                <w:color w:val="auto"/>
                <w:kern w:val="0"/>
                <w:sz w:val="28"/>
                <w:szCs w:val="28"/>
                <w:highlight w:val="none"/>
                <w:u w:val="none"/>
                <w:lang w:val="en-US" w:eastAsia="zh-CN" w:bidi="ar"/>
              </w:rPr>
            </w:pPr>
            <w:r>
              <w:rPr>
                <w:rFonts w:hint="default" w:ascii="Times New Roman" w:hAnsi="Times New Roman" w:eastAsia="仿宋" w:cs="Times New Roman"/>
                <w:i w:val="0"/>
                <w:iCs w:val="0"/>
                <w:color w:val="auto"/>
                <w:kern w:val="0"/>
                <w:sz w:val="28"/>
                <w:szCs w:val="28"/>
                <w:highlight w:val="none"/>
                <w:u w:val="none"/>
                <w:lang w:val="en-US" w:eastAsia="zh-CN" w:bidi="ar"/>
              </w:rPr>
              <w:t>防爆监控摄像头四套，防爆标志：ExdⅡCT6 / DIP A20 TA,T6，防护等级：≥IP68，≥200万像素逐行扫描 1/2.8" CMOS，最大分辨率可达1920×1080，最低照度：彩色0.05lux@F1.6，支持ICR红外滤片式自动切换，聚焦快速、准确，支持数字宽动态，录像存储时间不低于90天。</w:t>
            </w:r>
          </w:p>
        </w:tc>
        <w:tc>
          <w:tcPr>
            <w:tcW w:w="414" w:type="pct"/>
            <w:tcBorders>
              <w:top w:val="single" w:color="auto" w:sz="4" w:space="0"/>
            </w:tcBorders>
            <w:vAlign w:val="center"/>
          </w:tcPr>
          <w:p w14:paraId="371FA8F9">
            <w:pPr>
              <w:keepNext w:val="0"/>
              <w:keepLines w:val="0"/>
              <w:widowControl/>
              <w:suppressLineNumbers w:val="0"/>
              <w:jc w:val="center"/>
              <w:textAlignment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i w:val="0"/>
                <w:iCs w:val="0"/>
                <w:color w:val="auto"/>
                <w:kern w:val="0"/>
                <w:sz w:val="20"/>
                <w:szCs w:val="20"/>
                <w:highlight w:val="none"/>
                <w:u w:val="none"/>
                <w:lang w:val="en-US" w:eastAsia="zh-CN" w:bidi="ar"/>
              </w:rPr>
              <w:t>1</w:t>
            </w:r>
            <w:r>
              <w:rPr>
                <w:rStyle w:val="27"/>
                <w:rFonts w:hint="default" w:ascii="Times New Roman" w:hAnsi="Times New Roman" w:eastAsia="仿宋" w:cs="Times New Roman"/>
                <w:color w:val="auto"/>
                <w:highlight w:val="none"/>
                <w:lang w:val="en-US" w:eastAsia="zh-CN" w:bidi="ar"/>
              </w:rPr>
              <w:t>项</w:t>
            </w:r>
          </w:p>
        </w:tc>
      </w:tr>
      <w:tr w14:paraId="427C5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345" w:type="pct"/>
            <w:tcBorders>
              <w:top w:val="single" w:color="auto" w:sz="4" w:space="0"/>
              <w:bottom w:val="single" w:color="auto" w:sz="4" w:space="0"/>
            </w:tcBorders>
            <w:shd w:val="clear" w:color="auto" w:fill="auto"/>
            <w:vAlign w:val="center"/>
          </w:tcPr>
          <w:p w14:paraId="56B940AB">
            <w:pPr>
              <w:keepNext w:val="0"/>
              <w:keepLines w:val="0"/>
              <w:pageBreakBefore w:val="0"/>
              <w:widowControl/>
              <w:suppressLineNumbers w:val="0"/>
              <w:kinsoku/>
              <w:wordWrap/>
              <w:overflowPunct/>
              <w:topLinePunct w:val="0"/>
              <w:autoSpaceDE w:val="0"/>
              <w:autoSpaceDN w:val="0"/>
              <w:bidi w:val="0"/>
              <w:adjustRightInd/>
              <w:snapToGrid/>
              <w:jc w:val="left"/>
              <w:textAlignment w:val="bottom"/>
              <w:rPr>
                <w:rFonts w:hint="default" w:ascii="Times New Roman" w:hAnsi="Times New Roman" w:eastAsia="仿宋" w:cs="Times New Roman"/>
                <w:color w:val="auto"/>
                <w:sz w:val="28"/>
                <w:szCs w:val="28"/>
                <w:highlight w:val="none"/>
                <w:lang w:val="en-US" w:eastAsia="zh-CN" w:bidi="ar-SA"/>
              </w:rPr>
            </w:pPr>
            <w:r>
              <w:rPr>
                <w:rFonts w:hint="default" w:ascii="Times New Roman" w:hAnsi="Times New Roman" w:eastAsia="仿宋" w:cs="Times New Roman"/>
                <w:i w:val="0"/>
                <w:iCs w:val="0"/>
                <w:color w:val="auto"/>
                <w:kern w:val="0"/>
                <w:sz w:val="28"/>
                <w:szCs w:val="28"/>
                <w:highlight w:val="none"/>
                <w:u w:val="none"/>
                <w:lang w:val="en-US" w:eastAsia="zh-CN" w:bidi="ar"/>
              </w:rPr>
              <w:t>8</w:t>
            </w:r>
          </w:p>
        </w:tc>
        <w:tc>
          <w:tcPr>
            <w:tcW w:w="722" w:type="pct"/>
            <w:tcBorders>
              <w:top w:val="single" w:color="auto" w:sz="4" w:space="0"/>
              <w:bottom w:val="single" w:color="auto" w:sz="4" w:space="0"/>
            </w:tcBorders>
            <w:shd w:val="clear" w:color="auto" w:fill="auto"/>
            <w:vAlign w:val="center"/>
          </w:tcPr>
          <w:p w14:paraId="458D68DF">
            <w:pPr>
              <w:keepNext w:val="0"/>
              <w:keepLines w:val="0"/>
              <w:pageBreakBefore w:val="0"/>
              <w:widowControl/>
              <w:suppressLineNumbers w:val="0"/>
              <w:kinsoku/>
              <w:wordWrap/>
              <w:overflowPunct/>
              <w:topLinePunct w:val="0"/>
              <w:autoSpaceDE w:val="0"/>
              <w:autoSpaceDN w:val="0"/>
              <w:bidi w:val="0"/>
              <w:adjustRightInd/>
              <w:snapToGrid/>
              <w:jc w:val="center"/>
              <w:textAlignment w:val="center"/>
              <w:rPr>
                <w:rFonts w:hint="default" w:ascii="Times New Roman" w:hAnsi="Times New Roman" w:eastAsia="仿宋" w:cs="Times New Roman"/>
                <w:color w:val="auto"/>
                <w:sz w:val="28"/>
                <w:szCs w:val="28"/>
                <w:highlight w:val="none"/>
                <w:lang w:val="en-US" w:eastAsia="zh-CN" w:bidi="ar-SA"/>
              </w:rPr>
            </w:pPr>
            <w:r>
              <w:rPr>
                <w:rFonts w:hint="default" w:ascii="Times New Roman" w:hAnsi="Times New Roman" w:eastAsia="仿宋" w:cs="Times New Roman"/>
                <w:i w:val="0"/>
                <w:iCs w:val="0"/>
                <w:color w:val="auto"/>
                <w:kern w:val="0"/>
                <w:sz w:val="28"/>
                <w:szCs w:val="28"/>
                <w:highlight w:val="none"/>
                <w:u w:val="none"/>
                <w:lang w:val="en-US" w:eastAsia="zh-CN" w:bidi="ar"/>
              </w:rPr>
              <w:t>配套消防设施</w:t>
            </w:r>
          </w:p>
        </w:tc>
        <w:tc>
          <w:tcPr>
            <w:tcW w:w="3517" w:type="pct"/>
            <w:tcBorders>
              <w:top w:val="single" w:color="auto" w:sz="4" w:space="0"/>
              <w:bottom w:val="single" w:color="auto" w:sz="4" w:space="0"/>
            </w:tcBorders>
            <w:shd w:val="clear" w:color="auto" w:fill="auto"/>
            <w:vAlign w:val="center"/>
          </w:tcPr>
          <w:p w14:paraId="7729B235">
            <w:pPr>
              <w:keepNext w:val="0"/>
              <w:keepLines w:val="0"/>
              <w:pageBreakBefore w:val="0"/>
              <w:widowControl/>
              <w:suppressLineNumbers w:val="0"/>
              <w:kinsoku/>
              <w:wordWrap/>
              <w:overflowPunct/>
              <w:topLinePunct w:val="0"/>
              <w:autoSpaceDE w:val="0"/>
              <w:autoSpaceDN w:val="0"/>
              <w:bidi w:val="0"/>
              <w:adjustRightInd/>
              <w:snapToGrid/>
              <w:jc w:val="left"/>
              <w:textAlignment w:val="center"/>
              <w:rPr>
                <w:rFonts w:hint="default" w:ascii="Times New Roman" w:hAnsi="Times New Roman" w:eastAsia="仿宋" w:cs="Times New Roman"/>
                <w:i w:val="0"/>
                <w:iCs w:val="0"/>
                <w:color w:val="auto"/>
                <w:kern w:val="0"/>
                <w:sz w:val="28"/>
                <w:szCs w:val="28"/>
                <w:highlight w:val="none"/>
                <w:u w:val="none"/>
                <w:lang w:val="en-US" w:eastAsia="zh-CN" w:bidi="ar"/>
              </w:rPr>
            </w:pPr>
            <w:r>
              <w:rPr>
                <w:rFonts w:hint="default" w:ascii="Times New Roman" w:hAnsi="Times New Roman" w:eastAsia="仿宋" w:cs="Times New Roman"/>
                <w:i w:val="0"/>
                <w:iCs w:val="0"/>
                <w:color w:val="auto"/>
                <w:kern w:val="0"/>
                <w:sz w:val="28"/>
                <w:szCs w:val="28"/>
                <w:highlight w:val="none"/>
                <w:u w:val="none"/>
                <w:lang w:val="en-US" w:eastAsia="zh-CN" w:bidi="ar"/>
              </w:rPr>
              <w:t>悬挂式消防灭火球四套，安装高度：2.5-3m使用温度：-10℃-50℃工作压力：≥1.2Mpa重量：≥10㎏，灭火方式：干粉灭火。</w:t>
            </w:r>
          </w:p>
        </w:tc>
        <w:tc>
          <w:tcPr>
            <w:tcW w:w="414" w:type="pct"/>
            <w:tcBorders>
              <w:top w:val="single" w:color="auto" w:sz="4" w:space="0"/>
              <w:bottom w:val="single" w:color="auto" w:sz="4" w:space="0"/>
            </w:tcBorders>
            <w:vAlign w:val="center"/>
          </w:tcPr>
          <w:p w14:paraId="13B1C7B1">
            <w:pPr>
              <w:keepNext w:val="0"/>
              <w:keepLines w:val="0"/>
              <w:widowControl/>
              <w:suppressLineNumbers w:val="0"/>
              <w:jc w:val="center"/>
              <w:textAlignment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i w:val="0"/>
                <w:iCs w:val="0"/>
                <w:color w:val="auto"/>
                <w:kern w:val="0"/>
                <w:sz w:val="20"/>
                <w:szCs w:val="20"/>
                <w:highlight w:val="none"/>
                <w:u w:val="none"/>
                <w:lang w:val="en-US" w:eastAsia="zh-CN" w:bidi="ar"/>
              </w:rPr>
              <w:t>4</w:t>
            </w:r>
            <w:r>
              <w:rPr>
                <w:rStyle w:val="27"/>
                <w:rFonts w:hint="default" w:ascii="Times New Roman" w:hAnsi="Times New Roman" w:eastAsia="仿宋" w:cs="Times New Roman"/>
                <w:color w:val="auto"/>
                <w:highlight w:val="none"/>
                <w:lang w:val="en-US" w:eastAsia="zh-CN" w:bidi="ar"/>
              </w:rPr>
              <w:t>个</w:t>
            </w:r>
          </w:p>
        </w:tc>
      </w:tr>
      <w:tr w14:paraId="4FF8A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345" w:type="pct"/>
            <w:tcBorders>
              <w:top w:val="single" w:color="auto" w:sz="4" w:space="0"/>
              <w:bottom w:val="single" w:color="auto" w:sz="4" w:space="0"/>
            </w:tcBorders>
            <w:shd w:val="clear" w:color="auto" w:fill="auto"/>
            <w:vAlign w:val="center"/>
          </w:tcPr>
          <w:p w14:paraId="1EC41683">
            <w:pPr>
              <w:keepNext w:val="0"/>
              <w:keepLines w:val="0"/>
              <w:pageBreakBefore w:val="0"/>
              <w:widowControl/>
              <w:suppressLineNumbers w:val="0"/>
              <w:kinsoku/>
              <w:wordWrap/>
              <w:overflowPunct/>
              <w:topLinePunct w:val="0"/>
              <w:autoSpaceDE w:val="0"/>
              <w:autoSpaceDN w:val="0"/>
              <w:bidi w:val="0"/>
              <w:adjustRightInd/>
              <w:snapToGrid/>
              <w:jc w:val="left"/>
              <w:textAlignment w:val="bottom"/>
              <w:rPr>
                <w:rFonts w:hint="default" w:ascii="Times New Roman" w:hAnsi="Times New Roman" w:eastAsia="仿宋" w:cs="Times New Roman"/>
                <w:color w:val="auto"/>
                <w:sz w:val="28"/>
                <w:szCs w:val="28"/>
                <w:highlight w:val="none"/>
                <w:lang w:val="en-US" w:eastAsia="zh-CN" w:bidi="ar-SA"/>
              </w:rPr>
            </w:pPr>
            <w:r>
              <w:rPr>
                <w:rFonts w:hint="default" w:ascii="Times New Roman" w:hAnsi="Times New Roman" w:eastAsia="仿宋" w:cs="Times New Roman"/>
                <w:i w:val="0"/>
                <w:iCs w:val="0"/>
                <w:color w:val="auto"/>
                <w:kern w:val="0"/>
                <w:sz w:val="28"/>
                <w:szCs w:val="28"/>
                <w:highlight w:val="none"/>
                <w:u w:val="none"/>
                <w:lang w:val="en-US" w:eastAsia="zh-CN" w:bidi="ar"/>
              </w:rPr>
              <w:t>9</w:t>
            </w:r>
          </w:p>
        </w:tc>
        <w:tc>
          <w:tcPr>
            <w:tcW w:w="722" w:type="pct"/>
            <w:tcBorders>
              <w:top w:val="single" w:color="auto" w:sz="4" w:space="0"/>
              <w:bottom w:val="single" w:color="auto" w:sz="4" w:space="0"/>
            </w:tcBorders>
            <w:shd w:val="clear" w:color="auto" w:fill="auto"/>
            <w:vAlign w:val="center"/>
          </w:tcPr>
          <w:p w14:paraId="774A33E2">
            <w:pPr>
              <w:keepNext w:val="0"/>
              <w:keepLines w:val="0"/>
              <w:pageBreakBefore w:val="0"/>
              <w:widowControl/>
              <w:suppressLineNumbers w:val="0"/>
              <w:kinsoku/>
              <w:wordWrap/>
              <w:overflowPunct/>
              <w:topLinePunct w:val="0"/>
              <w:autoSpaceDE w:val="0"/>
              <w:autoSpaceDN w:val="0"/>
              <w:bidi w:val="0"/>
              <w:adjustRightInd/>
              <w:snapToGrid/>
              <w:jc w:val="center"/>
              <w:textAlignment w:val="center"/>
              <w:rPr>
                <w:rFonts w:hint="default" w:ascii="Times New Roman" w:hAnsi="Times New Roman" w:eastAsia="仿宋" w:cs="Times New Roman"/>
                <w:color w:val="auto"/>
                <w:sz w:val="28"/>
                <w:szCs w:val="28"/>
                <w:highlight w:val="none"/>
                <w:lang w:val="en-US" w:eastAsia="zh-CN" w:bidi="ar-SA"/>
              </w:rPr>
            </w:pPr>
            <w:r>
              <w:rPr>
                <w:rFonts w:hint="default" w:ascii="Times New Roman" w:hAnsi="Times New Roman" w:eastAsia="仿宋" w:cs="Times New Roman"/>
                <w:i w:val="0"/>
                <w:iCs w:val="0"/>
                <w:color w:val="auto"/>
                <w:kern w:val="0"/>
                <w:sz w:val="28"/>
                <w:szCs w:val="28"/>
                <w:highlight w:val="none"/>
                <w:u w:val="none"/>
                <w:lang w:val="en-US" w:eastAsia="zh-CN" w:bidi="ar"/>
              </w:rPr>
              <w:t>专用应急柜</w:t>
            </w:r>
          </w:p>
        </w:tc>
        <w:tc>
          <w:tcPr>
            <w:tcW w:w="3517" w:type="pct"/>
            <w:tcBorders>
              <w:top w:val="single" w:color="auto" w:sz="4" w:space="0"/>
              <w:bottom w:val="single" w:color="auto" w:sz="4" w:space="0"/>
            </w:tcBorders>
            <w:shd w:val="clear" w:color="auto" w:fill="auto"/>
            <w:vAlign w:val="center"/>
          </w:tcPr>
          <w:p w14:paraId="27E672F4">
            <w:pPr>
              <w:keepNext w:val="0"/>
              <w:keepLines w:val="0"/>
              <w:pageBreakBefore w:val="0"/>
              <w:widowControl/>
              <w:suppressLineNumbers w:val="0"/>
              <w:kinsoku/>
              <w:wordWrap/>
              <w:overflowPunct/>
              <w:topLinePunct w:val="0"/>
              <w:autoSpaceDE w:val="0"/>
              <w:autoSpaceDN w:val="0"/>
              <w:bidi w:val="0"/>
              <w:adjustRightInd/>
              <w:snapToGrid/>
              <w:jc w:val="left"/>
              <w:textAlignment w:val="center"/>
              <w:rPr>
                <w:rFonts w:hint="default" w:ascii="Times New Roman" w:hAnsi="Times New Roman" w:eastAsia="仿宋" w:cs="Times New Roman"/>
                <w:i w:val="0"/>
                <w:iCs w:val="0"/>
                <w:color w:val="auto"/>
                <w:kern w:val="0"/>
                <w:sz w:val="28"/>
                <w:szCs w:val="28"/>
                <w:highlight w:val="none"/>
                <w:u w:val="none"/>
                <w:lang w:val="en-US" w:eastAsia="zh-CN" w:bidi="ar"/>
              </w:rPr>
            </w:pPr>
            <w:r>
              <w:rPr>
                <w:rFonts w:hint="default" w:ascii="Times New Roman" w:hAnsi="Times New Roman" w:eastAsia="仿宋" w:cs="Times New Roman"/>
                <w:i w:val="0"/>
                <w:iCs w:val="0"/>
                <w:color w:val="auto"/>
                <w:kern w:val="0"/>
                <w:sz w:val="28"/>
                <w:szCs w:val="28"/>
                <w:highlight w:val="none"/>
                <w:u w:val="none"/>
                <w:lang w:val="en-US" w:eastAsia="zh-CN" w:bidi="ar"/>
              </w:rPr>
              <w:t>包含≥6.8L正压式呼吸器1套、专业防护服2套、防毒面具2套，手持灭火器2套。</w:t>
            </w:r>
          </w:p>
        </w:tc>
        <w:tc>
          <w:tcPr>
            <w:tcW w:w="414" w:type="pct"/>
            <w:tcBorders>
              <w:top w:val="single" w:color="auto" w:sz="4" w:space="0"/>
              <w:bottom w:val="single" w:color="auto" w:sz="4" w:space="0"/>
            </w:tcBorders>
            <w:vAlign w:val="center"/>
          </w:tcPr>
          <w:p w14:paraId="114EF6AC">
            <w:pPr>
              <w:keepNext w:val="0"/>
              <w:keepLines w:val="0"/>
              <w:widowControl/>
              <w:suppressLineNumbers w:val="0"/>
              <w:jc w:val="center"/>
              <w:textAlignment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i w:val="0"/>
                <w:iCs w:val="0"/>
                <w:color w:val="auto"/>
                <w:kern w:val="0"/>
                <w:sz w:val="20"/>
                <w:szCs w:val="20"/>
                <w:highlight w:val="none"/>
                <w:u w:val="none"/>
                <w:lang w:val="en-US" w:eastAsia="zh-CN" w:bidi="ar"/>
              </w:rPr>
              <w:t>1</w:t>
            </w:r>
            <w:r>
              <w:rPr>
                <w:rStyle w:val="27"/>
                <w:rFonts w:hint="default" w:ascii="Times New Roman" w:hAnsi="Times New Roman" w:eastAsia="仿宋" w:cs="Times New Roman"/>
                <w:color w:val="auto"/>
                <w:highlight w:val="none"/>
                <w:lang w:val="en-US" w:eastAsia="zh-CN" w:bidi="ar"/>
              </w:rPr>
              <w:t>套</w:t>
            </w:r>
          </w:p>
        </w:tc>
      </w:tr>
      <w:tr w14:paraId="39FD4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345" w:type="pct"/>
            <w:tcBorders>
              <w:top w:val="single" w:color="auto" w:sz="4" w:space="0"/>
              <w:bottom w:val="single" w:color="auto" w:sz="4" w:space="0"/>
            </w:tcBorders>
            <w:shd w:val="clear" w:color="auto" w:fill="auto"/>
            <w:vAlign w:val="center"/>
          </w:tcPr>
          <w:p w14:paraId="6B03D8F2">
            <w:pPr>
              <w:keepNext w:val="0"/>
              <w:keepLines w:val="0"/>
              <w:pageBreakBefore w:val="0"/>
              <w:widowControl/>
              <w:suppressLineNumbers w:val="0"/>
              <w:kinsoku/>
              <w:wordWrap/>
              <w:overflowPunct/>
              <w:topLinePunct w:val="0"/>
              <w:autoSpaceDE w:val="0"/>
              <w:autoSpaceDN w:val="0"/>
              <w:bidi w:val="0"/>
              <w:adjustRightInd/>
              <w:snapToGrid/>
              <w:jc w:val="left"/>
              <w:textAlignment w:val="bottom"/>
              <w:rPr>
                <w:rFonts w:hint="default" w:ascii="Times New Roman" w:hAnsi="Times New Roman" w:eastAsia="仿宋" w:cs="Times New Roman"/>
                <w:color w:val="auto"/>
                <w:sz w:val="28"/>
                <w:szCs w:val="28"/>
                <w:highlight w:val="none"/>
                <w:lang w:val="en-US" w:eastAsia="zh-CN" w:bidi="ar-SA"/>
              </w:rPr>
            </w:pPr>
            <w:r>
              <w:rPr>
                <w:rFonts w:hint="default" w:ascii="Times New Roman" w:hAnsi="Times New Roman" w:eastAsia="仿宋" w:cs="Times New Roman"/>
                <w:i w:val="0"/>
                <w:iCs w:val="0"/>
                <w:color w:val="auto"/>
                <w:kern w:val="0"/>
                <w:sz w:val="28"/>
                <w:szCs w:val="28"/>
                <w:highlight w:val="none"/>
                <w:u w:val="none"/>
                <w:lang w:val="en-US" w:eastAsia="zh-CN" w:bidi="ar"/>
              </w:rPr>
              <w:t>10</w:t>
            </w:r>
          </w:p>
        </w:tc>
        <w:tc>
          <w:tcPr>
            <w:tcW w:w="722" w:type="pct"/>
            <w:tcBorders>
              <w:top w:val="single" w:color="auto" w:sz="4" w:space="0"/>
              <w:bottom w:val="single" w:color="auto" w:sz="4" w:space="0"/>
            </w:tcBorders>
            <w:shd w:val="clear" w:color="auto" w:fill="auto"/>
            <w:vAlign w:val="center"/>
          </w:tcPr>
          <w:p w14:paraId="78E6A6D5">
            <w:pPr>
              <w:keepNext w:val="0"/>
              <w:keepLines w:val="0"/>
              <w:pageBreakBefore w:val="0"/>
              <w:widowControl/>
              <w:suppressLineNumbers w:val="0"/>
              <w:kinsoku/>
              <w:wordWrap/>
              <w:overflowPunct/>
              <w:topLinePunct w:val="0"/>
              <w:autoSpaceDE w:val="0"/>
              <w:autoSpaceDN w:val="0"/>
              <w:bidi w:val="0"/>
              <w:adjustRightInd/>
              <w:snapToGrid/>
              <w:jc w:val="center"/>
              <w:textAlignment w:val="center"/>
              <w:rPr>
                <w:rFonts w:hint="default" w:ascii="Times New Roman" w:hAnsi="Times New Roman" w:eastAsia="仿宋" w:cs="Times New Roman"/>
                <w:color w:val="auto"/>
                <w:sz w:val="28"/>
                <w:szCs w:val="28"/>
                <w:highlight w:val="none"/>
                <w:lang w:val="en-US" w:eastAsia="zh-CN" w:bidi="ar-SA"/>
              </w:rPr>
            </w:pPr>
            <w:r>
              <w:rPr>
                <w:rFonts w:hint="default" w:ascii="Times New Roman" w:hAnsi="Times New Roman" w:eastAsia="仿宋" w:cs="Times New Roman"/>
                <w:i w:val="0"/>
                <w:iCs w:val="0"/>
                <w:color w:val="auto"/>
                <w:kern w:val="0"/>
                <w:sz w:val="28"/>
                <w:szCs w:val="28"/>
                <w:highlight w:val="none"/>
                <w:u w:val="none"/>
                <w:lang w:val="en-US" w:eastAsia="zh-CN" w:bidi="ar"/>
              </w:rPr>
              <w:t>钢瓶固定架</w:t>
            </w:r>
          </w:p>
        </w:tc>
        <w:tc>
          <w:tcPr>
            <w:tcW w:w="3517" w:type="pct"/>
            <w:tcBorders>
              <w:top w:val="single" w:color="auto" w:sz="4" w:space="0"/>
              <w:bottom w:val="single" w:color="auto" w:sz="4" w:space="0"/>
            </w:tcBorders>
            <w:shd w:val="clear" w:color="auto" w:fill="auto"/>
            <w:vAlign w:val="center"/>
          </w:tcPr>
          <w:p w14:paraId="3D324E62">
            <w:pPr>
              <w:keepNext w:val="0"/>
              <w:keepLines w:val="0"/>
              <w:pageBreakBefore w:val="0"/>
              <w:widowControl/>
              <w:suppressLineNumbers w:val="0"/>
              <w:kinsoku/>
              <w:wordWrap/>
              <w:overflowPunct/>
              <w:topLinePunct w:val="0"/>
              <w:autoSpaceDE w:val="0"/>
              <w:autoSpaceDN w:val="0"/>
              <w:bidi w:val="0"/>
              <w:adjustRightInd/>
              <w:snapToGrid/>
              <w:jc w:val="left"/>
              <w:textAlignment w:val="center"/>
              <w:rPr>
                <w:rFonts w:hint="default" w:ascii="Times New Roman" w:hAnsi="Times New Roman" w:eastAsia="仿宋" w:cs="Times New Roman"/>
                <w:i w:val="0"/>
                <w:iCs w:val="0"/>
                <w:color w:val="auto"/>
                <w:kern w:val="0"/>
                <w:sz w:val="28"/>
                <w:szCs w:val="28"/>
                <w:highlight w:val="none"/>
                <w:u w:val="none"/>
                <w:lang w:val="en-US" w:eastAsia="zh-CN" w:bidi="ar"/>
              </w:rPr>
            </w:pPr>
            <w:r>
              <w:rPr>
                <w:rFonts w:hint="default" w:ascii="Times New Roman" w:hAnsi="Times New Roman" w:eastAsia="仿宋" w:cs="Times New Roman"/>
                <w:i w:val="0"/>
                <w:iCs w:val="0"/>
                <w:color w:val="auto"/>
                <w:kern w:val="0"/>
                <w:sz w:val="28"/>
                <w:szCs w:val="28"/>
                <w:highlight w:val="none"/>
                <w:u w:val="none"/>
                <w:lang w:val="en-US" w:eastAsia="zh-CN" w:bidi="ar"/>
              </w:rPr>
              <w:t>ABS阻燃塑料</w:t>
            </w:r>
          </w:p>
        </w:tc>
        <w:tc>
          <w:tcPr>
            <w:tcW w:w="414" w:type="pct"/>
            <w:tcBorders>
              <w:top w:val="single" w:color="auto" w:sz="4" w:space="0"/>
              <w:bottom w:val="single" w:color="auto" w:sz="4" w:space="0"/>
            </w:tcBorders>
            <w:vAlign w:val="center"/>
          </w:tcPr>
          <w:p w14:paraId="6AC4A57B">
            <w:pPr>
              <w:keepNext w:val="0"/>
              <w:keepLines w:val="0"/>
              <w:widowControl/>
              <w:suppressLineNumbers w:val="0"/>
              <w:jc w:val="center"/>
              <w:textAlignment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i w:val="0"/>
                <w:iCs w:val="0"/>
                <w:color w:val="auto"/>
                <w:kern w:val="0"/>
                <w:sz w:val="20"/>
                <w:szCs w:val="20"/>
                <w:highlight w:val="none"/>
                <w:u w:val="none"/>
                <w:lang w:val="en-US" w:eastAsia="zh-CN" w:bidi="ar"/>
              </w:rPr>
              <w:t>84</w:t>
            </w:r>
            <w:r>
              <w:rPr>
                <w:rStyle w:val="27"/>
                <w:rFonts w:hint="default" w:ascii="Times New Roman" w:hAnsi="Times New Roman" w:eastAsia="仿宋" w:cs="Times New Roman"/>
                <w:color w:val="auto"/>
                <w:highlight w:val="none"/>
                <w:lang w:val="en-US" w:eastAsia="zh-CN" w:bidi="ar"/>
              </w:rPr>
              <w:t>个</w:t>
            </w:r>
          </w:p>
        </w:tc>
      </w:tr>
      <w:tr w14:paraId="5802D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345" w:type="pct"/>
            <w:tcBorders>
              <w:top w:val="single" w:color="auto" w:sz="4" w:space="0"/>
              <w:bottom w:val="single" w:color="auto" w:sz="4" w:space="0"/>
            </w:tcBorders>
            <w:shd w:val="clear" w:color="auto" w:fill="auto"/>
            <w:vAlign w:val="center"/>
          </w:tcPr>
          <w:p w14:paraId="31FBA867">
            <w:pPr>
              <w:keepNext w:val="0"/>
              <w:keepLines w:val="0"/>
              <w:pageBreakBefore w:val="0"/>
              <w:widowControl/>
              <w:suppressLineNumbers w:val="0"/>
              <w:kinsoku/>
              <w:wordWrap/>
              <w:overflowPunct/>
              <w:topLinePunct w:val="0"/>
              <w:autoSpaceDE w:val="0"/>
              <w:autoSpaceDN w:val="0"/>
              <w:bidi w:val="0"/>
              <w:adjustRightInd/>
              <w:snapToGrid/>
              <w:jc w:val="left"/>
              <w:textAlignment w:val="bottom"/>
              <w:rPr>
                <w:rFonts w:hint="default" w:ascii="Times New Roman" w:hAnsi="Times New Roman" w:eastAsia="仿宋" w:cs="Times New Roman"/>
                <w:color w:val="auto"/>
                <w:sz w:val="28"/>
                <w:szCs w:val="28"/>
                <w:highlight w:val="none"/>
                <w:lang w:val="en-US" w:eastAsia="zh-CN" w:bidi="ar-SA"/>
              </w:rPr>
            </w:pPr>
            <w:r>
              <w:rPr>
                <w:rFonts w:hint="default" w:ascii="Times New Roman" w:hAnsi="Times New Roman" w:eastAsia="仿宋" w:cs="Times New Roman"/>
                <w:i w:val="0"/>
                <w:iCs w:val="0"/>
                <w:color w:val="auto"/>
                <w:kern w:val="0"/>
                <w:sz w:val="28"/>
                <w:szCs w:val="28"/>
                <w:highlight w:val="none"/>
                <w:u w:val="none"/>
                <w:lang w:val="en-US" w:eastAsia="zh-CN" w:bidi="ar"/>
              </w:rPr>
              <w:t>11</w:t>
            </w:r>
          </w:p>
        </w:tc>
        <w:tc>
          <w:tcPr>
            <w:tcW w:w="722" w:type="pct"/>
            <w:tcBorders>
              <w:top w:val="single" w:color="auto" w:sz="4" w:space="0"/>
              <w:bottom w:val="single" w:color="auto" w:sz="4" w:space="0"/>
            </w:tcBorders>
            <w:shd w:val="clear" w:color="auto" w:fill="auto"/>
            <w:vAlign w:val="center"/>
          </w:tcPr>
          <w:p w14:paraId="627238EB">
            <w:pPr>
              <w:keepNext w:val="0"/>
              <w:keepLines w:val="0"/>
              <w:pageBreakBefore w:val="0"/>
              <w:widowControl/>
              <w:suppressLineNumbers w:val="0"/>
              <w:kinsoku/>
              <w:wordWrap/>
              <w:overflowPunct/>
              <w:topLinePunct w:val="0"/>
              <w:autoSpaceDE w:val="0"/>
              <w:autoSpaceDN w:val="0"/>
              <w:bidi w:val="0"/>
              <w:adjustRightInd/>
              <w:snapToGrid/>
              <w:jc w:val="center"/>
              <w:textAlignment w:val="center"/>
              <w:rPr>
                <w:rFonts w:hint="default" w:ascii="Times New Roman" w:hAnsi="Times New Roman" w:eastAsia="仿宋" w:cs="Times New Roman"/>
                <w:color w:val="auto"/>
                <w:sz w:val="28"/>
                <w:szCs w:val="28"/>
                <w:highlight w:val="none"/>
                <w:lang w:val="en-US" w:eastAsia="zh-CN" w:bidi="ar-SA"/>
              </w:rPr>
            </w:pPr>
            <w:r>
              <w:rPr>
                <w:rFonts w:hint="default" w:ascii="Times New Roman" w:hAnsi="Times New Roman" w:eastAsia="仿宋" w:cs="Times New Roman"/>
                <w:i w:val="0"/>
                <w:iCs w:val="0"/>
                <w:color w:val="auto"/>
                <w:kern w:val="0"/>
                <w:sz w:val="28"/>
                <w:szCs w:val="28"/>
                <w:highlight w:val="none"/>
                <w:u w:val="none"/>
                <w:lang w:val="en-US" w:eastAsia="zh-CN" w:bidi="ar"/>
              </w:rPr>
              <w:t>钢瓶接头</w:t>
            </w:r>
          </w:p>
        </w:tc>
        <w:tc>
          <w:tcPr>
            <w:tcW w:w="3517" w:type="pct"/>
            <w:tcBorders>
              <w:top w:val="single" w:color="auto" w:sz="4" w:space="0"/>
              <w:bottom w:val="single" w:color="auto" w:sz="4" w:space="0"/>
            </w:tcBorders>
            <w:shd w:val="clear" w:color="auto" w:fill="auto"/>
            <w:vAlign w:val="center"/>
          </w:tcPr>
          <w:p w14:paraId="2A91F23C">
            <w:pPr>
              <w:keepNext w:val="0"/>
              <w:keepLines w:val="0"/>
              <w:pageBreakBefore w:val="0"/>
              <w:widowControl/>
              <w:suppressLineNumbers w:val="0"/>
              <w:kinsoku/>
              <w:wordWrap/>
              <w:overflowPunct/>
              <w:topLinePunct w:val="0"/>
              <w:autoSpaceDE w:val="0"/>
              <w:autoSpaceDN w:val="0"/>
              <w:bidi w:val="0"/>
              <w:adjustRightInd/>
              <w:snapToGrid/>
              <w:jc w:val="left"/>
              <w:textAlignment w:val="center"/>
              <w:rPr>
                <w:rFonts w:hint="default" w:ascii="Times New Roman" w:hAnsi="Times New Roman" w:eastAsia="仿宋" w:cs="Times New Roman"/>
                <w:i w:val="0"/>
                <w:iCs w:val="0"/>
                <w:color w:val="auto"/>
                <w:kern w:val="0"/>
                <w:sz w:val="28"/>
                <w:szCs w:val="28"/>
                <w:highlight w:val="none"/>
                <w:u w:val="none"/>
                <w:lang w:val="en-US" w:eastAsia="zh-CN" w:bidi="ar"/>
              </w:rPr>
            </w:pPr>
            <w:r>
              <w:rPr>
                <w:rFonts w:hint="default" w:ascii="Times New Roman" w:hAnsi="Times New Roman" w:eastAsia="仿宋" w:cs="Times New Roman"/>
                <w:i w:val="0"/>
                <w:iCs w:val="0"/>
                <w:color w:val="auto"/>
                <w:kern w:val="0"/>
                <w:sz w:val="28"/>
                <w:szCs w:val="28"/>
                <w:highlight w:val="none"/>
                <w:u w:val="none"/>
                <w:lang w:val="en-US" w:eastAsia="zh-CN" w:bidi="ar"/>
              </w:rPr>
              <w:t>规格：G5/8-RH；材质：不锈钢 SS316L，BA级；</w:t>
            </w:r>
            <w:r>
              <w:rPr>
                <w:rFonts w:hint="default" w:ascii="Times New Roman" w:hAnsi="Times New Roman" w:eastAsia="仿宋" w:cs="Times New Roman"/>
                <w:i w:val="0"/>
                <w:iCs w:val="0"/>
                <w:color w:val="auto"/>
                <w:kern w:val="0"/>
                <w:sz w:val="28"/>
                <w:szCs w:val="28"/>
                <w:highlight w:val="none"/>
                <w:u w:val="none"/>
                <w:lang w:val="en-US" w:eastAsia="zh-CN" w:bidi="ar"/>
              </w:rPr>
              <w:br w:type="textWrapping"/>
            </w:r>
            <w:r>
              <w:rPr>
                <w:rFonts w:hint="default" w:ascii="Times New Roman" w:hAnsi="Times New Roman" w:eastAsia="仿宋" w:cs="Times New Roman"/>
                <w:i w:val="0"/>
                <w:iCs w:val="0"/>
                <w:color w:val="auto"/>
                <w:kern w:val="0"/>
                <w:sz w:val="28"/>
                <w:szCs w:val="28"/>
                <w:highlight w:val="none"/>
                <w:u w:val="none"/>
                <w:lang w:val="en-US" w:eastAsia="zh-CN" w:bidi="ar"/>
              </w:rPr>
              <w:t>耐压：≥25MPa；</w:t>
            </w:r>
          </w:p>
        </w:tc>
        <w:tc>
          <w:tcPr>
            <w:tcW w:w="414" w:type="pct"/>
            <w:tcBorders>
              <w:top w:val="single" w:color="auto" w:sz="4" w:space="0"/>
              <w:bottom w:val="single" w:color="auto" w:sz="4" w:space="0"/>
            </w:tcBorders>
            <w:vAlign w:val="center"/>
          </w:tcPr>
          <w:p w14:paraId="2A3CAD22">
            <w:pPr>
              <w:keepNext w:val="0"/>
              <w:keepLines w:val="0"/>
              <w:widowControl/>
              <w:suppressLineNumbers w:val="0"/>
              <w:jc w:val="center"/>
              <w:textAlignment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i w:val="0"/>
                <w:iCs w:val="0"/>
                <w:color w:val="auto"/>
                <w:kern w:val="0"/>
                <w:sz w:val="20"/>
                <w:szCs w:val="20"/>
                <w:highlight w:val="none"/>
                <w:u w:val="none"/>
                <w:lang w:val="en-US" w:eastAsia="zh-CN" w:bidi="ar"/>
              </w:rPr>
              <w:t>51</w:t>
            </w:r>
            <w:r>
              <w:rPr>
                <w:rStyle w:val="27"/>
                <w:rFonts w:hint="default" w:ascii="Times New Roman" w:hAnsi="Times New Roman" w:eastAsia="仿宋" w:cs="Times New Roman"/>
                <w:color w:val="auto"/>
                <w:highlight w:val="none"/>
                <w:lang w:val="en-US" w:eastAsia="zh-CN" w:bidi="ar"/>
              </w:rPr>
              <w:t>个</w:t>
            </w:r>
          </w:p>
        </w:tc>
      </w:tr>
      <w:tr w14:paraId="06D0A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345" w:type="pct"/>
            <w:tcBorders>
              <w:top w:val="single" w:color="auto" w:sz="4" w:space="0"/>
              <w:bottom w:val="single" w:color="auto" w:sz="4" w:space="0"/>
            </w:tcBorders>
            <w:shd w:val="clear" w:color="auto" w:fill="auto"/>
            <w:vAlign w:val="center"/>
          </w:tcPr>
          <w:p w14:paraId="197C1BC9">
            <w:pPr>
              <w:keepNext w:val="0"/>
              <w:keepLines w:val="0"/>
              <w:pageBreakBefore w:val="0"/>
              <w:widowControl/>
              <w:suppressLineNumbers w:val="0"/>
              <w:kinsoku/>
              <w:wordWrap/>
              <w:overflowPunct/>
              <w:topLinePunct w:val="0"/>
              <w:autoSpaceDE w:val="0"/>
              <w:autoSpaceDN w:val="0"/>
              <w:bidi w:val="0"/>
              <w:adjustRightInd/>
              <w:snapToGrid/>
              <w:jc w:val="left"/>
              <w:textAlignment w:val="bottom"/>
              <w:rPr>
                <w:rFonts w:hint="default" w:ascii="Times New Roman" w:hAnsi="Times New Roman" w:eastAsia="仿宋" w:cs="Times New Roman"/>
                <w:color w:val="auto"/>
                <w:sz w:val="28"/>
                <w:szCs w:val="28"/>
                <w:highlight w:val="none"/>
                <w:lang w:val="en-US" w:eastAsia="zh-CN" w:bidi="ar-SA"/>
              </w:rPr>
            </w:pPr>
            <w:r>
              <w:rPr>
                <w:rFonts w:hint="default" w:ascii="Times New Roman" w:hAnsi="Times New Roman" w:eastAsia="仿宋" w:cs="Times New Roman"/>
                <w:i w:val="0"/>
                <w:iCs w:val="0"/>
                <w:color w:val="auto"/>
                <w:kern w:val="0"/>
                <w:sz w:val="28"/>
                <w:szCs w:val="28"/>
                <w:highlight w:val="none"/>
                <w:u w:val="none"/>
                <w:lang w:val="en-US" w:eastAsia="zh-CN" w:bidi="ar"/>
              </w:rPr>
              <w:t>12</w:t>
            </w:r>
          </w:p>
        </w:tc>
        <w:tc>
          <w:tcPr>
            <w:tcW w:w="722" w:type="pct"/>
            <w:tcBorders>
              <w:top w:val="single" w:color="auto" w:sz="4" w:space="0"/>
              <w:bottom w:val="single" w:color="auto" w:sz="4" w:space="0"/>
            </w:tcBorders>
            <w:shd w:val="clear" w:color="auto" w:fill="auto"/>
            <w:vAlign w:val="center"/>
          </w:tcPr>
          <w:p w14:paraId="463722DA">
            <w:pPr>
              <w:keepNext w:val="0"/>
              <w:keepLines w:val="0"/>
              <w:pageBreakBefore w:val="0"/>
              <w:widowControl/>
              <w:suppressLineNumbers w:val="0"/>
              <w:kinsoku/>
              <w:wordWrap/>
              <w:overflowPunct/>
              <w:topLinePunct w:val="0"/>
              <w:autoSpaceDE w:val="0"/>
              <w:autoSpaceDN w:val="0"/>
              <w:bidi w:val="0"/>
              <w:adjustRightInd/>
              <w:snapToGrid/>
              <w:jc w:val="center"/>
              <w:textAlignment w:val="center"/>
              <w:rPr>
                <w:rFonts w:hint="default" w:ascii="Times New Roman" w:hAnsi="Times New Roman" w:eastAsia="仿宋" w:cs="Times New Roman"/>
                <w:color w:val="auto"/>
                <w:sz w:val="28"/>
                <w:szCs w:val="28"/>
                <w:highlight w:val="none"/>
                <w:lang w:val="en-US" w:eastAsia="zh-CN" w:bidi="ar-SA"/>
              </w:rPr>
            </w:pPr>
            <w:r>
              <w:rPr>
                <w:rFonts w:hint="default" w:ascii="Times New Roman" w:hAnsi="Times New Roman" w:eastAsia="仿宋" w:cs="Times New Roman"/>
                <w:i w:val="0"/>
                <w:iCs w:val="0"/>
                <w:color w:val="auto"/>
                <w:kern w:val="0"/>
                <w:sz w:val="28"/>
                <w:szCs w:val="28"/>
                <w:highlight w:val="none"/>
                <w:u w:val="none"/>
                <w:lang w:val="en-US" w:eastAsia="zh-CN" w:bidi="ar"/>
              </w:rPr>
              <w:t>单向阀</w:t>
            </w:r>
          </w:p>
        </w:tc>
        <w:tc>
          <w:tcPr>
            <w:tcW w:w="3517" w:type="pct"/>
            <w:tcBorders>
              <w:top w:val="single" w:color="auto" w:sz="4" w:space="0"/>
              <w:bottom w:val="single" w:color="auto" w:sz="4" w:space="0"/>
            </w:tcBorders>
            <w:shd w:val="clear" w:color="auto" w:fill="auto"/>
            <w:vAlign w:val="center"/>
          </w:tcPr>
          <w:p w14:paraId="5CA092D5">
            <w:pPr>
              <w:keepNext w:val="0"/>
              <w:keepLines w:val="0"/>
              <w:pageBreakBefore w:val="0"/>
              <w:widowControl/>
              <w:suppressLineNumbers w:val="0"/>
              <w:kinsoku/>
              <w:wordWrap/>
              <w:overflowPunct/>
              <w:topLinePunct w:val="0"/>
              <w:autoSpaceDE w:val="0"/>
              <w:autoSpaceDN w:val="0"/>
              <w:bidi w:val="0"/>
              <w:adjustRightInd/>
              <w:snapToGrid/>
              <w:jc w:val="left"/>
              <w:textAlignment w:val="center"/>
              <w:rPr>
                <w:rFonts w:hint="default" w:ascii="Times New Roman" w:hAnsi="Times New Roman" w:eastAsia="仿宋" w:cs="Times New Roman"/>
                <w:i w:val="0"/>
                <w:iCs w:val="0"/>
                <w:color w:val="auto"/>
                <w:kern w:val="0"/>
                <w:sz w:val="28"/>
                <w:szCs w:val="28"/>
                <w:highlight w:val="none"/>
                <w:u w:val="none"/>
                <w:lang w:val="en-US" w:eastAsia="zh-CN" w:bidi="ar"/>
              </w:rPr>
            </w:pPr>
            <w:r>
              <w:rPr>
                <w:rFonts w:hint="default" w:ascii="Times New Roman" w:hAnsi="Times New Roman" w:eastAsia="仿宋" w:cs="Times New Roman"/>
                <w:i w:val="0"/>
                <w:iCs w:val="0"/>
                <w:color w:val="auto"/>
                <w:kern w:val="0"/>
                <w:sz w:val="28"/>
                <w:szCs w:val="28"/>
                <w:highlight w:val="none"/>
                <w:u w:val="none"/>
                <w:lang w:val="en-US" w:eastAsia="zh-CN" w:bidi="ar"/>
              </w:rPr>
              <w:t>1、规格： CV-1/4FNPT(进气）-1/4MNPT（出气）；</w:t>
            </w:r>
            <w:r>
              <w:rPr>
                <w:rFonts w:hint="default" w:ascii="Times New Roman" w:hAnsi="Times New Roman" w:eastAsia="仿宋" w:cs="Times New Roman"/>
                <w:i w:val="0"/>
                <w:iCs w:val="0"/>
                <w:color w:val="auto"/>
                <w:kern w:val="0"/>
                <w:sz w:val="28"/>
                <w:szCs w:val="28"/>
                <w:highlight w:val="none"/>
                <w:u w:val="none"/>
                <w:lang w:val="en-US" w:eastAsia="zh-CN" w:bidi="ar"/>
              </w:rPr>
              <w:br w:type="textWrapping"/>
            </w:r>
            <w:r>
              <w:rPr>
                <w:rFonts w:hint="default" w:ascii="Times New Roman" w:hAnsi="Times New Roman" w:eastAsia="仿宋" w:cs="Times New Roman"/>
                <w:i w:val="0"/>
                <w:iCs w:val="0"/>
                <w:color w:val="auto"/>
                <w:kern w:val="0"/>
                <w:sz w:val="28"/>
                <w:szCs w:val="28"/>
                <w:highlight w:val="none"/>
                <w:u w:val="none"/>
                <w:lang w:val="en-US" w:eastAsia="zh-CN" w:bidi="ar"/>
              </w:rPr>
              <w:t>材质：不锈钢 SS316L，BA级；耐压 ≥3000Psig</w:t>
            </w:r>
            <w:r>
              <w:rPr>
                <w:rFonts w:hint="default" w:ascii="Times New Roman" w:hAnsi="Times New Roman" w:eastAsia="仿宋" w:cs="Times New Roman"/>
                <w:i w:val="0"/>
                <w:iCs w:val="0"/>
                <w:color w:val="auto"/>
                <w:kern w:val="0"/>
                <w:sz w:val="28"/>
                <w:szCs w:val="28"/>
                <w:highlight w:val="none"/>
                <w:u w:val="none"/>
                <w:lang w:val="en-US" w:eastAsia="zh-CN" w:bidi="ar"/>
              </w:rPr>
              <w:br w:type="textWrapping"/>
            </w:r>
            <w:r>
              <w:rPr>
                <w:rFonts w:hint="default" w:ascii="Times New Roman" w:hAnsi="Times New Roman" w:cs="Times New Roman"/>
                <w:i w:val="0"/>
                <w:iCs w:val="0"/>
                <w:color w:val="auto"/>
                <w:kern w:val="0"/>
                <w:sz w:val="28"/>
                <w:szCs w:val="28"/>
                <w:highlight w:val="none"/>
                <w:u w:val="none"/>
                <w:lang w:val="en-US" w:eastAsia="zh-CN" w:bidi="ar"/>
              </w:rPr>
              <w:t>2</w:t>
            </w:r>
            <w:r>
              <w:rPr>
                <w:rFonts w:hint="default" w:ascii="Times New Roman" w:hAnsi="Times New Roman" w:eastAsia="仿宋" w:cs="Times New Roman"/>
                <w:i w:val="0"/>
                <w:iCs w:val="0"/>
                <w:color w:val="auto"/>
                <w:kern w:val="0"/>
                <w:sz w:val="28"/>
                <w:szCs w:val="28"/>
                <w:highlight w:val="none"/>
                <w:u w:val="none"/>
                <w:lang w:val="en-US" w:eastAsia="zh-CN" w:bidi="ar"/>
              </w:rPr>
              <w:t>、▲提供第三方检验报告，检验项目：中性盐雾试验；检测依据标准 GB/T10125</w:t>
            </w:r>
            <w:r>
              <w:rPr>
                <w:rFonts w:hint="default" w:ascii="Times New Roman" w:hAnsi="Times New Roman" w:eastAsia="仿宋" w:cs="Times New Roman"/>
                <w:i w:val="0"/>
                <w:iCs w:val="0"/>
                <w:color w:val="auto"/>
                <w:kern w:val="0"/>
                <w:sz w:val="28"/>
                <w:szCs w:val="28"/>
                <w:highlight w:val="none"/>
                <w:u w:val="none"/>
                <w:lang w:val="en-US" w:eastAsia="zh-CN" w:bidi="ar"/>
              </w:rPr>
              <w:noBreakHyphen/>
            </w:r>
            <w:r>
              <w:rPr>
                <w:rFonts w:hint="default" w:ascii="Times New Roman" w:hAnsi="Times New Roman" w:eastAsia="仿宋" w:cs="Times New Roman"/>
                <w:i w:val="0"/>
                <w:iCs w:val="0"/>
                <w:color w:val="auto"/>
                <w:kern w:val="0"/>
                <w:sz w:val="28"/>
                <w:szCs w:val="28"/>
                <w:highlight w:val="none"/>
                <w:u w:val="none"/>
                <w:lang w:val="en-US" w:eastAsia="zh-CN" w:bidi="ar"/>
              </w:rPr>
              <w:t>2021，中性盐雾测试时间不低于36h；该检验项目属于市场监管总局 “一单一库”范围，提供带 CMA 标志报告。</w:t>
            </w:r>
          </w:p>
        </w:tc>
        <w:tc>
          <w:tcPr>
            <w:tcW w:w="414" w:type="pct"/>
            <w:tcBorders>
              <w:top w:val="single" w:color="auto" w:sz="4" w:space="0"/>
              <w:bottom w:val="single" w:color="auto" w:sz="4" w:space="0"/>
            </w:tcBorders>
            <w:vAlign w:val="center"/>
          </w:tcPr>
          <w:p w14:paraId="33752F10">
            <w:pPr>
              <w:keepNext w:val="0"/>
              <w:keepLines w:val="0"/>
              <w:widowControl/>
              <w:suppressLineNumbers w:val="0"/>
              <w:jc w:val="center"/>
              <w:textAlignment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i w:val="0"/>
                <w:iCs w:val="0"/>
                <w:color w:val="auto"/>
                <w:kern w:val="0"/>
                <w:sz w:val="20"/>
                <w:szCs w:val="20"/>
                <w:highlight w:val="none"/>
                <w:u w:val="none"/>
                <w:lang w:val="en-US" w:eastAsia="zh-CN" w:bidi="ar"/>
              </w:rPr>
              <w:t>8</w:t>
            </w:r>
            <w:r>
              <w:rPr>
                <w:rStyle w:val="27"/>
                <w:rFonts w:hint="default" w:ascii="Times New Roman" w:hAnsi="Times New Roman" w:eastAsia="仿宋" w:cs="Times New Roman"/>
                <w:color w:val="auto"/>
                <w:highlight w:val="none"/>
                <w:lang w:val="en-US" w:eastAsia="zh-CN" w:bidi="ar"/>
              </w:rPr>
              <w:t>个</w:t>
            </w:r>
          </w:p>
        </w:tc>
      </w:tr>
      <w:tr w14:paraId="34313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345" w:type="pct"/>
            <w:tcBorders>
              <w:top w:val="single" w:color="auto" w:sz="4" w:space="0"/>
              <w:bottom w:val="single" w:color="auto" w:sz="4" w:space="0"/>
            </w:tcBorders>
            <w:shd w:val="clear" w:color="auto" w:fill="auto"/>
            <w:vAlign w:val="center"/>
          </w:tcPr>
          <w:p w14:paraId="6E28E046">
            <w:pPr>
              <w:keepNext w:val="0"/>
              <w:keepLines w:val="0"/>
              <w:pageBreakBefore w:val="0"/>
              <w:widowControl/>
              <w:suppressLineNumbers w:val="0"/>
              <w:kinsoku/>
              <w:wordWrap/>
              <w:overflowPunct/>
              <w:topLinePunct w:val="0"/>
              <w:autoSpaceDE w:val="0"/>
              <w:autoSpaceDN w:val="0"/>
              <w:bidi w:val="0"/>
              <w:adjustRightInd/>
              <w:snapToGrid/>
              <w:jc w:val="left"/>
              <w:textAlignment w:val="bottom"/>
              <w:rPr>
                <w:rFonts w:hint="default" w:ascii="Times New Roman" w:hAnsi="Times New Roman" w:eastAsia="仿宋" w:cs="Times New Roman"/>
                <w:color w:val="auto"/>
                <w:sz w:val="28"/>
                <w:szCs w:val="28"/>
                <w:highlight w:val="none"/>
                <w:lang w:val="en-US" w:eastAsia="zh-CN" w:bidi="ar-SA"/>
              </w:rPr>
            </w:pPr>
            <w:r>
              <w:rPr>
                <w:rFonts w:hint="default" w:ascii="Times New Roman" w:hAnsi="Times New Roman" w:eastAsia="仿宋" w:cs="Times New Roman"/>
                <w:i w:val="0"/>
                <w:iCs w:val="0"/>
                <w:color w:val="auto"/>
                <w:kern w:val="0"/>
                <w:sz w:val="28"/>
                <w:szCs w:val="28"/>
                <w:highlight w:val="none"/>
                <w:u w:val="none"/>
                <w:lang w:val="en-US" w:eastAsia="zh-CN" w:bidi="ar"/>
              </w:rPr>
              <w:t>13</w:t>
            </w:r>
          </w:p>
        </w:tc>
        <w:tc>
          <w:tcPr>
            <w:tcW w:w="722" w:type="pct"/>
            <w:tcBorders>
              <w:top w:val="single" w:color="auto" w:sz="4" w:space="0"/>
              <w:bottom w:val="single" w:color="auto" w:sz="4" w:space="0"/>
            </w:tcBorders>
            <w:shd w:val="clear" w:color="auto" w:fill="auto"/>
            <w:vAlign w:val="center"/>
          </w:tcPr>
          <w:p w14:paraId="12421755">
            <w:pPr>
              <w:keepNext w:val="0"/>
              <w:keepLines w:val="0"/>
              <w:pageBreakBefore w:val="0"/>
              <w:widowControl/>
              <w:suppressLineNumbers w:val="0"/>
              <w:kinsoku/>
              <w:wordWrap/>
              <w:overflowPunct/>
              <w:topLinePunct w:val="0"/>
              <w:autoSpaceDE w:val="0"/>
              <w:autoSpaceDN w:val="0"/>
              <w:bidi w:val="0"/>
              <w:adjustRightInd/>
              <w:snapToGrid/>
              <w:jc w:val="center"/>
              <w:textAlignment w:val="center"/>
              <w:rPr>
                <w:rFonts w:hint="default" w:ascii="Times New Roman" w:hAnsi="Times New Roman" w:eastAsia="仿宋" w:cs="Times New Roman"/>
                <w:color w:val="auto"/>
                <w:sz w:val="28"/>
                <w:szCs w:val="28"/>
                <w:highlight w:val="none"/>
                <w:lang w:val="en-US" w:eastAsia="zh-CN" w:bidi="ar-SA"/>
              </w:rPr>
            </w:pPr>
            <w:r>
              <w:rPr>
                <w:rFonts w:hint="default" w:ascii="Times New Roman" w:hAnsi="Times New Roman" w:eastAsia="仿宋" w:cs="Times New Roman"/>
                <w:i w:val="0"/>
                <w:iCs w:val="0"/>
                <w:color w:val="auto"/>
                <w:kern w:val="0"/>
                <w:sz w:val="28"/>
                <w:szCs w:val="28"/>
                <w:highlight w:val="none"/>
                <w:u w:val="none"/>
                <w:lang w:val="en-US" w:eastAsia="zh-CN" w:bidi="ar"/>
              </w:rPr>
              <w:t>高压软管</w:t>
            </w:r>
          </w:p>
        </w:tc>
        <w:tc>
          <w:tcPr>
            <w:tcW w:w="3517" w:type="pct"/>
            <w:tcBorders>
              <w:top w:val="single" w:color="auto" w:sz="4" w:space="0"/>
              <w:bottom w:val="single" w:color="auto" w:sz="4" w:space="0"/>
            </w:tcBorders>
            <w:shd w:val="clear" w:color="auto" w:fill="auto"/>
            <w:vAlign w:val="center"/>
          </w:tcPr>
          <w:p w14:paraId="2A9453D9">
            <w:pPr>
              <w:keepNext w:val="0"/>
              <w:keepLines w:val="0"/>
              <w:pageBreakBefore w:val="0"/>
              <w:widowControl/>
              <w:suppressLineNumbers w:val="0"/>
              <w:kinsoku/>
              <w:wordWrap/>
              <w:overflowPunct/>
              <w:topLinePunct w:val="0"/>
              <w:autoSpaceDE w:val="0"/>
              <w:autoSpaceDN w:val="0"/>
              <w:bidi w:val="0"/>
              <w:adjustRightInd/>
              <w:snapToGrid/>
              <w:jc w:val="left"/>
              <w:textAlignment w:val="center"/>
              <w:rPr>
                <w:rFonts w:hint="default" w:ascii="Times New Roman" w:hAnsi="Times New Roman" w:eastAsia="仿宋" w:cs="Times New Roman"/>
                <w:i w:val="0"/>
                <w:iCs w:val="0"/>
                <w:color w:val="auto"/>
                <w:kern w:val="0"/>
                <w:sz w:val="28"/>
                <w:szCs w:val="28"/>
                <w:highlight w:val="none"/>
                <w:u w:val="none"/>
                <w:lang w:val="en-US" w:eastAsia="zh-CN" w:bidi="ar"/>
              </w:rPr>
            </w:pPr>
            <w:r>
              <w:rPr>
                <w:rFonts w:hint="default" w:ascii="Times New Roman" w:hAnsi="Times New Roman" w:eastAsia="仿宋" w:cs="Times New Roman"/>
                <w:i w:val="0"/>
                <w:iCs w:val="0"/>
                <w:color w:val="auto"/>
                <w:kern w:val="0"/>
                <w:sz w:val="28"/>
                <w:szCs w:val="28"/>
                <w:highlight w:val="none"/>
                <w:u w:val="none"/>
                <w:lang w:val="en-US" w:eastAsia="zh-CN" w:bidi="ar"/>
              </w:rPr>
              <w:t>名称：金属高压软管；长度：≥1000mm；材质：不锈钢 SS316L，BA级；耐压：≥25MPa；接口：进口1/4"FNPT，出口1/4"FNPT</w:t>
            </w:r>
            <w:r>
              <w:rPr>
                <w:rFonts w:hint="eastAsia" w:ascii="Times New Roman" w:hAnsi="Times New Roman" w:cs="Times New Roman"/>
                <w:i w:val="0"/>
                <w:iCs w:val="0"/>
                <w:color w:val="auto"/>
                <w:kern w:val="0"/>
                <w:sz w:val="28"/>
                <w:szCs w:val="28"/>
                <w:highlight w:val="none"/>
                <w:u w:val="none"/>
                <w:lang w:val="en-US" w:eastAsia="zh-CN" w:bidi="ar"/>
              </w:rPr>
              <w:t>。</w:t>
            </w:r>
          </w:p>
        </w:tc>
        <w:tc>
          <w:tcPr>
            <w:tcW w:w="414" w:type="pct"/>
            <w:tcBorders>
              <w:top w:val="single" w:color="auto" w:sz="4" w:space="0"/>
              <w:bottom w:val="single" w:color="auto" w:sz="4" w:space="0"/>
            </w:tcBorders>
            <w:vAlign w:val="center"/>
          </w:tcPr>
          <w:p w14:paraId="42A1A640">
            <w:pPr>
              <w:keepNext w:val="0"/>
              <w:keepLines w:val="0"/>
              <w:widowControl/>
              <w:suppressLineNumbers w:val="0"/>
              <w:jc w:val="center"/>
              <w:textAlignment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i w:val="0"/>
                <w:iCs w:val="0"/>
                <w:color w:val="auto"/>
                <w:kern w:val="0"/>
                <w:sz w:val="20"/>
                <w:szCs w:val="20"/>
                <w:highlight w:val="none"/>
                <w:u w:val="none"/>
                <w:lang w:val="en-US" w:eastAsia="zh-CN" w:bidi="ar"/>
              </w:rPr>
              <w:t>51</w:t>
            </w:r>
            <w:r>
              <w:rPr>
                <w:rStyle w:val="27"/>
                <w:rFonts w:hint="default" w:ascii="Times New Roman" w:hAnsi="Times New Roman" w:eastAsia="仿宋" w:cs="Times New Roman"/>
                <w:color w:val="auto"/>
                <w:highlight w:val="none"/>
                <w:lang w:val="en-US" w:eastAsia="zh-CN" w:bidi="ar"/>
              </w:rPr>
              <w:t>根</w:t>
            </w:r>
          </w:p>
        </w:tc>
      </w:tr>
      <w:tr w14:paraId="3A814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345" w:type="pct"/>
            <w:tcBorders>
              <w:top w:val="single" w:color="auto" w:sz="4" w:space="0"/>
              <w:bottom w:val="single" w:color="auto" w:sz="4" w:space="0"/>
            </w:tcBorders>
            <w:shd w:val="clear" w:color="auto" w:fill="auto"/>
            <w:vAlign w:val="center"/>
          </w:tcPr>
          <w:p w14:paraId="3E68026B">
            <w:pPr>
              <w:keepNext w:val="0"/>
              <w:keepLines w:val="0"/>
              <w:pageBreakBefore w:val="0"/>
              <w:widowControl/>
              <w:suppressLineNumbers w:val="0"/>
              <w:kinsoku/>
              <w:wordWrap/>
              <w:overflowPunct/>
              <w:topLinePunct w:val="0"/>
              <w:autoSpaceDE w:val="0"/>
              <w:autoSpaceDN w:val="0"/>
              <w:bidi w:val="0"/>
              <w:adjustRightInd/>
              <w:snapToGrid/>
              <w:jc w:val="left"/>
              <w:textAlignment w:val="bottom"/>
              <w:rPr>
                <w:rFonts w:hint="default" w:ascii="Times New Roman" w:hAnsi="Times New Roman" w:eastAsia="仿宋" w:cs="Times New Roman"/>
                <w:color w:val="auto"/>
                <w:sz w:val="28"/>
                <w:szCs w:val="28"/>
                <w:highlight w:val="none"/>
                <w:lang w:val="en-US" w:eastAsia="zh-CN" w:bidi="ar-SA"/>
              </w:rPr>
            </w:pPr>
            <w:r>
              <w:rPr>
                <w:rFonts w:hint="default" w:ascii="Times New Roman" w:hAnsi="Times New Roman" w:eastAsia="仿宋" w:cs="Times New Roman"/>
                <w:i w:val="0"/>
                <w:iCs w:val="0"/>
                <w:color w:val="auto"/>
                <w:kern w:val="0"/>
                <w:sz w:val="28"/>
                <w:szCs w:val="28"/>
                <w:highlight w:val="none"/>
                <w:u w:val="none"/>
                <w:lang w:val="en-US" w:eastAsia="zh-CN" w:bidi="ar"/>
              </w:rPr>
              <w:t>14</w:t>
            </w:r>
          </w:p>
        </w:tc>
        <w:tc>
          <w:tcPr>
            <w:tcW w:w="722" w:type="pct"/>
            <w:tcBorders>
              <w:top w:val="single" w:color="auto" w:sz="4" w:space="0"/>
              <w:bottom w:val="single" w:color="auto" w:sz="4" w:space="0"/>
            </w:tcBorders>
            <w:shd w:val="clear" w:color="auto" w:fill="auto"/>
            <w:vAlign w:val="center"/>
          </w:tcPr>
          <w:p w14:paraId="0C916D23">
            <w:pPr>
              <w:keepNext w:val="0"/>
              <w:keepLines w:val="0"/>
              <w:pageBreakBefore w:val="0"/>
              <w:widowControl/>
              <w:suppressLineNumbers w:val="0"/>
              <w:kinsoku/>
              <w:wordWrap/>
              <w:overflowPunct/>
              <w:topLinePunct w:val="0"/>
              <w:autoSpaceDE w:val="0"/>
              <w:autoSpaceDN w:val="0"/>
              <w:bidi w:val="0"/>
              <w:adjustRightInd/>
              <w:snapToGrid/>
              <w:jc w:val="center"/>
              <w:textAlignment w:val="center"/>
              <w:rPr>
                <w:rFonts w:hint="default" w:ascii="Times New Roman" w:hAnsi="Times New Roman" w:eastAsia="仿宋" w:cs="Times New Roman"/>
                <w:color w:val="auto"/>
                <w:sz w:val="28"/>
                <w:szCs w:val="28"/>
                <w:highlight w:val="none"/>
                <w:lang w:val="en-US" w:eastAsia="zh-CN" w:bidi="ar-SA"/>
              </w:rPr>
            </w:pPr>
            <w:r>
              <w:rPr>
                <w:rFonts w:hint="default" w:ascii="Times New Roman" w:hAnsi="Times New Roman" w:eastAsia="仿宋" w:cs="Times New Roman"/>
                <w:i w:val="0"/>
                <w:iCs w:val="0"/>
                <w:color w:val="auto"/>
                <w:kern w:val="0"/>
                <w:sz w:val="28"/>
                <w:szCs w:val="28"/>
                <w:highlight w:val="none"/>
                <w:u w:val="none"/>
                <w:lang w:val="en-US" w:eastAsia="zh-CN" w:bidi="ar"/>
              </w:rPr>
              <w:t>单瓶减压输出控制系统</w:t>
            </w:r>
          </w:p>
        </w:tc>
        <w:tc>
          <w:tcPr>
            <w:tcW w:w="3517" w:type="pct"/>
            <w:tcBorders>
              <w:top w:val="single" w:color="auto" w:sz="4" w:space="0"/>
              <w:bottom w:val="single" w:color="auto" w:sz="4" w:space="0"/>
            </w:tcBorders>
            <w:shd w:val="clear" w:color="auto" w:fill="auto"/>
            <w:vAlign w:val="center"/>
          </w:tcPr>
          <w:p w14:paraId="78350080">
            <w:pPr>
              <w:keepNext w:val="0"/>
              <w:keepLines w:val="0"/>
              <w:pageBreakBefore w:val="0"/>
              <w:widowControl/>
              <w:suppressLineNumbers w:val="0"/>
              <w:kinsoku/>
              <w:wordWrap/>
              <w:overflowPunct/>
              <w:topLinePunct w:val="0"/>
              <w:autoSpaceDE w:val="0"/>
              <w:autoSpaceDN w:val="0"/>
              <w:bidi w:val="0"/>
              <w:adjustRightInd/>
              <w:snapToGrid/>
              <w:jc w:val="left"/>
              <w:textAlignment w:val="center"/>
              <w:rPr>
                <w:rFonts w:hint="default" w:ascii="Times New Roman" w:hAnsi="Times New Roman" w:eastAsia="仿宋" w:cs="Times New Roman"/>
                <w:i w:val="0"/>
                <w:iCs w:val="0"/>
                <w:color w:val="auto"/>
                <w:kern w:val="0"/>
                <w:sz w:val="28"/>
                <w:szCs w:val="28"/>
                <w:highlight w:val="none"/>
                <w:u w:val="none"/>
                <w:lang w:val="en-US" w:eastAsia="zh-CN" w:bidi="ar"/>
              </w:rPr>
            </w:pPr>
            <w:r>
              <w:rPr>
                <w:rFonts w:hint="default" w:ascii="Times New Roman" w:hAnsi="Times New Roman" w:eastAsia="仿宋" w:cs="Times New Roman"/>
                <w:i w:val="0"/>
                <w:iCs w:val="0"/>
                <w:color w:val="auto"/>
                <w:kern w:val="0"/>
                <w:sz w:val="28"/>
                <w:szCs w:val="28"/>
                <w:highlight w:val="none"/>
                <w:u w:val="none"/>
                <w:lang w:val="en-US" w:eastAsia="zh-CN" w:bidi="ar"/>
              </w:rPr>
              <w:t>耐压≥25Mpa；进气压力量程：0-25Mpa；出气压力量程：0-2.5Mpa；安全测试压力≥1.5倍的最大输入压力；</w:t>
            </w:r>
            <w:r>
              <w:rPr>
                <w:rFonts w:hint="default" w:ascii="Times New Roman" w:hAnsi="Times New Roman" w:eastAsia="仿宋" w:cs="Times New Roman"/>
                <w:i w:val="0"/>
                <w:iCs w:val="0"/>
                <w:color w:val="auto"/>
                <w:kern w:val="0"/>
                <w:sz w:val="28"/>
                <w:szCs w:val="28"/>
                <w:highlight w:val="none"/>
                <w:u w:val="none"/>
                <w:lang w:val="en-US" w:eastAsia="zh-CN" w:bidi="ar"/>
              </w:rPr>
              <w:br w:type="textWrapping"/>
            </w:r>
            <w:r>
              <w:rPr>
                <w:rFonts w:hint="default" w:ascii="Times New Roman" w:hAnsi="Times New Roman" w:eastAsia="仿宋" w:cs="Times New Roman"/>
                <w:i w:val="0"/>
                <w:iCs w:val="0"/>
                <w:color w:val="auto"/>
                <w:kern w:val="0"/>
                <w:sz w:val="28"/>
                <w:szCs w:val="28"/>
                <w:highlight w:val="none"/>
                <w:u w:val="none"/>
                <w:lang w:val="en-US" w:eastAsia="zh-CN" w:bidi="ar"/>
              </w:rPr>
              <w:t>母体材质：不锈钢316LBA；单侧或独立式供气</w:t>
            </w:r>
            <w:r>
              <w:rPr>
                <w:rFonts w:hint="eastAsia" w:ascii="Times New Roman" w:hAnsi="Times New Roman" w:cs="Times New Roman"/>
                <w:i w:val="0"/>
                <w:iCs w:val="0"/>
                <w:color w:val="auto"/>
                <w:kern w:val="0"/>
                <w:sz w:val="28"/>
                <w:szCs w:val="28"/>
                <w:highlight w:val="none"/>
                <w:u w:val="none"/>
                <w:lang w:val="en-US" w:eastAsia="zh-CN" w:bidi="ar"/>
              </w:rPr>
              <w:t>。</w:t>
            </w:r>
          </w:p>
        </w:tc>
        <w:tc>
          <w:tcPr>
            <w:tcW w:w="414" w:type="pct"/>
            <w:tcBorders>
              <w:top w:val="single" w:color="auto" w:sz="4" w:space="0"/>
              <w:bottom w:val="single" w:color="auto" w:sz="4" w:space="0"/>
            </w:tcBorders>
            <w:vAlign w:val="center"/>
          </w:tcPr>
          <w:p w14:paraId="5AE160DD">
            <w:pPr>
              <w:keepNext w:val="0"/>
              <w:keepLines w:val="0"/>
              <w:widowControl/>
              <w:suppressLineNumbers w:val="0"/>
              <w:jc w:val="center"/>
              <w:textAlignment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i w:val="0"/>
                <w:iCs w:val="0"/>
                <w:color w:val="auto"/>
                <w:kern w:val="0"/>
                <w:sz w:val="20"/>
                <w:szCs w:val="20"/>
                <w:highlight w:val="none"/>
                <w:u w:val="none"/>
                <w:lang w:val="en-US" w:eastAsia="zh-CN" w:bidi="ar"/>
              </w:rPr>
              <w:t>2</w:t>
            </w:r>
            <w:r>
              <w:rPr>
                <w:rStyle w:val="27"/>
                <w:rFonts w:hint="default" w:ascii="Times New Roman" w:hAnsi="Times New Roman" w:eastAsia="仿宋" w:cs="Times New Roman"/>
                <w:color w:val="auto"/>
                <w:highlight w:val="none"/>
                <w:lang w:val="en-US" w:eastAsia="zh-CN" w:bidi="ar"/>
              </w:rPr>
              <w:t>套</w:t>
            </w:r>
          </w:p>
        </w:tc>
      </w:tr>
      <w:tr w14:paraId="0AE94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345" w:type="pct"/>
            <w:tcBorders>
              <w:top w:val="single" w:color="auto" w:sz="4" w:space="0"/>
              <w:bottom w:val="single" w:color="auto" w:sz="4" w:space="0"/>
            </w:tcBorders>
            <w:shd w:val="clear" w:color="auto" w:fill="auto"/>
            <w:vAlign w:val="center"/>
          </w:tcPr>
          <w:p w14:paraId="16D22DAE">
            <w:pPr>
              <w:keepNext w:val="0"/>
              <w:keepLines w:val="0"/>
              <w:pageBreakBefore w:val="0"/>
              <w:widowControl/>
              <w:suppressLineNumbers w:val="0"/>
              <w:kinsoku/>
              <w:wordWrap/>
              <w:overflowPunct/>
              <w:topLinePunct w:val="0"/>
              <w:autoSpaceDE w:val="0"/>
              <w:autoSpaceDN w:val="0"/>
              <w:bidi w:val="0"/>
              <w:adjustRightInd/>
              <w:snapToGrid/>
              <w:jc w:val="left"/>
              <w:textAlignment w:val="bottom"/>
              <w:rPr>
                <w:rFonts w:hint="default" w:ascii="Times New Roman" w:hAnsi="Times New Roman" w:eastAsia="仿宋" w:cs="Times New Roman"/>
                <w:color w:val="auto"/>
                <w:sz w:val="28"/>
                <w:szCs w:val="28"/>
                <w:highlight w:val="none"/>
                <w:lang w:val="en-US" w:eastAsia="zh-CN" w:bidi="ar-SA"/>
              </w:rPr>
            </w:pPr>
            <w:r>
              <w:rPr>
                <w:rFonts w:hint="default" w:ascii="Times New Roman" w:hAnsi="Times New Roman" w:eastAsia="仿宋" w:cs="Times New Roman"/>
                <w:i w:val="0"/>
                <w:iCs w:val="0"/>
                <w:color w:val="auto"/>
                <w:kern w:val="0"/>
                <w:sz w:val="28"/>
                <w:szCs w:val="28"/>
                <w:highlight w:val="none"/>
                <w:u w:val="none"/>
                <w:lang w:val="en-US" w:eastAsia="zh-CN" w:bidi="ar"/>
              </w:rPr>
              <w:t>15</w:t>
            </w:r>
          </w:p>
        </w:tc>
        <w:tc>
          <w:tcPr>
            <w:tcW w:w="722" w:type="pct"/>
            <w:tcBorders>
              <w:top w:val="single" w:color="auto" w:sz="4" w:space="0"/>
              <w:bottom w:val="single" w:color="auto" w:sz="4" w:space="0"/>
            </w:tcBorders>
            <w:shd w:val="clear" w:color="auto" w:fill="auto"/>
            <w:vAlign w:val="center"/>
          </w:tcPr>
          <w:p w14:paraId="749F3BF2">
            <w:pPr>
              <w:keepNext w:val="0"/>
              <w:keepLines w:val="0"/>
              <w:pageBreakBefore w:val="0"/>
              <w:widowControl/>
              <w:suppressLineNumbers w:val="0"/>
              <w:kinsoku/>
              <w:wordWrap/>
              <w:overflowPunct/>
              <w:topLinePunct w:val="0"/>
              <w:autoSpaceDE w:val="0"/>
              <w:autoSpaceDN w:val="0"/>
              <w:bidi w:val="0"/>
              <w:adjustRightInd/>
              <w:snapToGrid/>
              <w:jc w:val="center"/>
              <w:textAlignment w:val="center"/>
              <w:rPr>
                <w:rFonts w:hint="default" w:ascii="Times New Roman" w:hAnsi="Times New Roman" w:eastAsia="仿宋" w:cs="Times New Roman"/>
                <w:color w:val="auto"/>
                <w:sz w:val="28"/>
                <w:szCs w:val="28"/>
                <w:highlight w:val="none"/>
                <w:lang w:val="en-US" w:eastAsia="zh-CN" w:bidi="ar-SA"/>
              </w:rPr>
            </w:pPr>
            <w:r>
              <w:rPr>
                <w:rFonts w:hint="default" w:ascii="Times New Roman" w:hAnsi="Times New Roman" w:eastAsia="仿宋" w:cs="Times New Roman"/>
                <w:i w:val="0"/>
                <w:iCs w:val="0"/>
                <w:color w:val="auto"/>
                <w:kern w:val="0"/>
                <w:sz w:val="28"/>
                <w:szCs w:val="28"/>
                <w:highlight w:val="none"/>
                <w:u w:val="none"/>
                <w:lang w:val="en-US" w:eastAsia="zh-CN" w:bidi="ar"/>
              </w:rPr>
              <w:t>4P自动不间断汇流控制系统</w:t>
            </w:r>
          </w:p>
        </w:tc>
        <w:tc>
          <w:tcPr>
            <w:tcW w:w="3517" w:type="pct"/>
            <w:tcBorders>
              <w:top w:val="single" w:color="auto" w:sz="4" w:space="0"/>
              <w:bottom w:val="single" w:color="auto" w:sz="4" w:space="0"/>
            </w:tcBorders>
            <w:shd w:val="clear" w:color="auto" w:fill="auto"/>
            <w:vAlign w:val="center"/>
          </w:tcPr>
          <w:p w14:paraId="5233DFBB">
            <w:pPr>
              <w:keepNext w:val="0"/>
              <w:keepLines w:val="0"/>
              <w:pageBreakBefore w:val="0"/>
              <w:widowControl/>
              <w:suppressLineNumbers w:val="0"/>
              <w:kinsoku/>
              <w:wordWrap/>
              <w:overflowPunct/>
              <w:topLinePunct w:val="0"/>
              <w:autoSpaceDE w:val="0"/>
              <w:autoSpaceDN w:val="0"/>
              <w:bidi w:val="0"/>
              <w:adjustRightInd/>
              <w:snapToGrid/>
              <w:jc w:val="left"/>
              <w:textAlignment w:val="center"/>
              <w:rPr>
                <w:rFonts w:hint="default" w:ascii="Times New Roman" w:hAnsi="Times New Roman" w:eastAsia="仿宋" w:cs="Times New Roman"/>
                <w:i w:val="0"/>
                <w:iCs w:val="0"/>
                <w:color w:val="auto"/>
                <w:kern w:val="0"/>
                <w:sz w:val="28"/>
                <w:szCs w:val="28"/>
                <w:highlight w:val="none"/>
                <w:u w:val="none"/>
                <w:lang w:val="en-US" w:eastAsia="zh-CN" w:bidi="ar"/>
              </w:rPr>
            </w:pPr>
            <w:r>
              <w:rPr>
                <w:rFonts w:hint="default" w:ascii="Times New Roman" w:hAnsi="Times New Roman" w:eastAsia="仿宋" w:cs="Times New Roman"/>
                <w:i w:val="0"/>
                <w:iCs w:val="0"/>
                <w:color w:val="auto"/>
                <w:kern w:val="0"/>
                <w:sz w:val="28"/>
                <w:szCs w:val="28"/>
                <w:highlight w:val="none"/>
                <w:u w:val="none"/>
                <w:lang w:val="en-US" w:eastAsia="zh-CN" w:bidi="ar"/>
              </w:rPr>
              <w:t>1、耐压≥20Mpa；进气压力量程：0-15Mpa；出气压力量程：0-2.5Mpa</w:t>
            </w:r>
            <w:r>
              <w:rPr>
                <w:rFonts w:hint="default" w:ascii="Times New Roman" w:hAnsi="Times New Roman" w:cs="Times New Roman"/>
                <w:i w:val="0"/>
                <w:iCs w:val="0"/>
                <w:color w:val="auto"/>
                <w:kern w:val="0"/>
                <w:sz w:val="28"/>
                <w:szCs w:val="28"/>
                <w:highlight w:val="none"/>
                <w:u w:val="none"/>
                <w:lang w:val="en-US" w:eastAsia="zh-CN" w:bidi="ar"/>
              </w:rPr>
              <w:t>；</w:t>
            </w:r>
            <w:r>
              <w:rPr>
                <w:rFonts w:hint="default" w:ascii="Times New Roman" w:hAnsi="Times New Roman" w:eastAsia="仿宋" w:cs="Times New Roman"/>
                <w:i w:val="0"/>
                <w:iCs w:val="0"/>
                <w:color w:val="auto"/>
                <w:kern w:val="0"/>
                <w:sz w:val="28"/>
                <w:szCs w:val="28"/>
                <w:highlight w:val="none"/>
                <w:u w:val="none"/>
                <w:lang w:val="en-US" w:eastAsia="zh-CN" w:bidi="ar"/>
              </w:rPr>
              <w:t>安全测试压力≥1.5倍的最大输入压力；母体材质：不锈钢316LBA。采用不锈钢316LBA级洁净材质，其中包含一级减压器，进气压力表，出气压力表、镜面金属固定面板、输出隔膜阀，具备排空系统，压力信号采集器；产品应满足氢气、乙炔等易燃易爆气体使用，可实现气体在一侧气瓶使用完后自动切换到另一侧使用，并实时传输信号到控制系统且同步向管理人员发出远程信息化</w:t>
            </w:r>
            <w:bookmarkStart w:id="82" w:name="_GoBack"/>
            <w:bookmarkEnd w:id="82"/>
            <w:r>
              <w:rPr>
                <w:rFonts w:hint="default" w:ascii="Times New Roman" w:hAnsi="Times New Roman" w:eastAsia="仿宋" w:cs="Times New Roman"/>
                <w:i w:val="0"/>
                <w:iCs w:val="0"/>
                <w:color w:val="auto"/>
                <w:kern w:val="0"/>
                <w:sz w:val="28"/>
                <w:szCs w:val="28"/>
                <w:highlight w:val="none"/>
                <w:u w:val="none"/>
                <w:lang w:val="en-US" w:eastAsia="zh-CN" w:bidi="ar"/>
              </w:rPr>
              <w:t>报警通知，采用2用2备不间断汇流不间断供气模式</w:t>
            </w:r>
            <w:r>
              <w:rPr>
                <w:rFonts w:hint="default" w:ascii="Times New Roman" w:hAnsi="Times New Roman" w:cs="Times New Roman"/>
                <w:i w:val="0"/>
                <w:iCs w:val="0"/>
                <w:color w:val="auto"/>
                <w:kern w:val="0"/>
                <w:sz w:val="28"/>
                <w:szCs w:val="28"/>
                <w:highlight w:val="none"/>
                <w:u w:val="none"/>
                <w:lang w:val="en-US" w:eastAsia="zh-CN" w:bidi="ar"/>
              </w:rPr>
              <w:t>。</w:t>
            </w:r>
            <w:r>
              <w:rPr>
                <w:rFonts w:hint="default" w:ascii="Times New Roman" w:hAnsi="Times New Roman" w:eastAsia="仿宋" w:cs="Times New Roman"/>
                <w:i w:val="0"/>
                <w:iCs w:val="0"/>
                <w:color w:val="auto"/>
                <w:kern w:val="0"/>
                <w:sz w:val="28"/>
                <w:szCs w:val="28"/>
                <w:highlight w:val="none"/>
                <w:u w:val="none"/>
                <w:lang w:val="en-US" w:eastAsia="zh-CN" w:bidi="ar"/>
              </w:rPr>
              <w:br w:type="textWrapping"/>
            </w:r>
            <w:r>
              <w:rPr>
                <w:rFonts w:hint="default" w:ascii="Times New Roman" w:hAnsi="Times New Roman" w:cs="Times New Roman"/>
                <w:i w:val="0"/>
                <w:iCs w:val="0"/>
                <w:color w:val="auto"/>
                <w:kern w:val="0"/>
                <w:sz w:val="28"/>
                <w:szCs w:val="28"/>
                <w:highlight w:val="none"/>
                <w:u w:val="none"/>
                <w:lang w:val="en-US" w:eastAsia="zh-CN" w:bidi="ar"/>
              </w:rPr>
              <w:t>2</w:t>
            </w:r>
            <w:r>
              <w:rPr>
                <w:rFonts w:hint="default" w:ascii="Times New Roman" w:hAnsi="Times New Roman" w:eastAsia="仿宋" w:cs="Times New Roman"/>
                <w:i w:val="0"/>
                <w:iCs w:val="0"/>
                <w:color w:val="auto"/>
                <w:kern w:val="0"/>
                <w:sz w:val="28"/>
                <w:szCs w:val="28"/>
                <w:highlight w:val="none"/>
                <w:u w:val="none"/>
                <w:lang w:val="en-US" w:eastAsia="zh-CN" w:bidi="ar"/>
              </w:rPr>
              <w:t>、★性能要求：产品应满足氢气、乙炔等易燃易爆气体使用，可实现气体在一侧气瓶使用完后自动切换到另一侧使用，并实时传输信号到控制系统且同步向管理人员发出远程信息化报警通知，整套设备按照GB/T3836.1‑2021《爆炸性环境 第1部分：设备通用要求》、GB/T3836.2‑2021《爆炸性环境 第2部分：由隔爆外壳“d”保护的设备》完成防爆性能检测。提供具备CMA资质的第三方机构出具的整套设备防爆检测报告及防爆合格证。</w:t>
            </w:r>
          </w:p>
          <w:p w14:paraId="46023B37">
            <w:pPr>
              <w:keepNext w:val="0"/>
              <w:keepLines w:val="0"/>
              <w:pageBreakBefore w:val="0"/>
              <w:widowControl/>
              <w:suppressLineNumbers w:val="0"/>
              <w:kinsoku/>
              <w:wordWrap/>
              <w:overflowPunct/>
              <w:topLinePunct w:val="0"/>
              <w:autoSpaceDE w:val="0"/>
              <w:autoSpaceDN w:val="0"/>
              <w:bidi w:val="0"/>
              <w:adjustRightInd/>
              <w:snapToGrid/>
              <w:jc w:val="left"/>
              <w:textAlignment w:val="center"/>
              <w:rPr>
                <w:rFonts w:hint="default" w:ascii="Times New Roman" w:hAnsi="Times New Roman" w:eastAsia="仿宋" w:cs="Times New Roman"/>
                <w:i w:val="0"/>
                <w:iCs w:val="0"/>
                <w:color w:val="auto"/>
                <w:kern w:val="0"/>
                <w:sz w:val="28"/>
                <w:szCs w:val="28"/>
                <w:highlight w:val="none"/>
                <w:u w:val="none"/>
                <w:lang w:val="en-US" w:eastAsia="zh-CN" w:bidi="ar"/>
              </w:rPr>
            </w:pPr>
            <w:r>
              <w:rPr>
                <w:rFonts w:hint="default" w:ascii="Times New Roman" w:hAnsi="Times New Roman" w:cs="Times New Roman"/>
                <w:i w:val="0"/>
                <w:iCs w:val="0"/>
                <w:color w:val="auto"/>
                <w:kern w:val="0"/>
                <w:sz w:val="28"/>
                <w:szCs w:val="28"/>
                <w:highlight w:val="none"/>
                <w:u w:val="none"/>
                <w:lang w:val="en-US" w:eastAsia="zh-CN" w:bidi="ar"/>
              </w:rPr>
              <w:t>3</w:t>
            </w:r>
            <w:r>
              <w:rPr>
                <w:rFonts w:hint="default" w:ascii="Times New Roman" w:hAnsi="Times New Roman" w:eastAsia="仿宋" w:cs="Times New Roman"/>
                <w:i w:val="0"/>
                <w:iCs w:val="0"/>
                <w:color w:val="auto"/>
                <w:kern w:val="0"/>
                <w:sz w:val="28"/>
                <w:szCs w:val="28"/>
                <w:highlight w:val="none"/>
                <w:u w:val="none"/>
                <w:lang w:val="en-US" w:eastAsia="zh-CN" w:bidi="ar"/>
              </w:rPr>
              <w:t>、▲提供第三方检验报告，检验项目：减压阀膜片表面粗糙度检测；依据标准 GB/T10610-2009，实测结果＜0.20μm；该检验项目属于市场监管总局 “一单一库” 范围，提供带 CMA 标志报告。</w:t>
            </w:r>
          </w:p>
        </w:tc>
        <w:tc>
          <w:tcPr>
            <w:tcW w:w="414" w:type="pct"/>
            <w:tcBorders>
              <w:top w:val="single" w:color="auto" w:sz="4" w:space="0"/>
              <w:bottom w:val="single" w:color="auto" w:sz="4" w:space="0"/>
            </w:tcBorders>
            <w:vAlign w:val="center"/>
          </w:tcPr>
          <w:p w14:paraId="316B8E52">
            <w:pPr>
              <w:keepNext w:val="0"/>
              <w:keepLines w:val="0"/>
              <w:widowControl/>
              <w:suppressLineNumbers w:val="0"/>
              <w:jc w:val="center"/>
              <w:textAlignment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i w:val="0"/>
                <w:iCs w:val="0"/>
                <w:color w:val="auto"/>
                <w:kern w:val="0"/>
                <w:sz w:val="20"/>
                <w:szCs w:val="20"/>
                <w:highlight w:val="none"/>
                <w:u w:val="none"/>
                <w:lang w:val="en-US" w:eastAsia="zh-CN" w:bidi="ar"/>
              </w:rPr>
              <w:t>4</w:t>
            </w:r>
            <w:r>
              <w:rPr>
                <w:rStyle w:val="27"/>
                <w:rFonts w:hint="default" w:ascii="Times New Roman" w:hAnsi="Times New Roman" w:eastAsia="仿宋" w:cs="Times New Roman"/>
                <w:color w:val="auto"/>
                <w:highlight w:val="none"/>
                <w:lang w:val="en-US" w:eastAsia="zh-CN" w:bidi="ar"/>
              </w:rPr>
              <w:t>套</w:t>
            </w:r>
          </w:p>
        </w:tc>
      </w:tr>
      <w:tr w14:paraId="4FD78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345" w:type="pct"/>
            <w:tcBorders>
              <w:top w:val="single" w:color="auto" w:sz="4" w:space="0"/>
              <w:bottom w:val="single" w:color="auto" w:sz="4" w:space="0"/>
            </w:tcBorders>
            <w:shd w:val="clear" w:color="auto" w:fill="auto"/>
            <w:vAlign w:val="center"/>
          </w:tcPr>
          <w:p w14:paraId="1D50907F">
            <w:pPr>
              <w:keepNext w:val="0"/>
              <w:keepLines w:val="0"/>
              <w:pageBreakBefore w:val="0"/>
              <w:widowControl/>
              <w:suppressLineNumbers w:val="0"/>
              <w:kinsoku/>
              <w:wordWrap/>
              <w:overflowPunct/>
              <w:topLinePunct w:val="0"/>
              <w:autoSpaceDE w:val="0"/>
              <w:autoSpaceDN w:val="0"/>
              <w:bidi w:val="0"/>
              <w:adjustRightInd/>
              <w:snapToGrid/>
              <w:jc w:val="left"/>
              <w:textAlignment w:val="bottom"/>
              <w:rPr>
                <w:rFonts w:hint="default" w:ascii="Times New Roman" w:hAnsi="Times New Roman" w:eastAsia="仿宋" w:cs="Times New Roman"/>
                <w:color w:val="auto"/>
                <w:sz w:val="28"/>
                <w:szCs w:val="28"/>
                <w:highlight w:val="none"/>
                <w:lang w:val="en-US" w:eastAsia="zh-CN" w:bidi="ar-SA"/>
              </w:rPr>
            </w:pPr>
            <w:r>
              <w:rPr>
                <w:rFonts w:hint="default" w:ascii="Times New Roman" w:hAnsi="Times New Roman" w:eastAsia="仿宋" w:cs="Times New Roman"/>
                <w:i w:val="0"/>
                <w:iCs w:val="0"/>
                <w:color w:val="auto"/>
                <w:kern w:val="0"/>
                <w:sz w:val="28"/>
                <w:szCs w:val="28"/>
                <w:highlight w:val="none"/>
                <w:u w:val="none"/>
                <w:lang w:val="en-US" w:eastAsia="zh-CN" w:bidi="ar"/>
              </w:rPr>
              <w:t>16</w:t>
            </w:r>
          </w:p>
        </w:tc>
        <w:tc>
          <w:tcPr>
            <w:tcW w:w="722" w:type="pct"/>
            <w:tcBorders>
              <w:top w:val="single" w:color="auto" w:sz="4" w:space="0"/>
              <w:bottom w:val="single" w:color="auto" w:sz="4" w:space="0"/>
            </w:tcBorders>
            <w:shd w:val="clear" w:color="auto" w:fill="auto"/>
            <w:vAlign w:val="center"/>
          </w:tcPr>
          <w:p w14:paraId="56AEC769">
            <w:pPr>
              <w:keepNext w:val="0"/>
              <w:keepLines w:val="0"/>
              <w:pageBreakBefore w:val="0"/>
              <w:widowControl/>
              <w:suppressLineNumbers w:val="0"/>
              <w:kinsoku/>
              <w:wordWrap/>
              <w:overflowPunct/>
              <w:topLinePunct w:val="0"/>
              <w:autoSpaceDE w:val="0"/>
              <w:autoSpaceDN w:val="0"/>
              <w:bidi w:val="0"/>
              <w:adjustRightInd/>
              <w:snapToGrid/>
              <w:jc w:val="center"/>
              <w:textAlignment w:val="center"/>
              <w:rPr>
                <w:rFonts w:hint="default" w:ascii="Times New Roman" w:hAnsi="Times New Roman" w:eastAsia="仿宋" w:cs="Times New Roman"/>
                <w:color w:val="auto"/>
                <w:sz w:val="28"/>
                <w:szCs w:val="28"/>
                <w:highlight w:val="none"/>
                <w:lang w:val="en-US" w:eastAsia="zh-CN" w:bidi="ar-SA"/>
              </w:rPr>
            </w:pPr>
            <w:r>
              <w:rPr>
                <w:rFonts w:hint="default" w:ascii="Times New Roman" w:hAnsi="Times New Roman" w:eastAsia="仿宋" w:cs="Times New Roman"/>
                <w:i w:val="0"/>
                <w:iCs w:val="0"/>
                <w:color w:val="auto"/>
                <w:kern w:val="0"/>
                <w:sz w:val="28"/>
                <w:szCs w:val="28"/>
                <w:highlight w:val="none"/>
                <w:u w:val="none"/>
                <w:lang w:val="en-US" w:eastAsia="zh-CN" w:bidi="ar"/>
              </w:rPr>
              <w:t>16P自动不间断汇流控制系统</w:t>
            </w:r>
          </w:p>
        </w:tc>
        <w:tc>
          <w:tcPr>
            <w:tcW w:w="3517" w:type="pct"/>
            <w:tcBorders>
              <w:top w:val="single" w:color="auto" w:sz="4" w:space="0"/>
              <w:bottom w:val="single" w:color="auto" w:sz="4" w:space="0"/>
            </w:tcBorders>
            <w:shd w:val="clear" w:color="auto" w:fill="auto"/>
            <w:vAlign w:val="center"/>
          </w:tcPr>
          <w:p w14:paraId="47CE258F">
            <w:pPr>
              <w:keepNext w:val="0"/>
              <w:keepLines w:val="0"/>
              <w:pageBreakBefore w:val="0"/>
              <w:widowControl/>
              <w:suppressLineNumbers w:val="0"/>
              <w:kinsoku/>
              <w:wordWrap/>
              <w:overflowPunct/>
              <w:topLinePunct w:val="0"/>
              <w:autoSpaceDE w:val="0"/>
              <w:autoSpaceDN w:val="0"/>
              <w:bidi w:val="0"/>
              <w:adjustRightInd/>
              <w:snapToGrid/>
              <w:jc w:val="left"/>
              <w:textAlignment w:val="center"/>
              <w:rPr>
                <w:rFonts w:hint="default" w:ascii="Times New Roman" w:hAnsi="Times New Roman" w:eastAsia="仿宋" w:cs="Times New Roman"/>
                <w:i w:val="0"/>
                <w:iCs w:val="0"/>
                <w:color w:val="auto"/>
                <w:kern w:val="0"/>
                <w:sz w:val="28"/>
                <w:szCs w:val="28"/>
                <w:highlight w:val="none"/>
                <w:u w:val="none"/>
                <w:lang w:val="en-US" w:eastAsia="zh-CN" w:bidi="ar"/>
              </w:rPr>
            </w:pPr>
            <w:r>
              <w:rPr>
                <w:rFonts w:hint="default" w:ascii="Times New Roman" w:hAnsi="Times New Roman" w:eastAsia="仿宋" w:cs="Times New Roman"/>
                <w:i w:val="0"/>
                <w:iCs w:val="0"/>
                <w:color w:val="auto"/>
                <w:kern w:val="0"/>
                <w:sz w:val="28"/>
                <w:szCs w:val="28"/>
                <w:highlight w:val="none"/>
                <w:u w:val="none"/>
                <w:lang w:val="en-US" w:eastAsia="zh-CN" w:bidi="ar"/>
              </w:rPr>
              <w:t>耐压≥20Mpa；进气压力量程：0-15Mpa；出气压力量程：0-2.5Mpa。安全测试压力≥1.5倍的最大输入压力；母体材质：不锈钢316LBA。采用不锈钢316LBA级洁净材质，其中包含一级减压器，进气压力表，出气压力表、镜面金属固定面板、输出隔膜阀，具备排空系统，压力信号采集器；产品应满足氢气、乙炔等易燃易爆气体使用，可实现气体在一侧气瓶使用完后自动切换到另一侧使用，并实时传输信号到控制系统且同步向管理人员发出远程信息化报警通知,并采用8用8备汇流不间断供气模式。</w:t>
            </w:r>
          </w:p>
        </w:tc>
        <w:tc>
          <w:tcPr>
            <w:tcW w:w="414" w:type="pct"/>
            <w:tcBorders>
              <w:top w:val="single" w:color="auto" w:sz="4" w:space="0"/>
              <w:bottom w:val="single" w:color="auto" w:sz="4" w:space="0"/>
            </w:tcBorders>
            <w:vAlign w:val="center"/>
          </w:tcPr>
          <w:p w14:paraId="71A8A984">
            <w:pPr>
              <w:keepNext w:val="0"/>
              <w:keepLines w:val="0"/>
              <w:widowControl/>
              <w:suppressLineNumbers w:val="0"/>
              <w:jc w:val="center"/>
              <w:textAlignment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i w:val="0"/>
                <w:iCs w:val="0"/>
                <w:color w:val="auto"/>
                <w:kern w:val="0"/>
                <w:sz w:val="20"/>
                <w:szCs w:val="20"/>
                <w:highlight w:val="none"/>
                <w:u w:val="none"/>
                <w:lang w:val="en-US" w:eastAsia="zh-CN" w:bidi="ar"/>
              </w:rPr>
              <w:t>2</w:t>
            </w:r>
            <w:r>
              <w:rPr>
                <w:rStyle w:val="27"/>
                <w:rFonts w:hint="default" w:ascii="Times New Roman" w:hAnsi="Times New Roman" w:eastAsia="仿宋" w:cs="Times New Roman"/>
                <w:color w:val="auto"/>
                <w:highlight w:val="none"/>
                <w:lang w:val="en-US" w:eastAsia="zh-CN" w:bidi="ar"/>
              </w:rPr>
              <w:t>套</w:t>
            </w:r>
          </w:p>
        </w:tc>
      </w:tr>
      <w:tr w14:paraId="641C4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345" w:type="pct"/>
            <w:tcBorders>
              <w:top w:val="single" w:color="auto" w:sz="4" w:space="0"/>
              <w:bottom w:val="single" w:color="auto" w:sz="4" w:space="0"/>
            </w:tcBorders>
            <w:shd w:val="clear" w:color="auto" w:fill="auto"/>
            <w:vAlign w:val="center"/>
          </w:tcPr>
          <w:p w14:paraId="48181387">
            <w:pPr>
              <w:keepNext w:val="0"/>
              <w:keepLines w:val="0"/>
              <w:pageBreakBefore w:val="0"/>
              <w:widowControl/>
              <w:suppressLineNumbers w:val="0"/>
              <w:kinsoku/>
              <w:wordWrap/>
              <w:overflowPunct/>
              <w:topLinePunct w:val="0"/>
              <w:autoSpaceDE w:val="0"/>
              <w:autoSpaceDN w:val="0"/>
              <w:bidi w:val="0"/>
              <w:adjustRightInd/>
              <w:snapToGrid/>
              <w:jc w:val="left"/>
              <w:textAlignment w:val="bottom"/>
              <w:rPr>
                <w:rFonts w:hint="default" w:ascii="Times New Roman" w:hAnsi="Times New Roman" w:eastAsia="仿宋" w:cs="Times New Roman"/>
                <w:color w:val="auto"/>
                <w:sz w:val="28"/>
                <w:szCs w:val="28"/>
                <w:highlight w:val="none"/>
                <w:lang w:val="en-US" w:eastAsia="zh-CN" w:bidi="ar-SA"/>
              </w:rPr>
            </w:pPr>
            <w:r>
              <w:rPr>
                <w:rFonts w:hint="default" w:ascii="Times New Roman" w:hAnsi="Times New Roman" w:eastAsia="仿宋" w:cs="Times New Roman"/>
                <w:i w:val="0"/>
                <w:iCs w:val="0"/>
                <w:color w:val="auto"/>
                <w:kern w:val="0"/>
                <w:sz w:val="28"/>
                <w:szCs w:val="28"/>
                <w:highlight w:val="none"/>
                <w:u w:val="none"/>
                <w:lang w:val="en-US" w:eastAsia="zh-CN" w:bidi="ar"/>
              </w:rPr>
              <w:t>17</w:t>
            </w:r>
          </w:p>
        </w:tc>
        <w:tc>
          <w:tcPr>
            <w:tcW w:w="722" w:type="pct"/>
            <w:tcBorders>
              <w:top w:val="single" w:color="auto" w:sz="4" w:space="0"/>
              <w:bottom w:val="single" w:color="auto" w:sz="4" w:space="0"/>
            </w:tcBorders>
            <w:shd w:val="clear" w:color="auto" w:fill="auto"/>
            <w:vAlign w:val="center"/>
          </w:tcPr>
          <w:p w14:paraId="75E66AFD">
            <w:pPr>
              <w:keepNext w:val="0"/>
              <w:keepLines w:val="0"/>
              <w:pageBreakBefore w:val="0"/>
              <w:widowControl/>
              <w:suppressLineNumbers w:val="0"/>
              <w:kinsoku/>
              <w:wordWrap/>
              <w:overflowPunct/>
              <w:topLinePunct w:val="0"/>
              <w:autoSpaceDE w:val="0"/>
              <w:autoSpaceDN w:val="0"/>
              <w:bidi w:val="0"/>
              <w:adjustRightInd/>
              <w:snapToGrid/>
              <w:jc w:val="center"/>
              <w:textAlignment w:val="center"/>
              <w:rPr>
                <w:rFonts w:hint="default" w:ascii="Times New Roman" w:hAnsi="Times New Roman" w:eastAsia="仿宋" w:cs="Times New Roman"/>
                <w:color w:val="auto"/>
                <w:sz w:val="28"/>
                <w:szCs w:val="28"/>
                <w:highlight w:val="none"/>
                <w:lang w:val="en-US" w:eastAsia="zh-CN" w:bidi="ar-SA"/>
              </w:rPr>
            </w:pPr>
            <w:r>
              <w:rPr>
                <w:rFonts w:hint="default" w:ascii="Times New Roman" w:hAnsi="Times New Roman" w:eastAsia="仿宋" w:cs="Times New Roman"/>
                <w:i w:val="0"/>
                <w:iCs w:val="0"/>
                <w:color w:val="auto"/>
                <w:kern w:val="0"/>
                <w:sz w:val="28"/>
                <w:szCs w:val="28"/>
                <w:highlight w:val="none"/>
                <w:u w:val="none"/>
                <w:lang w:val="en-US" w:eastAsia="zh-CN" w:bidi="ar"/>
              </w:rPr>
              <w:t>基础设备改造</w:t>
            </w:r>
          </w:p>
        </w:tc>
        <w:tc>
          <w:tcPr>
            <w:tcW w:w="3517" w:type="pct"/>
            <w:tcBorders>
              <w:top w:val="single" w:color="auto" w:sz="4" w:space="0"/>
              <w:bottom w:val="single" w:color="auto" w:sz="4" w:space="0"/>
            </w:tcBorders>
            <w:shd w:val="clear" w:color="auto" w:fill="auto"/>
            <w:vAlign w:val="center"/>
          </w:tcPr>
          <w:p w14:paraId="438DC8CB">
            <w:pPr>
              <w:keepNext w:val="0"/>
              <w:keepLines w:val="0"/>
              <w:pageBreakBefore w:val="0"/>
              <w:widowControl/>
              <w:suppressLineNumbers w:val="0"/>
              <w:kinsoku/>
              <w:wordWrap/>
              <w:overflowPunct/>
              <w:topLinePunct w:val="0"/>
              <w:autoSpaceDE w:val="0"/>
              <w:autoSpaceDN w:val="0"/>
              <w:bidi w:val="0"/>
              <w:adjustRightInd/>
              <w:snapToGrid/>
              <w:jc w:val="left"/>
              <w:textAlignment w:val="center"/>
              <w:rPr>
                <w:rFonts w:hint="default" w:ascii="Times New Roman" w:hAnsi="Times New Roman" w:eastAsia="仿宋" w:cs="Times New Roman"/>
                <w:i w:val="0"/>
                <w:iCs w:val="0"/>
                <w:color w:val="auto"/>
                <w:kern w:val="0"/>
                <w:sz w:val="28"/>
                <w:szCs w:val="28"/>
                <w:highlight w:val="none"/>
                <w:u w:val="none"/>
                <w:lang w:val="en-US" w:eastAsia="zh-CN" w:bidi="ar"/>
              </w:rPr>
            </w:pPr>
            <w:r>
              <w:rPr>
                <w:rFonts w:hint="default" w:ascii="Times New Roman" w:hAnsi="Times New Roman" w:eastAsia="仿宋" w:cs="Times New Roman"/>
                <w:i w:val="0"/>
                <w:iCs w:val="0"/>
                <w:color w:val="auto"/>
                <w:kern w:val="0"/>
                <w:sz w:val="28"/>
                <w:szCs w:val="28"/>
                <w:highlight w:val="none"/>
                <w:u w:val="none"/>
                <w:lang w:val="en-US" w:eastAsia="zh-CN" w:bidi="ar"/>
              </w:rPr>
              <w:t>1、地基：长≥10000mm，宽≥5000mm，厚度≥150mm，钢筋规格≥12mm，钢筋间距≤200mm，混凝土强度≥C30。</w:t>
            </w:r>
            <w:r>
              <w:rPr>
                <w:rFonts w:hint="default" w:ascii="Times New Roman" w:hAnsi="Times New Roman" w:eastAsia="仿宋" w:cs="Times New Roman"/>
                <w:i w:val="0"/>
                <w:iCs w:val="0"/>
                <w:color w:val="auto"/>
                <w:kern w:val="0"/>
                <w:sz w:val="28"/>
                <w:szCs w:val="28"/>
                <w:highlight w:val="none"/>
                <w:u w:val="none"/>
                <w:lang w:val="en-US" w:eastAsia="zh-CN" w:bidi="ar"/>
              </w:rPr>
              <w:br w:type="textWrapping"/>
            </w:r>
            <w:r>
              <w:rPr>
                <w:rFonts w:hint="default" w:ascii="Times New Roman" w:hAnsi="Times New Roman" w:eastAsia="仿宋" w:cs="Times New Roman"/>
                <w:i w:val="0"/>
                <w:iCs w:val="0"/>
                <w:color w:val="auto"/>
                <w:kern w:val="0"/>
                <w:sz w:val="28"/>
                <w:szCs w:val="28"/>
                <w:highlight w:val="none"/>
                <w:u w:val="none"/>
                <w:lang w:val="en-US" w:eastAsia="zh-CN" w:bidi="ar"/>
              </w:rPr>
              <w:t>2、护栏：平台护栏高度（顶部平面距地面）：1400mm-1800mm；</w:t>
            </w:r>
            <w:r>
              <w:rPr>
                <w:rFonts w:hint="default" w:ascii="Times New Roman" w:hAnsi="Times New Roman" w:eastAsia="仿宋" w:cs="Times New Roman"/>
                <w:i w:val="0"/>
                <w:iCs w:val="0"/>
                <w:color w:val="auto"/>
                <w:kern w:val="0"/>
                <w:sz w:val="28"/>
                <w:szCs w:val="28"/>
                <w:highlight w:val="none"/>
                <w:u w:val="none"/>
                <w:lang w:val="en-US" w:eastAsia="zh-CN" w:bidi="ar"/>
              </w:rPr>
              <w:br w:type="textWrapping"/>
            </w:r>
            <w:r>
              <w:rPr>
                <w:rFonts w:hint="default" w:ascii="Times New Roman" w:hAnsi="Times New Roman" w:eastAsia="仿宋" w:cs="Times New Roman"/>
                <w:i w:val="0"/>
                <w:iCs w:val="0"/>
                <w:color w:val="auto"/>
                <w:kern w:val="0"/>
                <w:sz w:val="28"/>
                <w:szCs w:val="28"/>
                <w:highlight w:val="none"/>
                <w:u w:val="none"/>
                <w:lang w:val="en-US" w:eastAsia="zh-CN" w:bidi="ar"/>
              </w:rPr>
              <w:t>护栏立柱垂直间距≤3000mm，</w:t>
            </w:r>
            <w:r>
              <w:rPr>
                <w:rFonts w:hint="default" w:ascii="Times New Roman" w:hAnsi="Times New Roman" w:eastAsia="仿宋" w:cs="Times New Roman"/>
                <w:i w:val="0"/>
                <w:iCs w:val="0"/>
                <w:color w:val="auto"/>
                <w:kern w:val="0"/>
                <w:sz w:val="28"/>
                <w:szCs w:val="28"/>
                <w:highlight w:val="none"/>
                <w:u w:val="none"/>
                <w:lang w:val="en-US" w:eastAsia="zh-CN" w:bidi="ar"/>
              </w:rPr>
              <w:br w:type="textWrapping"/>
            </w:r>
            <w:r>
              <w:rPr>
                <w:rFonts w:hint="default" w:ascii="Times New Roman" w:hAnsi="Times New Roman" w:eastAsia="仿宋" w:cs="Times New Roman"/>
                <w:i w:val="0"/>
                <w:iCs w:val="0"/>
                <w:color w:val="auto"/>
                <w:kern w:val="0"/>
                <w:sz w:val="28"/>
                <w:szCs w:val="28"/>
                <w:highlight w:val="none"/>
                <w:u w:val="none"/>
                <w:lang w:val="en-US" w:eastAsia="zh-CN" w:bidi="ar"/>
              </w:rPr>
              <w:t>护栏立杆垂直间距≤110mm；</w:t>
            </w:r>
            <w:r>
              <w:rPr>
                <w:rFonts w:hint="default" w:ascii="Times New Roman" w:hAnsi="Times New Roman" w:eastAsia="仿宋" w:cs="Times New Roman"/>
                <w:i w:val="0"/>
                <w:iCs w:val="0"/>
                <w:color w:val="auto"/>
                <w:kern w:val="0"/>
                <w:sz w:val="28"/>
                <w:szCs w:val="28"/>
                <w:highlight w:val="none"/>
                <w:u w:val="none"/>
                <w:lang w:val="en-US" w:eastAsia="zh-CN" w:bidi="ar"/>
              </w:rPr>
              <w:br w:type="textWrapping"/>
            </w:r>
            <w:r>
              <w:rPr>
                <w:rFonts w:hint="default" w:ascii="Times New Roman" w:hAnsi="Times New Roman" w:eastAsia="仿宋" w:cs="Times New Roman"/>
                <w:i w:val="0"/>
                <w:iCs w:val="0"/>
                <w:color w:val="auto"/>
                <w:kern w:val="0"/>
                <w:sz w:val="28"/>
                <w:szCs w:val="28"/>
                <w:highlight w:val="none"/>
                <w:u w:val="none"/>
                <w:lang w:val="en-US" w:eastAsia="zh-CN" w:bidi="ar"/>
              </w:rPr>
              <w:t>管壁的要求：扶手、立柱≥1.4mm；横杆≥1.2mm；立杆≥1.0mm；护栏整体均布荷载≥50N/m。</w:t>
            </w:r>
          </w:p>
        </w:tc>
        <w:tc>
          <w:tcPr>
            <w:tcW w:w="414" w:type="pct"/>
            <w:tcBorders>
              <w:top w:val="single" w:color="auto" w:sz="4" w:space="0"/>
              <w:bottom w:val="single" w:color="auto" w:sz="4" w:space="0"/>
            </w:tcBorders>
            <w:vAlign w:val="center"/>
          </w:tcPr>
          <w:p w14:paraId="692E212B">
            <w:pPr>
              <w:keepNext w:val="0"/>
              <w:keepLines w:val="0"/>
              <w:widowControl/>
              <w:suppressLineNumbers w:val="0"/>
              <w:jc w:val="center"/>
              <w:textAlignment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i w:val="0"/>
                <w:iCs w:val="0"/>
                <w:color w:val="auto"/>
                <w:kern w:val="0"/>
                <w:sz w:val="20"/>
                <w:szCs w:val="20"/>
                <w:highlight w:val="none"/>
                <w:u w:val="none"/>
                <w:lang w:val="en-US" w:eastAsia="zh-CN" w:bidi="ar"/>
              </w:rPr>
              <w:t>1</w:t>
            </w:r>
            <w:r>
              <w:rPr>
                <w:rStyle w:val="27"/>
                <w:rFonts w:hint="default" w:ascii="Times New Roman" w:hAnsi="Times New Roman" w:eastAsia="仿宋" w:cs="Times New Roman"/>
                <w:color w:val="auto"/>
                <w:highlight w:val="none"/>
                <w:lang w:val="en-US" w:eastAsia="zh-CN" w:bidi="ar"/>
              </w:rPr>
              <w:t>项</w:t>
            </w:r>
          </w:p>
        </w:tc>
      </w:tr>
      <w:tr w14:paraId="5C1A6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345" w:type="pct"/>
            <w:tcBorders>
              <w:top w:val="single" w:color="auto" w:sz="4" w:space="0"/>
              <w:bottom w:val="single" w:color="auto" w:sz="4" w:space="0"/>
            </w:tcBorders>
            <w:shd w:val="clear" w:color="auto" w:fill="auto"/>
            <w:vAlign w:val="center"/>
          </w:tcPr>
          <w:p w14:paraId="6D7576B5">
            <w:pPr>
              <w:keepNext w:val="0"/>
              <w:keepLines w:val="0"/>
              <w:pageBreakBefore w:val="0"/>
              <w:widowControl/>
              <w:suppressLineNumbers w:val="0"/>
              <w:kinsoku/>
              <w:wordWrap/>
              <w:overflowPunct/>
              <w:topLinePunct w:val="0"/>
              <w:autoSpaceDE w:val="0"/>
              <w:autoSpaceDN w:val="0"/>
              <w:bidi w:val="0"/>
              <w:adjustRightInd/>
              <w:snapToGrid/>
              <w:jc w:val="left"/>
              <w:textAlignment w:val="bottom"/>
              <w:rPr>
                <w:rFonts w:hint="default" w:ascii="Times New Roman" w:hAnsi="Times New Roman" w:eastAsia="仿宋" w:cs="Times New Roman"/>
                <w:color w:val="auto"/>
                <w:sz w:val="28"/>
                <w:szCs w:val="28"/>
                <w:highlight w:val="none"/>
                <w:lang w:val="en-US" w:eastAsia="zh-CN" w:bidi="ar-SA"/>
              </w:rPr>
            </w:pPr>
            <w:r>
              <w:rPr>
                <w:rFonts w:hint="default" w:ascii="Times New Roman" w:hAnsi="Times New Roman" w:eastAsia="仿宋" w:cs="Times New Roman"/>
                <w:i w:val="0"/>
                <w:iCs w:val="0"/>
                <w:color w:val="auto"/>
                <w:kern w:val="0"/>
                <w:sz w:val="28"/>
                <w:szCs w:val="28"/>
                <w:highlight w:val="none"/>
                <w:u w:val="none"/>
                <w:lang w:val="en-US" w:eastAsia="zh-CN" w:bidi="ar"/>
              </w:rPr>
              <w:t>18</w:t>
            </w:r>
          </w:p>
        </w:tc>
        <w:tc>
          <w:tcPr>
            <w:tcW w:w="722" w:type="pct"/>
            <w:tcBorders>
              <w:top w:val="single" w:color="auto" w:sz="4" w:space="0"/>
              <w:bottom w:val="single" w:color="auto" w:sz="4" w:space="0"/>
            </w:tcBorders>
            <w:shd w:val="clear" w:color="auto" w:fill="auto"/>
            <w:vAlign w:val="center"/>
          </w:tcPr>
          <w:p w14:paraId="726031C0">
            <w:pPr>
              <w:keepNext w:val="0"/>
              <w:keepLines w:val="0"/>
              <w:pageBreakBefore w:val="0"/>
              <w:widowControl/>
              <w:suppressLineNumbers w:val="0"/>
              <w:kinsoku/>
              <w:wordWrap/>
              <w:overflowPunct/>
              <w:topLinePunct w:val="0"/>
              <w:autoSpaceDE w:val="0"/>
              <w:autoSpaceDN w:val="0"/>
              <w:bidi w:val="0"/>
              <w:adjustRightInd/>
              <w:snapToGrid/>
              <w:jc w:val="center"/>
              <w:textAlignment w:val="center"/>
              <w:rPr>
                <w:rFonts w:hint="default" w:ascii="Times New Roman" w:hAnsi="Times New Roman" w:eastAsia="仿宋" w:cs="Times New Roman"/>
                <w:color w:val="auto"/>
                <w:sz w:val="28"/>
                <w:szCs w:val="28"/>
                <w:highlight w:val="none"/>
                <w:lang w:val="en-US" w:eastAsia="zh-CN" w:bidi="ar-SA"/>
              </w:rPr>
            </w:pPr>
            <w:r>
              <w:rPr>
                <w:rFonts w:hint="default" w:ascii="Times New Roman" w:hAnsi="Times New Roman" w:eastAsia="仿宋" w:cs="Times New Roman"/>
                <w:i w:val="0"/>
                <w:iCs w:val="0"/>
                <w:color w:val="auto"/>
                <w:kern w:val="0"/>
                <w:sz w:val="28"/>
                <w:szCs w:val="28"/>
                <w:highlight w:val="none"/>
                <w:u w:val="none"/>
                <w:lang w:val="en-US" w:eastAsia="zh-CN" w:bidi="ar"/>
              </w:rPr>
              <w:t>气体安全防护系统</w:t>
            </w:r>
          </w:p>
        </w:tc>
        <w:tc>
          <w:tcPr>
            <w:tcW w:w="3517" w:type="pct"/>
            <w:tcBorders>
              <w:top w:val="single" w:color="auto" w:sz="4" w:space="0"/>
              <w:bottom w:val="single" w:color="auto" w:sz="4" w:space="0"/>
            </w:tcBorders>
            <w:shd w:val="clear" w:color="auto" w:fill="auto"/>
            <w:vAlign w:val="center"/>
          </w:tcPr>
          <w:p w14:paraId="0E43C7A1">
            <w:pPr>
              <w:keepNext w:val="0"/>
              <w:keepLines w:val="0"/>
              <w:pageBreakBefore w:val="0"/>
              <w:widowControl/>
              <w:suppressLineNumbers w:val="0"/>
              <w:kinsoku/>
              <w:wordWrap/>
              <w:overflowPunct/>
              <w:topLinePunct w:val="0"/>
              <w:autoSpaceDE w:val="0"/>
              <w:autoSpaceDN w:val="0"/>
              <w:bidi w:val="0"/>
              <w:adjustRightInd/>
              <w:snapToGrid/>
              <w:jc w:val="left"/>
              <w:textAlignment w:val="center"/>
              <w:rPr>
                <w:rFonts w:hint="default" w:ascii="Times New Roman" w:hAnsi="Times New Roman" w:eastAsia="仿宋" w:cs="Times New Roman"/>
                <w:i w:val="0"/>
                <w:iCs w:val="0"/>
                <w:color w:val="auto"/>
                <w:kern w:val="0"/>
                <w:sz w:val="28"/>
                <w:szCs w:val="28"/>
                <w:highlight w:val="none"/>
                <w:u w:val="none"/>
                <w:lang w:val="en-US" w:eastAsia="zh-CN" w:bidi="ar"/>
              </w:rPr>
            </w:pPr>
            <w:r>
              <w:rPr>
                <w:rFonts w:hint="default" w:ascii="Times New Roman" w:hAnsi="Times New Roman" w:eastAsia="仿宋" w:cs="Times New Roman"/>
                <w:i w:val="0"/>
                <w:iCs w:val="0"/>
                <w:color w:val="auto"/>
                <w:kern w:val="0"/>
                <w:sz w:val="28"/>
                <w:szCs w:val="28"/>
                <w:highlight w:val="none"/>
                <w:u w:val="none"/>
                <w:lang w:val="en-US" w:eastAsia="zh-CN" w:bidi="ar"/>
              </w:rPr>
              <w:t>1、采用气体泄漏声光报警系统联动应急处置切断，配置信息化机械智能化控制箱，能满足应急情形下的自我断气要求。</w:t>
            </w:r>
            <w:r>
              <w:rPr>
                <w:rFonts w:hint="default" w:ascii="Times New Roman" w:hAnsi="Times New Roman" w:eastAsia="仿宋" w:cs="Times New Roman"/>
                <w:i w:val="0"/>
                <w:iCs w:val="0"/>
                <w:color w:val="auto"/>
                <w:kern w:val="0"/>
                <w:sz w:val="28"/>
                <w:szCs w:val="28"/>
                <w:highlight w:val="none"/>
                <w:u w:val="none"/>
                <w:lang w:val="en-US" w:eastAsia="zh-CN" w:bidi="ar"/>
              </w:rPr>
              <w:br w:type="textWrapping"/>
            </w:r>
            <w:r>
              <w:rPr>
                <w:rFonts w:hint="default" w:ascii="Times New Roman" w:hAnsi="Times New Roman" w:eastAsia="仿宋" w:cs="Times New Roman"/>
                <w:i w:val="0"/>
                <w:iCs w:val="0"/>
                <w:color w:val="auto"/>
                <w:kern w:val="0"/>
                <w:sz w:val="28"/>
                <w:szCs w:val="28"/>
                <w:highlight w:val="none"/>
                <w:u w:val="none"/>
                <w:lang w:val="en-US" w:eastAsia="zh-CN" w:bidi="ar"/>
              </w:rPr>
              <w:t>2、采用防爆电磁联动发控制驱动高压气动安全控制阀进行截断气源，在报警联动下停止气体的持续供应。</w:t>
            </w:r>
            <w:r>
              <w:rPr>
                <w:rFonts w:hint="default" w:ascii="Times New Roman" w:hAnsi="Times New Roman" w:eastAsia="仿宋" w:cs="Times New Roman"/>
                <w:i w:val="0"/>
                <w:iCs w:val="0"/>
                <w:color w:val="auto"/>
                <w:kern w:val="0"/>
                <w:sz w:val="28"/>
                <w:szCs w:val="28"/>
                <w:highlight w:val="none"/>
                <w:u w:val="none"/>
                <w:lang w:val="en-US" w:eastAsia="zh-CN" w:bidi="ar"/>
              </w:rPr>
              <w:br w:type="textWrapping"/>
            </w:r>
            <w:r>
              <w:rPr>
                <w:rFonts w:hint="default" w:ascii="Times New Roman" w:hAnsi="Times New Roman" w:eastAsia="仿宋" w:cs="Times New Roman"/>
                <w:i w:val="0"/>
                <w:iCs w:val="0"/>
                <w:color w:val="auto"/>
                <w:kern w:val="0"/>
                <w:sz w:val="28"/>
                <w:szCs w:val="28"/>
                <w:highlight w:val="none"/>
                <w:u w:val="none"/>
                <w:lang w:val="en-US" w:eastAsia="zh-CN" w:bidi="ar"/>
              </w:rPr>
              <w:t>3、满足EXDⅡCT级防爆标准，采用隔爆安装及防护措施。驱动压力：70-125psi；耐压：≥15Mpa；材质、不锈钢316；驱动气体：氮气管道式驱动供气。</w:t>
            </w:r>
          </w:p>
        </w:tc>
        <w:tc>
          <w:tcPr>
            <w:tcW w:w="414" w:type="pct"/>
            <w:tcBorders>
              <w:top w:val="single" w:color="auto" w:sz="4" w:space="0"/>
              <w:bottom w:val="single" w:color="auto" w:sz="4" w:space="0"/>
            </w:tcBorders>
            <w:vAlign w:val="center"/>
          </w:tcPr>
          <w:p w14:paraId="68067832">
            <w:pPr>
              <w:keepNext w:val="0"/>
              <w:keepLines w:val="0"/>
              <w:widowControl/>
              <w:suppressLineNumbers w:val="0"/>
              <w:jc w:val="center"/>
              <w:textAlignment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i w:val="0"/>
                <w:iCs w:val="0"/>
                <w:color w:val="auto"/>
                <w:kern w:val="0"/>
                <w:sz w:val="20"/>
                <w:szCs w:val="20"/>
                <w:highlight w:val="none"/>
                <w:u w:val="none"/>
                <w:lang w:val="en-US" w:eastAsia="zh-CN" w:bidi="ar"/>
              </w:rPr>
              <w:t>3</w:t>
            </w:r>
            <w:r>
              <w:rPr>
                <w:rStyle w:val="27"/>
                <w:rFonts w:hint="default" w:ascii="Times New Roman" w:hAnsi="Times New Roman" w:eastAsia="仿宋" w:cs="Times New Roman"/>
                <w:color w:val="auto"/>
                <w:highlight w:val="none"/>
                <w:lang w:val="en-US" w:eastAsia="zh-CN" w:bidi="ar"/>
              </w:rPr>
              <w:t>套</w:t>
            </w:r>
          </w:p>
        </w:tc>
      </w:tr>
      <w:tr w14:paraId="414C0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345" w:type="pct"/>
            <w:tcBorders>
              <w:top w:val="single" w:color="auto" w:sz="4" w:space="0"/>
              <w:bottom w:val="single" w:color="auto" w:sz="4" w:space="0"/>
            </w:tcBorders>
            <w:shd w:val="clear" w:color="auto" w:fill="auto"/>
            <w:vAlign w:val="center"/>
          </w:tcPr>
          <w:p w14:paraId="05206091">
            <w:pPr>
              <w:keepNext w:val="0"/>
              <w:keepLines w:val="0"/>
              <w:pageBreakBefore w:val="0"/>
              <w:widowControl/>
              <w:suppressLineNumbers w:val="0"/>
              <w:kinsoku/>
              <w:wordWrap/>
              <w:overflowPunct/>
              <w:topLinePunct w:val="0"/>
              <w:autoSpaceDE w:val="0"/>
              <w:autoSpaceDN w:val="0"/>
              <w:bidi w:val="0"/>
              <w:adjustRightInd/>
              <w:snapToGrid/>
              <w:jc w:val="left"/>
              <w:textAlignment w:val="bottom"/>
              <w:rPr>
                <w:rFonts w:hint="default" w:ascii="Times New Roman" w:hAnsi="Times New Roman" w:eastAsia="仿宋" w:cs="Times New Roman"/>
                <w:color w:val="auto"/>
                <w:sz w:val="28"/>
                <w:szCs w:val="28"/>
                <w:highlight w:val="none"/>
                <w:lang w:val="en-US" w:eastAsia="zh-CN" w:bidi="ar-SA"/>
              </w:rPr>
            </w:pPr>
            <w:r>
              <w:rPr>
                <w:rFonts w:hint="default" w:ascii="Times New Roman" w:hAnsi="Times New Roman" w:eastAsia="仿宋" w:cs="Times New Roman"/>
                <w:i w:val="0"/>
                <w:iCs w:val="0"/>
                <w:color w:val="auto"/>
                <w:kern w:val="0"/>
                <w:sz w:val="28"/>
                <w:szCs w:val="28"/>
                <w:highlight w:val="none"/>
                <w:u w:val="none"/>
                <w:lang w:val="en-US" w:eastAsia="zh-CN" w:bidi="ar"/>
              </w:rPr>
              <w:t>19</w:t>
            </w:r>
          </w:p>
        </w:tc>
        <w:tc>
          <w:tcPr>
            <w:tcW w:w="722" w:type="pct"/>
            <w:tcBorders>
              <w:top w:val="single" w:color="auto" w:sz="4" w:space="0"/>
              <w:bottom w:val="single" w:color="auto" w:sz="4" w:space="0"/>
            </w:tcBorders>
            <w:shd w:val="clear" w:color="auto" w:fill="auto"/>
            <w:vAlign w:val="center"/>
          </w:tcPr>
          <w:p w14:paraId="01B10AF2">
            <w:pPr>
              <w:keepNext w:val="0"/>
              <w:keepLines w:val="0"/>
              <w:pageBreakBefore w:val="0"/>
              <w:widowControl/>
              <w:suppressLineNumbers w:val="0"/>
              <w:kinsoku/>
              <w:wordWrap/>
              <w:overflowPunct/>
              <w:topLinePunct w:val="0"/>
              <w:autoSpaceDE w:val="0"/>
              <w:autoSpaceDN w:val="0"/>
              <w:bidi w:val="0"/>
              <w:adjustRightInd/>
              <w:snapToGrid/>
              <w:jc w:val="center"/>
              <w:textAlignment w:val="center"/>
              <w:rPr>
                <w:rFonts w:hint="default" w:ascii="Times New Roman" w:hAnsi="Times New Roman" w:eastAsia="仿宋" w:cs="Times New Roman"/>
                <w:color w:val="auto"/>
                <w:sz w:val="28"/>
                <w:szCs w:val="28"/>
                <w:highlight w:val="none"/>
                <w:lang w:val="en-US" w:eastAsia="zh-CN" w:bidi="ar-SA"/>
              </w:rPr>
            </w:pPr>
            <w:r>
              <w:rPr>
                <w:rFonts w:hint="default" w:ascii="Times New Roman" w:hAnsi="Times New Roman" w:eastAsia="仿宋" w:cs="Times New Roman"/>
                <w:i w:val="0"/>
                <w:iCs w:val="0"/>
                <w:color w:val="auto"/>
                <w:kern w:val="0"/>
                <w:sz w:val="28"/>
                <w:szCs w:val="28"/>
                <w:highlight w:val="none"/>
                <w:u w:val="none"/>
                <w:lang w:val="en-US" w:eastAsia="zh-CN" w:bidi="ar"/>
              </w:rPr>
              <w:t>终端球阀</w:t>
            </w:r>
          </w:p>
        </w:tc>
        <w:tc>
          <w:tcPr>
            <w:tcW w:w="3517" w:type="pct"/>
            <w:tcBorders>
              <w:top w:val="single" w:color="auto" w:sz="4" w:space="0"/>
              <w:bottom w:val="single" w:color="auto" w:sz="4" w:space="0"/>
            </w:tcBorders>
            <w:shd w:val="clear" w:color="auto" w:fill="auto"/>
            <w:vAlign w:val="center"/>
          </w:tcPr>
          <w:p w14:paraId="5F0B4C3F">
            <w:pPr>
              <w:keepNext w:val="0"/>
              <w:keepLines w:val="0"/>
              <w:pageBreakBefore w:val="0"/>
              <w:widowControl/>
              <w:suppressLineNumbers w:val="0"/>
              <w:kinsoku/>
              <w:wordWrap/>
              <w:overflowPunct/>
              <w:topLinePunct w:val="0"/>
              <w:autoSpaceDE w:val="0"/>
              <w:autoSpaceDN w:val="0"/>
              <w:bidi w:val="0"/>
              <w:adjustRightInd/>
              <w:snapToGrid/>
              <w:jc w:val="left"/>
              <w:textAlignment w:val="center"/>
              <w:rPr>
                <w:rFonts w:hint="default" w:ascii="Times New Roman" w:hAnsi="Times New Roman" w:eastAsia="仿宋" w:cs="Times New Roman"/>
                <w:i w:val="0"/>
                <w:iCs w:val="0"/>
                <w:color w:val="auto"/>
                <w:kern w:val="0"/>
                <w:sz w:val="28"/>
                <w:szCs w:val="28"/>
                <w:highlight w:val="none"/>
                <w:u w:val="none"/>
                <w:lang w:val="en-US" w:eastAsia="zh-CN" w:bidi="ar"/>
              </w:rPr>
            </w:pPr>
            <w:r>
              <w:rPr>
                <w:rFonts w:hint="default" w:ascii="Times New Roman" w:hAnsi="Times New Roman" w:eastAsia="仿宋" w:cs="Times New Roman"/>
                <w:i w:val="0"/>
                <w:iCs w:val="0"/>
                <w:color w:val="auto"/>
                <w:kern w:val="0"/>
                <w:sz w:val="28"/>
                <w:szCs w:val="28"/>
                <w:highlight w:val="none"/>
                <w:u w:val="none"/>
                <w:lang w:val="en-US" w:eastAsia="zh-CN" w:bidi="ar"/>
              </w:rPr>
              <w:t xml:space="preserve">材质316L  连接方式：1/4卡套   压力3000psi </w:t>
            </w:r>
          </w:p>
        </w:tc>
        <w:tc>
          <w:tcPr>
            <w:tcW w:w="414" w:type="pct"/>
            <w:tcBorders>
              <w:top w:val="single" w:color="auto" w:sz="4" w:space="0"/>
              <w:bottom w:val="single" w:color="auto" w:sz="4" w:space="0"/>
            </w:tcBorders>
            <w:vAlign w:val="center"/>
          </w:tcPr>
          <w:p w14:paraId="47247FD7">
            <w:pPr>
              <w:keepNext w:val="0"/>
              <w:keepLines w:val="0"/>
              <w:widowControl/>
              <w:suppressLineNumbers w:val="0"/>
              <w:jc w:val="center"/>
              <w:textAlignment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i w:val="0"/>
                <w:iCs w:val="0"/>
                <w:color w:val="auto"/>
                <w:kern w:val="0"/>
                <w:sz w:val="20"/>
                <w:szCs w:val="20"/>
                <w:highlight w:val="none"/>
                <w:u w:val="none"/>
                <w:lang w:val="en-US" w:eastAsia="zh-CN" w:bidi="ar"/>
              </w:rPr>
              <w:t>140</w:t>
            </w:r>
            <w:r>
              <w:rPr>
                <w:rStyle w:val="27"/>
                <w:rFonts w:hint="default" w:ascii="Times New Roman" w:hAnsi="Times New Roman" w:eastAsia="仿宋" w:cs="Times New Roman"/>
                <w:color w:val="auto"/>
                <w:highlight w:val="none"/>
                <w:lang w:val="en-US" w:eastAsia="zh-CN" w:bidi="ar"/>
              </w:rPr>
              <w:t>个</w:t>
            </w:r>
          </w:p>
        </w:tc>
      </w:tr>
      <w:tr w14:paraId="51F30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345" w:type="pct"/>
            <w:tcBorders>
              <w:top w:val="single" w:color="auto" w:sz="4" w:space="0"/>
              <w:bottom w:val="single" w:color="auto" w:sz="4" w:space="0"/>
            </w:tcBorders>
            <w:shd w:val="clear" w:color="auto" w:fill="auto"/>
            <w:vAlign w:val="center"/>
          </w:tcPr>
          <w:p w14:paraId="13B89533">
            <w:pPr>
              <w:keepNext w:val="0"/>
              <w:keepLines w:val="0"/>
              <w:pageBreakBefore w:val="0"/>
              <w:widowControl/>
              <w:suppressLineNumbers w:val="0"/>
              <w:kinsoku/>
              <w:wordWrap/>
              <w:overflowPunct/>
              <w:topLinePunct w:val="0"/>
              <w:autoSpaceDE w:val="0"/>
              <w:autoSpaceDN w:val="0"/>
              <w:bidi w:val="0"/>
              <w:adjustRightInd/>
              <w:snapToGrid/>
              <w:jc w:val="left"/>
              <w:textAlignment w:val="bottom"/>
              <w:rPr>
                <w:rFonts w:hint="default" w:ascii="Times New Roman" w:hAnsi="Times New Roman" w:eastAsia="仿宋" w:cs="Times New Roman"/>
                <w:color w:val="auto"/>
                <w:sz w:val="28"/>
                <w:szCs w:val="28"/>
                <w:highlight w:val="none"/>
                <w:lang w:val="en-US" w:eastAsia="zh-CN" w:bidi="ar-SA"/>
              </w:rPr>
            </w:pPr>
            <w:r>
              <w:rPr>
                <w:rFonts w:hint="default" w:ascii="Times New Roman" w:hAnsi="Times New Roman" w:eastAsia="仿宋" w:cs="Times New Roman"/>
                <w:i w:val="0"/>
                <w:iCs w:val="0"/>
                <w:color w:val="auto"/>
                <w:kern w:val="0"/>
                <w:sz w:val="28"/>
                <w:szCs w:val="28"/>
                <w:highlight w:val="none"/>
                <w:u w:val="none"/>
                <w:lang w:val="en-US" w:eastAsia="zh-CN" w:bidi="ar"/>
              </w:rPr>
              <w:t>20</w:t>
            </w:r>
          </w:p>
        </w:tc>
        <w:tc>
          <w:tcPr>
            <w:tcW w:w="722" w:type="pct"/>
            <w:tcBorders>
              <w:top w:val="single" w:color="auto" w:sz="4" w:space="0"/>
              <w:bottom w:val="single" w:color="auto" w:sz="4" w:space="0"/>
            </w:tcBorders>
            <w:shd w:val="clear" w:color="auto" w:fill="auto"/>
            <w:vAlign w:val="center"/>
          </w:tcPr>
          <w:p w14:paraId="042B0AFF">
            <w:pPr>
              <w:keepNext w:val="0"/>
              <w:keepLines w:val="0"/>
              <w:pageBreakBefore w:val="0"/>
              <w:widowControl/>
              <w:suppressLineNumbers w:val="0"/>
              <w:kinsoku/>
              <w:wordWrap/>
              <w:overflowPunct/>
              <w:topLinePunct w:val="0"/>
              <w:autoSpaceDE w:val="0"/>
              <w:autoSpaceDN w:val="0"/>
              <w:bidi w:val="0"/>
              <w:adjustRightInd/>
              <w:snapToGrid/>
              <w:jc w:val="center"/>
              <w:textAlignment w:val="center"/>
              <w:rPr>
                <w:rFonts w:hint="default" w:ascii="Times New Roman" w:hAnsi="Times New Roman" w:eastAsia="仿宋" w:cs="Times New Roman"/>
                <w:color w:val="auto"/>
                <w:sz w:val="28"/>
                <w:szCs w:val="28"/>
                <w:highlight w:val="none"/>
                <w:lang w:val="en-US" w:eastAsia="zh-CN" w:bidi="ar-SA"/>
              </w:rPr>
            </w:pPr>
            <w:r>
              <w:rPr>
                <w:rFonts w:hint="default" w:ascii="Times New Roman" w:hAnsi="Times New Roman" w:eastAsia="仿宋" w:cs="Times New Roman"/>
                <w:i w:val="0"/>
                <w:iCs w:val="0"/>
                <w:color w:val="auto"/>
                <w:kern w:val="0"/>
                <w:sz w:val="28"/>
                <w:szCs w:val="28"/>
                <w:highlight w:val="none"/>
                <w:u w:val="none"/>
                <w:lang w:val="en-US" w:eastAsia="zh-CN" w:bidi="ar"/>
              </w:rPr>
              <w:t>终端恒压调节系统</w:t>
            </w:r>
          </w:p>
        </w:tc>
        <w:tc>
          <w:tcPr>
            <w:tcW w:w="3517" w:type="pct"/>
            <w:tcBorders>
              <w:top w:val="single" w:color="auto" w:sz="4" w:space="0"/>
              <w:bottom w:val="single" w:color="auto" w:sz="4" w:space="0"/>
            </w:tcBorders>
            <w:shd w:val="clear" w:color="auto" w:fill="auto"/>
            <w:vAlign w:val="center"/>
          </w:tcPr>
          <w:p w14:paraId="42552AA5">
            <w:pPr>
              <w:keepNext w:val="0"/>
              <w:keepLines w:val="0"/>
              <w:pageBreakBefore w:val="0"/>
              <w:widowControl/>
              <w:suppressLineNumbers w:val="0"/>
              <w:kinsoku/>
              <w:wordWrap/>
              <w:overflowPunct/>
              <w:topLinePunct w:val="0"/>
              <w:autoSpaceDE w:val="0"/>
              <w:autoSpaceDN w:val="0"/>
              <w:bidi w:val="0"/>
              <w:adjustRightInd/>
              <w:snapToGrid/>
              <w:jc w:val="left"/>
              <w:textAlignment w:val="center"/>
              <w:rPr>
                <w:rFonts w:hint="default" w:ascii="Times New Roman" w:hAnsi="Times New Roman" w:eastAsia="仿宋" w:cs="Times New Roman"/>
                <w:i w:val="0"/>
                <w:iCs w:val="0"/>
                <w:color w:val="auto"/>
                <w:kern w:val="0"/>
                <w:sz w:val="28"/>
                <w:szCs w:val="28"/>
                <w:highlight w:val="none"/>
                <w:u w:val="none"/>
                <w:lang w:val="en-US" w:eastAsia="zh-CN" w:bidi="ar"/>
              </w:rPr>
            </w:pPr>
            <w:r>
              <w:rPr>
                <w:rFonts w:hint="default" w:ascii="Times New Roman" w:hAnsi="Times New Roman" w:eastAsia="仿宋" w:cs="Times New Roman"/>
                <w:i w:val="0"/>
                <w:iCs w:val="0"/>
                <w:color w:val="auto"/>
                <w:kern w:val="0"/>
                <w:sz w:val="28"/>
                <w:szCs w:val="28"/>
                <w:highlight w:val="none"/>
                <w:u w:val="none"/>
                <w:lang w:val="en-US" w:eastAsia="zh-CN" w:bidi="ar"/>
              </w:rPr>
              <w:t>1、出气压力量程：0-0.25MPa、0-1.6MPa。安全测试压力：1.5倍的最大输入压力。采用不锈钢316LBA级洁净材质，其中包含二级减压器，出气压力表、镜面金属固定面板、输出隔膜阀。</w:t>
            </w:r>
            <w:r>
              <w:rPr>
                <w:rFonts w:hint="default" w:ascii="Times New Roman" w:hAnsi="Times New Roman" w:eastAsia="仿宋" w:cs="Times New Roman"/>
                <w:i w:val="0"/>
                <w:iCs w:val="0"/>
                <w:color w:val="auto"/>
                <w:kern w:val="0"/>
                <w:sz w:val="28"/>
                <w:szCs w:val="28"/>
                <w:highlight w:val="none"/>
                <w:u w:val="none"/>
                <w:lang w:val="en-US" w:eastAsia="zh-CN" w:bidi="ar"/>
              </w:rPr>
              <w:br w:type="textWrapping"/>
            </w:r>
            <w:r>
              <w:rPr>
                <w:rFonts w:hint="default" w:ascii="Times New Roman" w:hAnsi="Times New Roman" w:cs="Times New Roman"/>
                <w:i w:val="0"/>
                <w:iCs w:val="0"/>
                <w:color w:val="auto"/>
                <w:kern w:val="0"/>
                <w:sz w:val="28"/>
                <w:szCs w:val="28"/>
                <w:highlight w:val="none"/>
                <w:u w:val="none"/>
                <w:lang w:val="en-US" w:eastAsia="zh-CN" w:bidi="ar"/>
              </w:rPr>
              <w:t>2</w:t>
            </w:r>
            <w:r>
              <w:rPr>
                <w:rFonts w:hint="default" w:ascii="Times New Roman" w:hAnsi="Times New Roman" w:eastAsia="仿宋" w:cs="Times New Roman"/>
                <w:i w:val="0"/>
                <w:iCs w:val="0"/>
                <w:color w:val="auto"/>
                <w:kern w:val="0"/>
                <w:sz w:val="28"/>
                <w:szCs w:val="28"/>
                <w:highlight w:val="none"/>
                <w:u w:val="none"/>
                <w:lang w:val="en-US" w:eastAsia="zh-CN" w:bidi="ar"/>
              </w:rPr>
              <w:t>、▲提供第三方检验报告，检验项目：中性盐雾试验；依据标准 GB/T10125-2021，中性盐雾测试时间不低于 36h；该检验项目属于市场监管总局“一单一库” 范围，可提供带 CMA 标志报告。</w:t>
            </w:r>
          </w:p>
        </w:tc>
        <w:tc>
          <w:tcPr>
            <w:tcW w:w="414" w:type="pct"/>
            <w:tcBorders>
              <w:top w:val="single" w:color="auto" w:sz="4" w:space="0"/>
              <w:bottom w:val="single" w:color="auto" w:sz="4" w:space="0"/>
            </w:tcBorders>
            <w:vAlign w:val="center"/>
          </w:tcPr>
          <w:p w14:paraId="4E8C17B7">
            <w:pPr>
              <w:keepNext w:val="0"/>
              <w:keepLines w:val="0"/>
              <w:widowControl/>
              <w:suppressLineNumbers w:val="0"/>
              <w:jc w:val="center"/>
              <w:textAlignment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i w:val="0"/>
                <w:iCs w:val="0"/>
                <w:color w:val="auto"/>
                <w:kern w:val="0"/>
                <w:sz w:val="20"/>
                <w:szCs w:val="20"/>
                <w:highlight w:val="none"/>
                <w:u w:val="none"/>
                <w:lang w:val="en-US" w:eastAsia="zh-CN" w:bidi="ar"/>
              </w:rPr>
              <w:t>140</w:t>
            </w:r>
            <w:r>
              <w:rPr>
                <w:rStyle w:val="27"/>
                <w:rFonts w:hint="default" w:ascii="Times New Roman" w:hAnsi="Times New Roman" w:eastAsia="仿宋" w:cs="Times New Roman"/>
                <w:color w:val="auto"/>
                <w:highlight w:val="none"/>
                <w:lang w:val="en-US" w:eastAsia="zh-CN" w:bidi="ar"/>
              </w:rPr>
              <w:t>套</w:t>
            </w:r>
          </w:p>
        </w:tc>
      </w:tr>
      <w:tr w14:paraId="5E968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345" w:type="pct"/>
            <w:tcBorders>
              <w:top w:val="single" w:color="auto" w:sz="4" w:space="0"/>
              <w:bottom w:val="single" w:color="auto" w:sz="4" w:space="0"/>
            </w:tcBorders>
            <w:shd w:val="clear" w:color="auto" w:fill="auto"/>
            <w:vAlign w:val="center"/>
          </w:tcPr>
          <w:p w14:paraId="40CAFE74">
            <w:pPr>
              <w:keepNext w:val="0"/>
              <w:keepLines w:val="0"/>
              <w:pageBreakBefore w:val="0"/>
              <w:widowControl/>
              <w:suppressLineNumbers w:val="0"/>
              <w:kinsoku/>
              <w:wordWrap/>
              <w:overflowPunct/>
              <w:topLinePunct w:val="0"/>
              <w:autoSpaceDE w:val="0"/>
              <w:autoSpaceDN w:val="0"/>
              <w:bidi w:val="0"/>
              <w:adjustRightInd/>
              <w:snapToGrid/>
              <w:jc w:val="left"/>
              <w:textAlignment w:val="bottom"/>
              <w:rPr>
                <w:rFonts w:hint="default" w:ascii="Times New Roman" w:hAnsi="Times New Roman" w:eastAsia="仿宋" w:cs="Times New Roman"/>
                <w:color w:val="auto"/>
                <w:sz w:val="28"/>
                <w:szCs w:val="28"/>
                <w:highlight w:val="none"/>
                <w:lang w:val="en-US" w:eastAsia="zh-CN" w:bidi="ar-SA"/>
              </w:rPr>
            </w:pPr>
            <w:r>
              <w:rPr>
                <w:rFonts w:hint="default" w:ascii="Times New Roman" w:hAnsi="Times New Roman" w:eastAsia="仿宋" w:cs="Times New Roman"/>
                <w:i w:val="0"/>
                <w:iCs w:val="0"/>
                <w:color w:val="auto"/>
                <w:kern w:val="0"/>
                <w:sz w:val="28"/>
                <w:szCs w:val="28"/>
                <w:highlight w:val="none"/>
                <w:u w:val="none"/>
                <w:lang w:val="en-US" w:eastAsia="zh-CN" w:bidi="ar"/>
              </w:rPr>
              <w:t>21</w:t>
            </w:r>
          </w:p>
        </w:tc>
        <w:tc>
          <w:tcPr>
            <w:tcW w:w="722" w:type="pct"/>
            <w:tcBorders>
              <w:top w:val="single" w:color="auto" w:sz="4" w:space="0"/>
              <w:bottom w:val="single" w:color="auto" w:sz="4" w:space="0"/>
            </w:tcBorders>
            <w:shd w:val="clear" w:color="auto" w:fill="auto"/>
            <w:vAlign w:val="center"/>
          </w:tcPr>
          <w:p w14:paraId="62B59F07">
            <w:pPr>
              <w:keepNext w:val="0"/>
              <w:keepLines w:val="0"/>
              <w:pageBreakBefore w:val="0"/>
              <w:widowControl/>
              <w:suppressLineNumbers w:val="0"/>
              <w:kinsoku/>
              <w:wordWrap/>
              <w:overflowPunct/>
              <w:topLinePunct w:val="0"/>
              <w:autoSpaceDE w:val="0"/>
              <w:autoSpaceDN w:val="0"/>
              <w:bidi w:val="0"/>
              <w:adjustRightInd/>
              <w:snapToGrid/>
              <w:jc w:val="center"/>
              <w:textAlignment w:val="center"/>
              <w:rPr>
                <w:rFonts w:hint="default" w:ascii="Times New Roman" w:hAnsi="Times New Roman" w:eastAsia="仿宋" w:cs="Times New Roman"/>
                <w:color w:val="auto"/>
                <w:sz w:val="28"/>
                <w:szCs w:val="28"/>
                <w:highlight w:val="none"/>
                <w:lang w:val="en-US" w:eastAsia="zh-CN" w:bidi="ar-SA"/>
              </w:rPr>
            </w:pPr>
            <w:r>
              <w:rPr>
                <w:rFonts w:hint="default" w:ascii="Times New Roman" w:hAnsi="Times New Roman" w:eastAsia="仿宋" w:cs="Times New Roman"/>
                <w:i w:val="0"/>
                <w:iCs w:val="0"/>
                <w:color w:val="auto"/>
                <w:kern w:val="0"/>
                <w:sz w:val="28"/>
                <w:szCs w:val="28"/>
                <w:highlight w:val="none"/>
                <w:u w:val="none"/>
                <w:lang w:val="en-US" w:eastAsia="zh-CN" w:bidi="ar"/>
              </w:rPr>
              <w:t>流量计</w:t>
            </w:r>
          </w:p>
        </w:tc>
        <w:tc>
          <w:tcPr>
            <w:tcW w:w="3517" w:type="pct"/>
            <w:tcBorders>
              <w:top w:val="single" w:color="auto" w:sz="4" w:space="0"/>
              <w:bottom w:val="single" w:color="auto" w:sz="4" w:space="0"/>
            </w:tcBorders>
            <w:shd w:val="clear" w:color="auto" w:fill="auto"/>
            <w:vAlign w:val="center"/>
          </w:tcPr>
          <w:p w14:paraId="55B21110">
            <w:pPr>
              <w:keepNext w:val="0"/>
              <w:keepLines w:val="0"/>
              <w:pageBreakBefore w:val="0"/>
              <w:widowControl/>
              <w:suppressLineNumbers w:val="0"/>
              <w:kinsoku/>
              <w:wordWrap/>
              <w:overflowPunct/>
              <w:topLinePunct w:val="0"/>
              <w:autoSpaceDE w:val="0"/>
              <w:autoSpaceDN w:val="0"/>
              <w:bidi w:val="0"/>
              <w:adjustRightInd/>
              <w:snapToGrid/>
              <w:jc w:val="left"/>
              <w:textAlignment w:val="center"/>
              <w:rPr>
                <w:rFonts w:hint="default" w:ascii="Times New Roman" w:hAnsi="Times New Roman" w:eastAsia="仿宋" w:cs="Times New Roman"/>
                <w:i w:val="0"/>
                <w:iCs w:val="0"/>
                <w:color w:val="auto"/>
                <w:kern w:val="0"/>
                <w:sz w:val="28"/>
                <w:szCs w:val="28"/>
                <w:highlight w:val="none"/>
                <w:u w:val="none"/>
                <w:lang w:val="en-US" w:eastAsia="zh-CN" w:bidi="ar"/>
              </w:rPr>
            </w:pPr>
            <w:r>
              <w:rPr>
                <w:rFonts w:hint="default" w:ascii="Times New Roman" w:hAnsi="Times New Roman" w:eastAsia="仿宋" w:cs="Times New Roman"/>
                <w:i w:val="0"/>
                <w:iCs w:val="0"/>
                <w:color w:val="auto"/>
                <w:kern w:val="0"/>
                <w:sz w:val="28"/>
                <w:szCs w:val="28"/>
                <w:highlight w:val="none"/>
                <w:u w:val="none"/>
                <w:lang w:val="en-US" w:eastAsia="zh-CN" w:bidi="ar"/>
              </w:rPr>
              <w:t>气体介质：惰性气体，易燃易爆气体；</w:t>
            </w:r>
            <w:r>
              <w:rPr>
                <w:rFonts w:hint="default" w:ascii="Times New Roman" w:hAnsi="Times New Roman" w:eastAsia="仿宋" w:cs="Times New Roman"/>
                <w:i w:val="0"/>
                <w:iCs w:val="0"/>
                <w:color w:val="auto"/>
                <w:kern w:val="0"/>
                <w:sz w:val="28"/>
                <w:szCs w:val="28"/>
                <w:highlight w:val="none"/>
                <w:u w:val="none"/>
                <w:lang w:val="en-US" w:eastAsia="zh-CN" w:bidi="ar"/>
              </w:rPr>
              <w:br w:type="textWrapping"/>
            </w:r>
            <w:r>
              <w:rPr>
                <w:rFonts w:hint="default" w:ascii="Times New Roman" w:hAnsi="Times New Roman" w:eastAsia="仿宋" w:cs="Times New Roman"/>
                <w:i w:val="0"/>
                <w:iCs w:val="0"/>
                <w:color w:val="auto"/>
                <w:kern w:val="0"/>
                <w:sz w:val="28"/>
                <w:szCs w:val="28"/>
                <w:highlight w:val="none"/>
                <w:u w:val="none"/>
                <w:lang w:val="en-US" w:eastAsia="zh-CN" w:bidi="ar"/>
              </w:rPr>
              <w:t>流量范围：1-100L/min范围可选；</w:t>
            </w:r>
            <w:r>
              <w:rPr>
                <w:rFonts w:hint="default" w:ascii="Times New Roman" w:hAnsi="Times New Roman" w:eastAsia="仿宋" w:cs="Times New Roman"/>
                <w:i w:val="0"/>
                <w:iCs w:val="0"/>
                <w:color w:val="auto"/>
                <w:kern w:val="0"/>
                <w:sz w:val="28"/>
                <w:szCs w:val="28"/>
                <w:highlight w:val="none"/>
                <w:u w:val="none"/>
                <w:lang w:val="en-US" w:eastAsia="zh-CN" w:bidi="ar"/>
              </w:rPr>
              <w:br w:type="textWrapping"/>
            </w:r>
            <w:r>
              <w:rPr>
                <w:rFonts w:hint="default" w:ascii="Times New Roman" w:hAnsi="Times New Roman" w:eastAsia="仿宋" w:cs="Times New Roman"/>
                <w:i w:val="0"/>
                <w:iCs w:val="0"/>
                <w:color w:val="auto"/>
                <w:kern w:val="0"/>
                <w:sz w:val="28"/>
                <w:szCs w:val="28"/>
                <w:highlight w:val="none"/>
                <w:u w:val="none"/>
                <w:lang w:val="en-US" w:eastAsia="zh-CN" w:bidi="ar"/>
              </w:rPr>
              <w:t>精度：±1.5%F.S.；</w:t>
            </w:r>
            <w:r>
              <w:rPr>
                <w:rFonts w:hint="default" w:ascii="Times New Roman" w:hAnsi="Times New Roman" w:eastAsia="仿宋" w:cs="Times New Roman"/>
                <w:i w:val="0"/>
                <w:iCs w:val="0"/>
                <w:color w:val="auto"/>
                <w:kern w:val="0"/>
                <w:sz w:val="28"/>
                <w:szCs w:val="28"/>
                <w:highlight w:val="none"/>
                <w:u w:val="none"/>
                <w:lang w:val="en-US" w:eastAsia="zh-CN" w:bidi="ar"/>
              </w:rPr>
              <w:br w:type="textWrapping"/>
            </w:r>
            <w:r>
              <w:rPr>
                <w:rFonts w:hint="default" w:ascii="Times New Roman" w:hAnsi="Times New Roman" w:eastAsia="仿宋" w:cs="Times New Roman"/>
                <w:i w:val="0"/>
                <w:iCs w:val="0"/>
                <w:color w:val="auto"/>
                <w:kern w:val="0"/>
                <w:sz w:val="28"/>
                <w:szCs w:val="28"/>
                <w:highlight w:val="none"/>
                <w:u w:val="none"/>
                <w:lang w:val="en-US" w:eastAsia="zh-CN" w:bidi="ar"/>
              </w:rPr>
              <w:t>通信方式：RS485 通信；</w:t>
            </w:r>
            <w:r>
              <w:rPr>
                <w:rFonts w:hint="default" w:ascii="Times New Roman" w:hAnsi="Times New Roman" w:eastAsia="仿宋" w:cs="Times New Roman"/>
                <w:i w:val="0"/>
                <w:iCs w:val="0"/>
                <w:color w:val="auto"/>
                <w:kern w:val="0"/>
                <w:sz w:val="28"/>
                <w:szCs w:val="28"/>
                <w:highlight w:val="none"/>
                <w:u w:val="none"/>
                <w:lang w:val="en-US" w:eastAsia="zh-CN" w:bidi="ar"/>
              </w:rPr>
              <w:br w:type="textWrapping"/>
            </w:r>
            <w:r>
              <w:rPr>
                <w:rFonts w:hint="default" w:ascii="Times New Roman" w:hAnsi="Times New Roman" w:eastAsia="仿宋" w:cs="Times New Roman"/>
                <w:i w:val="0"/>
                <w:iCs w:val="0"/>
                <w:color w:val="auto"/>
                <w:kern w:val="0"/>
                <w:sz w:val="28"/>
                <w:szCs w:val="28"/>
                <w:highlight w:val="none"/>
                <w:u w:val="none"/>
                <w:lang w:val="en-US" w:eastAsia="zh-CN" w:bidi="ar"/>
              </w:rPr>
              <w:t>连接方式：1/4NPT内螺纹连接；</w:t>
            </w:r>
            <w:r>
              <w:rPr>
                <w:rFonts w:hint="default" w:ascii="Times New Roman" w:hAnsi="Times New Roman" w:eastAsia="仿宋" w:cs="Times New Roman"/>
                <w:i w:val="0"/>
                <w:iCs w:val="0"/>
                <w:color w:val="auto"/>
                <w:kern w:val="0"/>
                <w:sz w:val="28"/>
                <w:szCs w:val="28"/>
                <w:highlight w:val="none"/>
                <w:u w:val="none"/>
                <w:lang w:val="en-US" w:eastAsia="zh-CN" w:bidi="ar"/>
              </w:rPr>
              <w:br w:type="textWrapping"/>
            </w:r>
            <w:r>
              <w:rPr>
                <w:rFonts w:hint="default" w:ascii="Times New Roman" w:hAnsi="Times New Roman" w:eastAsia="仿宋" w:cs="Times New Roman"/>
                <w:i w:val="0"/>
                <w:iCs w:val="0"/>
                <w:color w:val="auto"/>
                <w:kern w:val="0"/>
                <w:sz w:val="28"/>
                <w:szCs w:val="28"/>
                <w:highlight w:val="none"/>
                <w:u w:val="none"/>
                <w:lang w:val="en-US" w:eastAsia="zh-CN" w:bidi="ar"/>
              </w:rPr>
              <w:t>安装方式：水平安装，气流左进右出；</w:t>
            </w:r>
            <w:r>
              <w:rPr>
                <w:rFonts w:hint="default" w:ascii="Times New Roman" w:hAnsi="Times New Roman" w:eastAsia="仿宋" w:cs="Times New Roman"/>
                <w:i w:val="0"/>
                <w:iCs w:val="0"/>
                <w:color w:val="auto"/>
                <w:kern w:val="0"/>
                <w:sz w:val="28"/>
                <w:szCs w:val="28"/>
                <w:highlight w:val="none"/>
                <w:u w:val="none"/>
                <w:lang w:val="en-US" w:eastAsia="zh-CN" w:bidi="ar"/>
              </w:rPr>
              <w:br w:type="textWrapping"/>
            </w:r>
            <w:r>
              <w:rPr>
                <w:rFonts w:hint="default" w:ascii="Times New Roman" w:hAnsi="Times New Roman" w:eastAsia="仿宋" w:cs="Times New Roman"/>
                <w:i w:val="0"/>
                <w:iCs w:val="0"/>
                <w:color w:val="auto"/>
                <w:kern w:val="0"/>
                <w:sz w:val="28"/>
                <w:szCs w:val="28"/>
                <w:highlight w:val="none"/>
                <w:u w:val="none"/>
                <w:lang w:val="en-US" w:eastAsia="zh-CN" w:bidi="ar"/>
              </w:rPr>
              <w:t>耐压：0-1.6MPa；</w:t>
            </w:r>
            <w:r>
              <w:rPr>
                <w:rFonts w:hint="default" w:ascii="Times New Roman" w:hAnsi="Times New Roman" w:eastAsia="仿宋" w:cs="Times New Roman"/>
                <w:i w:val="0"/>
                <w:iCs w:val="0"/>
                <w:color w:val="auto"/>
                <w:kern w:val="0"/>
                <w:sz w:val="28"/>
                <w:szCs w:val="28"/>
                <w:highlight w:val="none"/>
                <w:u w:val="none"/>
                <w:lang w:val="en-US" w:eastAsia="zh-CN" w:bidi="ar"/>
              </w:rPr>
              <w:br w:type="textWrapping"/>
            </w:r>
            <w:r>
              <w:rPr>
                <w:rFonts w:hint="default" w:ascii="Times New Roman" w:hAnsi="Times New Roman" w:eastAsia="仿宋" w:cs="Times New Roman"/>
                <w:i w:val="0"/>
                <w:iCs w:val="0"/>
                <w:color w:val="auto"/>
                <w:kern w:val="0"/>
                <w:sz w:val="28"/>
                <w:szCs w:val="28"/>
                <w:highlight w:val="none"/>
                <w:u w:val="none"/>
                <w:lang w:val="en-US" w:eastAsia="zh-CN" w:bidi="ar"/>
              </w:rPr>
              <w:t>环境温度：-20-60℃</w:t>
            </w:r>
            <w:r>
              <w:rPr>
                <w:rFonts w:hint="eastAsia" w:ascii="Times New Roman" w:hAnsi="Times New Roman" w:cs="Times New Roman"/>
                <w:i w:val="0"/>
                <w:iCs w:val="0"/>
                <w:color w:val="auto"/>
                <w:kern w:val="0"/>
                <w:sz w:val="28"/>
                <w:szCs w:val="28"/>
                <w:highlight w:val="none"/>
                <w:u w:val="none"/>
                <w:lang w:val="en-US" w:eastAsia="zh-CN" w:bidi="ar"/>
              </w:rPr>
              <w:t>。</w:t>
            </w:r>
          </w:p>
        </w:tc>
        <w:tc>
          <w:tcPr>
            <w:tcW w:w="414" w:type="pct"/>
            <w:tcBorders>
              <w:top w:val="single" w:color="auto" w:sz="4" w:space="0"/>
              <w:bottom w:val="single" w:color="auto" w:sz="4" w:space="0"/>
            </w:tcBorders>
            <w:vAlign w:val="center"/>
          </w:tcPr>
          <w:p w14:paraId="0C2DB1F9">
            <w:pPr>
              <w:keepNext w:val="0"/>
              <w:keepLines w:val="0"/>
              <w:widowControl/>
              <w:suppressLineNumbers w:val="0"/>
              <w:jc w:val="center"/>
              <w:textAlignment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i w:val="0"/>
                <w:iCs w:val="0"/>
                <w:color w:val="auto"/>
                <w:kern w:val="0"/>
                <w:sz w:val="20"/>
                <w:szCs w:val="20"/>
                <w:highlight w:val="none"/>
                <w:u w:val="none"/>
                <w:lang w:val="en-US" w:eastAsia="zh-CN" w:bidi="ar"/>
              </w:rPr>
              <w:t>73</w:t>
            </w:r>
            <w:r>
              <w:rPr>
                <w:rStyle w:val="27"/>
                <w:rFonts w:hint="default" w:ascii="Times New Roman" w:hAnsi="Times New Roman" w:eastAsia="仿宋" w:cs="Times New Roman"/>
                <w:color w:val="auto"/>
                <w:highlight w:val="none"/>
                <w:lang w:val="en-US" w:eastAsia="zh-CN" w:bidi="ar"/>
              </w:rPr>
              <w:t>个</w:t>
            </w:r>
          </w:p>
        </w:tc>
      </w:tr>
      <w:tr w14:paraId="1D6C7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345" w:type="pct"/>
            <w:tcBorders>
              <w:top w:val="single" w:color="auto" w:sz="4" w:space="0"/>
              <w:bottom w:val="single" w:color="auto" w:sz="4" w:space="0"/>
            </w:tcBorders>
            <w:shd w:val="clear" w:color="auto" w:fill="auto"/>
            <w:vAlign w:val="center"/>
          </w:tcPr>
          <w:p w14:paraId="620E94EC">
            <w:pPr>
              <w:keepNext w:val="0"/>
              <w:keepLines w:val="0"/>
              <w:pageBreakBefore w:val="0"/>
              <w:widowControl/>
              <w:suppressLineNumbers w:val="0"/>
              <w:kinsoku/>
              <w:wordWrap/>
              <w:overflowPunct/>
              <w:topLinePunct w:val="0"/>
              <w:autoSpaceDE w:val="0"/>
              <w:autoSpaceDN w:val="0"/>
              <w:bidi w:val="0"/>
              <w:adjustRightInd/>
              <w:snapToGrid/>
              <w:jc w:val="left"/>
              <w:textAlignment w:val="bottom"/>
              <w:rPr>
                <w:rFonts w:hint="default" w:ascii="Times New Roman" w:hAnsi="Times New Roman" w:eastAsia="仿宋" w:cs="Times New Roman"/>
                <w:color w:val="auto"/>
                <w:sz w:val="28"/>
                <w:szCs w:val="28"/>
                <w:highlight w:val="none"/>
                <w:lang w:val="en-US" w:eastAsia="zh-CN" w:bidi="ar-SA"/>
              </w:rPr>
            </w:pPr>
            <w:r>
              <w:rPr>
                <w:rFonts w:hint="default" w:ascii="Times New Roman" w:hAnsi="Times New Roman" w:eastAsia="仿宋" w:cs="Times New Roman"/>
                <w:i w:val="0"/>
                <w:iCs w:val="0"/>
                <w:color w:val="auto"/>
                <w:kern w:val="0"/>
                <w:sz w:val="28"/>
                <w:szCs w:val="28"/>
                <w:highlight w:val="none"/>
                <w:u w:val="none"/>
                <w:lang w:val="en-US" w:eastAsia="zh-CN" w:bidi="ar"/>
              </w:rPr>
              <w:t>22</w:t>
            </w:r>
          </w:p>
        </w:tc>
        <w:tc>
          <w:tcPr>
            <w:tcW w:w="722" w:type="pct"/>
            <w:tcBorders>
              <w:top w:val="single" w:color="auto" w:sz="4" w:space="0"/>
              <w:bottom w:val="single" w:color="auto" w:sz="4" w:space="0"/>
            </w:tcBorders>
            <w:shd w:val="clear" w:color="auto" w:fill="auto"/>
            <w:vAlign w:val="center"/>
          </w:tcPr>
          <w:p w14:paraId="38B9091C">
            <w:pPr>
              <w:keepNext w:val="0"/>
              <w:keepLines w:val="0"/>
              <w:pageBreakBefore w:val="0"/>
              <w:widowControl/>
              <w:suppressLineNumbers w:val="0"/>
              <w:kinsoku/>
              <w:wordWrap/>
              <w:overflowPunct/>
              <w:topLinePunct w:val="0"/>
              <w:autoSpaceDE w:val="0"/>
              <w:autoSpaceDN w:val="0"/>
              <w:bidi w:val="0"/>
              <w:adjustRightInd/>
              <w:snapToGrid/>
              <w:jc w:val="center"/>
              <w:textAlignment w:val="center"/>
              <w:rPr>
                <w:rFonts w:hint="default" w:ascii="Times New Roman" w:hAnsi="Times New Roman" w:eastAsia="仿宋" w:cs="Times New Roman"/>
                <w:color w:val="auto"/>
                <w:sz w:val="28"/>
                <w:szCs w:val="28"/>
                <w:highlight w:val="none"/>
                <w:lang w:val="en-US" w:eastAsia="zh-CN" w:bidi="ar-SA"/>
              </w:rPr>
            </w:pPr>
            <w:r>
              <w:rPr>
                <w:rFonts w:hint="default" w:ascii="Times New Roman" w:hAnsi="Times New Roman" w:eastAsia="仿宋" w:cs="Times New Roman"/>
                <w:i w:val="0"/>
                <w:iCs w:val="0"/>
                <w:color w:val="auto"/>
                <w:kern w:val="0"/>
                <w:sz w:val="28"/>
                <w:szCs w:val="28"/>
                <w:highlight w:val="none"/>
                <w:u w:val="none"/>
                <w:lang w:val="en-US" w:eastAsia="zh-CN" w:bidi="ar"/>
              </w:rPr>
              <w:t>不锈钢3/4”BA管</w:t>
            </w:r>
          </w:p>
        </w:tc>
        <w:tc>
          <w:tcPr>
            <w:tcW w:w="3517" w:type="pct"/>
            <w:tcBorders>
              <w:top w:val="single" w:color="auto" w:sz="4" w:space="0"/>
              <w:bottom w:val="single" w:color="auto" w:sz="4" w:space="0"/>
            </w:tcBorders>
            <w:shd w:val="clear" w:color="auto" w:fill="auto"/>
            <w:vAlign w:val="center"/>
          </w:tcPr>
          <w:p w14:paraId="521AF933">
            <w:pPr>
              <w:keepNext w:val="0"/>
              <w:keepLines w:val="0"/>
              <w:pageBreakBefore w:val="0"/>
              <w:widowControl/>
              <w:suppressLineNumbers w:val="0"/>
              <w:kinsoku/>
              <w:wordWrap/>
              <w:overflowPunct/>
              <w:topLinePunct w:val="0"/>
              <w:autoSpaceDE w:val="0"/>
              <w:autoSpaceDN w:val="0"/>
              <w:bidi w:val="0"/>
              <w:adjustRightInd/>
              <w:snapToGrid/>
              <w:jc w:val="left"/>
              <w:textAlignment w:val="center"/>
              <w:rPr>
                <w:rFonts w:hint="default" w:ascii="Times New Roman" w:hAnsi="Times New Roman" w:eastAsia="仿宋" w:cs="Times New Roman"/>
                <w:i w:val="0"/>
                <w:iCs w:val="0"/>
                <w:color w:val="auto"/>
                <w:kern w:val="0"/>
                <w:sz w:val="28"/>
                <w:szCs w:val="28"/>
                <w:highlight w:val="none"/>
                <w:u w:val="none"/>
                <w:lang w:val="en-US" w:eastAsia="zh-CN" w:bidi="ar"/>
              </w:rPr>
            </w:pPr>
            <w:r>
              <w:rPr>
                <w:rFonts w:hint="default" w:ascii="Times New Roman" w:hAnsi="Times New Roman" w:eastAsia="仿宋" w:cs="Times New Roman"/>
                <w:i w:val="0"/>
                <w:iCs w:val="0"/>
                <w:color w:val="auto"/>
                <w:kern w:val="0"/>
                <w:sz w:val="28"/>
                <w:szCs w:val="28"/>
                <w:highlight w:val="none"/>
                <w:u w:val="none"/>
                <w:lang w:val="en-US" w:eastAsia="zh-CN" w:bidi="ar"/>
              </w:rPr>
              <w:t>规格：3/4”；材质：不锈钢 SS 316L，BA（Bright Annealing) 级（光亮退火）；外径：≥19.05mm；壁厚：≥1.65mm</w:t>
            </w:r>
            <w:r>
              <w:rPr>
                <w:rFonts w:hint="eastAsia" w:ascii="Times New Roman" w:hAnsi="Times New Roman" w:cs="Times New Roman"/>
                <w:i w:val="0"/>
                <w:iCs w:val="0"/>
                <w:color w:val="auto"/>
                <w:kern w:val="0"/>
                <w:sz w:val="28"/>
                <w:szCs w:val="28"/>
                <w:highlight w:val="none"/>
                <w:u w:val="none"/>
                <w:lang w:val="en-US" w:eastAsia="zh-CN" w:bidi="ar"/>
              </w:rPr>
              <w:t>。</w:t>
            </w:r>
          </w:p>
        </w:tc>
        <w:tc>
          <w:tcPr>
            <w:tcW w:w="414" w:type="pct"/>
            <w:tcBorders>
              <w:top w:val="single" w:color="auto" w:sz="4" w:space="0"/>
              <w:bottom w:val="single" w:color="auto" w:sz="4" w:space="0"/>
            </w:tcBorders>
            <w:vAlign w:val="center"/>
          </w:tcPr>
          <w:p w14:paraId="6E0D7B00">
            <w:pPr>
              <w:keepNext w:val="0"/>
              <w:keepLines w:val="0"/>
              <w:widowControl/>
              <w:suppressLineNumbers w:val="0"/>
              <w:jc w:val="center"/>
              <w:textAlignment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i w:val="0"/>
                <w:iCs w:val="0"/>
                <w:color w:val="auto"/>
                <w:kern w:val="0"/>
                <w:sz w:val="20"/>
                <w:szCs w:val="20"/>
                <w:highlight w:val="none"/>
                <w:u w:val="none"/>
                <w:lang w:val="en-US" w:eastAsia="zh-CN" w:bidi="ar"/>
              </w:rPr>
              <w:t>140</w:t>
            </w:r>
            <w:r>
              <w:rPr>
                <w:rStyle w:val="27"/>
                <w:rFonts w:hint="default" w:ascii="Times New Roman" w:hAnsi="Times New Roman" w:eastAsia="仿宋" w:cs="Times New Roman"/>
                <w:color w:val="auto"/>
                <w:highlight w:val="none"/>
                <w:lang w:val="en-US" w:eastAsia="zh-CN" w:bidi="ar"/>
              </w:rPr>
              <w:t>米</w:t>
            </w:r>
          </w:p>
        </w:tc>
      </w:tr>
      <w:tr w14:paraId="722F0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345" w:type="pct"/>
            <w:tcBorders>
              <w:top w:val="single" w:color="auto" w:sz="4" w:space="0"/>
              <w:bottom w:val="single" w:color="auto" w:sz="4" w:space="0"/>
            </w:tcBorders>
            <w:shd w:val="clear" w:color="auto" w:fill="auto"/>
            <w:vAlign w:val="center"/>
          </w:tcPr>
          <w:p w14:paraId="035412E8">
            <w:pPr>
              <w:keepNext w:val="0"/>
              <w:keepLines w:val="0"/>
              <w:pageBreakBefore w:val="0"/>
              <w:widowControl/>
              <w:suppressLineNumbers w:val="0"/>
              <w:kinsoku/>
              <w:wordWrap/>
              <w:overflowPunct/>
              <w:topLinePunct w:val="0"/>
              <w:autoSpaceDE w:val="0"/>
              <w:autoSpaceDN w:val="0"/>
              <w:bidi w:val="0"/>
              <w:adjustRightInd/>
              <w:snapToGrid/>
              <w:jc w:val="left"/>
              <w:textAlignment w:val="bottom"/>
              <w:rPr>
                <w:rFonts w:hint="default" w:ascii="Times New Roman" w:hAnsi="Times New Roman" w:eastAsia="仿宋" w:cs="Times New Roman"/>
                <w:color w:val="auto"/>
                <w:sz w:val="28"/>
                <w:szCs w:val="28"/>
                <w:highlight w:val="none"/>
                <w:lang w:val="en-US" w:eastAsia="zh-CN" w:bidi="ar-SA"/>
              </w:rPr>
            </w:pPr>
            <w:r>
              <w:rPr>
                <w:rFonts w:hint="default" w:ascii="Times New Roman" w:hAnsi="Times New Roman" w:eastAsia="仿宋" w:cs="Times New Roman"/>
                <w:i w:val="0"/>
                <w:iCs w:val="0"/>
                <w:color w:val="auto"/>
                <w:kern w:val="0"/>
                <w:sz w:val="28"/>
                <w:szCs w:val="28"/>
                <w:highlight w:val="none"/>
                <w:u w:val="none"/>
                <w:lang w:val="en-US" w:eastAsia="zh-CN" w:bidi="ar"/>
              </w:rPr>
              <w:t>23</w:t>
            </w:r>
          </w:p>
        </w:tc>
        <w:tc>
          <w:tcPr>
            <w:tcW w:w="722" w:type="pct"/>
            <w:tcBorders>
              <w:top w:val="single" w:color="auto" w:sz="4" w:space="0"/>
              <w:bottom w:val="single" w:color="auto" w:sz="4" w:space="0"/>
            </w:tcBorders>
            <w:shd w:val="clear" w:color="auto" w:fill="auto"/>
            <w:vAlign w:val="center"/>
          </w:tcPr>
          <w:p w14:paraId="78DBA523">
            <w:pPr>
              <w:keepNext w:val="0"/>
              <w:keepLines w:val="0"/>
              <w:pageBreakBefore w:val="0"/>
              <w:widowControl/>
              <w:suppressLineNumbers w:val="0"/>
              <w:kinsoku/>
              <w:wordWrap/>
              <w:overflowPunct/>
              <w:topLinePunct w:val="0"/>
              <w:autoSpaceDE w:val="0"/>
              <w:autoSpaceDN w:val="0"/>
              <w:bidi w:val="0"/>
              <w:adjustRightInd/>
              <w:snapToGrid/>
              <w:jc w:val="center"/>
              <w:textAlignment w:val="center"/>
              <w:rPr>
                <w:rFonts w:hint="default" w:ascii="Times New Roman" w:hAnsi="Times New Roman" w:eastAsia="仿宋" w:cs="Times New Roman"/>
                <w:color w:val="auto"/>
                <w:sz w:val="28"/>
                <w:szCs w:val="28"/>
                <w:highlight w:val="none"/>
                <w:lang w:val="en-US" w:eastAsia="zh-CN" w:bidi="ar-SA"/>
              </w:rPr>
            </w:pPr>
            <w:r>
              <w:rPr>
                <w:rFonts w:hint="default" w:ascii="Times New Roman" w:hAnsi="Times New Roman" w:eastAsia="仿宋" w:cs="Times New Roman"/>
                <w:i w:val="0"/>
                <w:iCs w:val="0"/>
                <w:color w:val="auto"/>
                <w:kern w:val="0"/>
                <w:sz w:val="28"/>
                <w:szCs w:val="28"/>
                <w:highlight w:val="none"/>
                <w:u w:val="none"/>
                <w:lang w:val="en-US" w:eastAsia="zh-CN" w:bidi="ar"/>
              </w:rPr>
              <w:t>不锈钢3/4”BA管</w:t>
            </w:r>
          </w:p>
        </w:tc>
        <w:tc>
          <w:tcPr>
            <w:tcW w:w="3517" w:type="pct"/>
            <w:tcBorders>
              <w:top w:val="single" w:color="auto" w:sz="4" w:space="0"/>
              <w:bottom w:val="single" w:color="auto" w:sz="4" w:space="0"/>
            </w:tcBorders>
            <w:shd w:val="clear" w:color="auto" w:fill="auto"/>
            <w:vAlign w:val="center"/>
          </w:tcPr>
          <w:p w14:paraId="7D715DC9">
            <w:pPr>
              <w:keepNext w:val="0"/>
              <w:keepLines w:val="0"/>
              <w:pageBreakBefore w:val="0"/>
              <w:widowControl/>
              <w:suppressLineNumbers w:val="0"/>
              <w:kinsoku/>
              <w:wordWrap/>
              <w:overflowPunct/>
              <w:topLinePunct w:val="0"/>
              <w:autoSpaceDE w:val="0"/>
              <w:autoSpaceDN w:val="0"/>
              <w:bidi w:val="0"/>
              <w:adjustRightInd/>
              <w:snapToGrid/>
              <w:jc w:val="left"/>
              <w:textAlignment w:val="center"/>
              <w:rPr>
                <w:rFonts w:hint="default" w:ascii="Times New Roman" w:hAnsi="Times New Roman" w:eastAsia="仿宋" w:cs="Times New Roman"/>
                <w:i w:val="0"/>
                <w:iCs w:val="0"/>
                <w:color w:val="auto"/>
                <w:kern w:val="0"/>
                <w:sz w:val="28"/>
                <w:szCs w:val="28"/>
                <w:highlight w:val="none"/>
                <w:u w:val="none"/>
                <w:lang w:val="en-US" w:eastAsia="zh-CN" w:bidi="ar"/>
              </w:rPr>
            </w:pPr>
            <w:r>
              <w:rPr>
                <w:rFonts w:hint="default" w:ascii="Times New Roman" w:hAnsi="Times New Roman" w:eastAsia="仿宋" w:cs="Times New Roman"/>
                <w:i w:val="0"/>
                <w:iCs w:val="0"/>
                <w:color w:val="auto"/>
                <w:kern w:val="0"/>
                <w:sz w:val="28"/>
                <w:szCs w:val="28"/>
                <w:highlight w:val="none"/>
                <w:u w:val="none"/>
                <w:lang w:val="en-US" w:eastAsia="zh-CN" w:bidi="ar"/>
              </w:rPr>
              <w:t>规格：3/4”；材质：不锈钢 SS 304；外径：≥19.05mm；壁厚：≥1.65mm</w:t>
            </w:r>
            <w:r>
              <w:rPr>
                <w:rFonts w:hint="eastAsia" w:ascii="Times New Roman" w:hAnsi="Times New Roman" w:cs="Times New Roman"/>
                <w:i w:val="0"/>
                <w:iCs w:val="0"/>
                <w:color w:val="auto"/>
                <w:kern w:val="0"/>
                <w:sz w:val="28"/>
                <w:szCs w:val="28"/>
                <w:highlight w:val="none"/>
                <w:u w:val="none"/>
                <w:lang w:val="en-US" w:eastAsia="zh-CN" w:bidi="ar"/>
              </w:rPr>
              <w:t>。</w:t>
            </w:r>
          </w:p>
        </w:tc>
        <w:tc>
          <w:tcPr>
            <w:tcW w:w="414" w:type="pct"/>
            <w:tcBorders>
              <w:top w:val="single" w:color="auto" w:sz="4" w:space="0"/>
              <w:bottom w:val="single" w:color="auto" w:sz="4" w:space="0"/>
            </w:tcBorders>
            <w:vAlign w:val="center"/>
          </w:tcPr>
          <w:p w14:paraId="2C534D86">
            <w:pPr>
              <w:keepNext w:val="0"/>
              <w:keepLines w:val="0"/>
              <w:widowControl/>
              <w:suppressLineNumbers w:val="0"/>
              <w:jc w:val="center"/>
              <w:textAlignment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i w:val="0"/>
                <w:iCs w:val="0"/>
                <w:color w:val="auto"/>
                <w:kern w:val="0"/>
                <w:sz w:val="20"/>
                <w:szCs w:val="20"/>
                <w:highlight w:val="none"/>
                <w:u w:val="none"/>
                <w:lang w:val="en-US" w:eastAsia="zh-CN" w:bidi="ar"/>
              </w:rPr>
              <w:t>260</w:t>
            </w:r>
            <w:r>
              <w:rPr>
                <w:rStyle w:val="27"/>
                <w:rFonts w:hint="default" w:ascii="Times New Roman" w:hAnsi="Times New Roman" w:eastAsia="仿宋" w:cs="Times New Roman"/>
                <w:color w:val="auto"/>
                <w:highlight w:val="none"/>
                <w:lang w:val="en-US" w:eastAsia="zh-CN" w:bidi="ar"/>
              </w:rPr>
              <w:t>米</w:t>
            </w:r>
          </w:p>
        </w:tc>
      </w:tr>
      <w:tr w14:paraId="2725A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345" w:type="pct"/>
            <w:tcBorders>
              <w:top w:val="single" w:color="auto" w:sz="4" w:space="0"/>
              <w:bottom w:val="single" w:color="auto" w:sz="4" w:space="0"/>
            </w:tcBorders>
            <w:shd w:val="clear" w:color="auto" w:fill="auto"/>
            <w:vAlign w:val="center"/>
          </w:tcPr>
          <w:p w14:paraId="077BF599">
            <w:pPr>
              <w:keepNext w:val="0"/>
              <w:keepLines w:val="0"/>
              <w:pageBreakBefore w:val="0"/>
              <w:widowControl/>
              <w:suppressLineNumbers w:val="0"/>
              <w:kinsoku/>
              <w:wordWrap/>
              <w:overflowPunct/>
              <w:topLinePunct w:val="0"/>
              <w:autoSpaceDE w:val="0"/>
              <w:autoSpaceDN w:val="0"/>
              <w:bidi w:val="0"/>
              <w:adjustRightInd/>
              <w:snapToGrid/>
              <w:jc w:val="left"/>
              <w:textAlignment w:val="bottom"/>
              <w:rPr>
                <w:rFonts w:hint="default" w:ascii="Times New Roman" w:hAnsi="Times New Roman" w:eastAsia="仿宋" w:cs="Times New Roman"/>
                <w:color w:val="auto"/>
                <w:sz w:val="28"/>
                <w:szCs w:val="28"/>
                <w:highlight w:val="none"/>
                <w:lang w:val="en-US" w:eastAsia="zh-CN" w:bidi="ar-SA"/>
              </w:rPr>
            </w:pPr>
            <w:r>
              <w:rPr>
                <w:rFonts w:hint="default" w:ascii="Times New Roman" w:hAnsi="Times New Roman" w:eastAsia="仿宋" w:cs="Times New Roman"/>
                <w:i w:val="0"/>
                <w:iCs w:val="0"/>
                <w:color w:val="auto"/>
                <w:kern w:val="0"/>
                <w:sz w:val="28"/>
                <w:szCs w:val="28"/>
                <w:highlight w:val="none"/>
                <w:u w:val="none"/>
                <w:lang w:val="en-US" w:eastAsia="zh-CN" w:bidi="ar"/>
              </w:rPr>
              <w:t>24</w:t>
            </w:r>
          </w:p>
        </w:tc>
        <w:tc>
          <w:tcPr>
            <w:tcW w:w="722" w:type="pct"/>
            <w:tcBorders>
              <w:top w:val="single" w:color="auto" w:sz="4" w:space="0"/>
              <w:bottom w:val="single" w:color="auto" w:sz="4" w:space="0"/>
            </w:tcBorders>
            <w:shd w:val="clear" w:color="auto" w:fill="auto"/>
            <w:vAlign w:val="center"/>
          </w:tcPr>
          <w:p w14:paraId="53FABA5A">
            <w:pPr>
              <w:keepNext w:val="0"/>
              <w:keepLines w:val="0"/>
              <w:pageBreakBefore w:val="0"/>
              <w:widowControl/>
              <w:suppressLineNumbers w:val="0"/>
              <w:kinsoku/>
              <w:wordWrap/>
              <w:overflowPunct/>
              <w:topLinePunct w:val="0"/>
              <w:autoSpaceDE w:val="0"/>
              <w:autoSpaceDN w:val="0"/>
              <w:bidi w:val="0"/>
              <w:adjustRightInd/>
              <w:snapToGrid/>
              <w:jc w:val="center"/>
              <w:textAlignment w:val="center"/>
              <w:rPr>
                <w:rFonts w:hint="default" w:ascii="Times New Roman" w:hAnsi="Times New Roman" w:eastAsia="仿宋" w:cs="Times New Roman"/>
                <w:color w:val="auto"/>
                <w:sz w:val="28"/>
                <w:szCs w:val="28"/>
                <w:highlight w:val="none"/>
                <w:lang w:val="en-US" w:eastAsia="zh-CN" w:bidi="ar-SA"/>
              </w:rPr>
            </w:pPr>
            <w:r>
              <w:rPr>
                <w:rFonts w:hint="default" w:ascii="Times New Roman" w:hAnsi="Times New Roman" w:eastAsia="仿宋" w:cs="Times New Roman"/>
                <w:i w:val="0"/>
                <w:iCs w:val="0"/>
                <w:color w:val="auto"/>
                <w:kern w:val="0"/>
                <w:sz w:val="28"/>
                <w:szCs w:val="28"/>
                <w:highlight w:val="none"/>
                <w:u w:val="none"/>
                <w:lang w:val="en-US" w:eastAsia="zh-CN" w:bidi="ar"/>
              </w:rPr>
              <w:t>不锈钢1/4”BA管</w:t>
            </w:r>
          </w:p>
        </w:tc>
        <w:tc>
          <w:tcPr>
            <w:tcW w:w="3517" w:type="pct"/>
            <w:tcBorders>
              <w:top w:val="single" w:color="auto" w:sz="4" w:space="0"/>
              <w:bottom w:val="single" w:color="auto" w:sz="4" w:space="0"/>
            </w:tcBorders>
            <w:shd w:val="clear" w:color="auto" w:fill="auto"/>
            <w:vAlign w:val="center"/>
          </w:tcPr>
          <w:p w14:paraId="37697339">
            <w:pPr>
              <w:keepNext w:val="0"/>
              <w:keepLines w:val="0"/>
              <w:pageBreakBefore w:val="0"/>
              <w:widowControl/>
              <w:suppressLineNumbers w:val="0"/>
              <w:kinsoku/>
              <w:wordWrap/>
              <w:overflowPunct/>
              <w:topLinePunct w:val="0"/>
              <w:autoSpaceDE w:val="0"/>
              <w:autoSpaceDN w:val="0"/>
              <w:bidi w:val="0"/>
              <w:adjustRightInd/>
              <w:snapToGrid/>
              <w:jc w:val="left"/>
              <w:textAlignment w:val="center"/>
              <w:rPr>
                <w:rFonts w:hint="default" w:ascii="Times New Roman" w:hAnsi="Times New Roman" w:eastAsia="仿宋" w:cs="Times New Roman"/>
                <w:i w:val="0"/>
                <w:iCs w:val="0"/>
                <w:color w:val="auto"/>
                <w:kern w:val="0"/>
                <w:sz w:val="28"/>
                <w:szCs w:val="28"/>
                <w:highlight w:val="none"/>
                <w:u w:val="none"/>
                <w:lang w:val="en-US" w:eastAsia="zh-CN" w:bidi="ar"/>
              </w:rPr>
            </w:pPr>
            <w:r>
              <w:rPr>
                <w:rFonts w:hint="default" w:ascii="Times New Roman" w:hAnsi="Times New Roman" w:eastAsia="仿宋" w:cs="Times New Roman"/>
                <w:i w:val="0"/>
                <w:iCs w:val="0"/>
                <w:color w:val="auto"/>
                <w:kern w:val="0"/>
                <w:sz w:val="28"/>
                <w:szCs w:val="28"/>
                <w:highlight w:val="none"/>
                <w:u w:val="none"/>
                <w:lang w:val="en-US" w:eastAsia="zh-CN" w:bidi="ar"/>
              </w:rPr>
              <w:t>规格：1/4”；材质：不锈钢 SS 316L，BA（Bright Annealing) 级（光亮退火）；外径：≥6.35mm；壁厚：≥0.89mm</w:t>
            </w:r>
            <w:r>
              <w:rPr>
                <w:rFonts w:hint="eastAsia" w:ascii="Times New Roman" w:hAnsi="Times New Roman" w:cs="Times New Roman"/>
                <w:i w:val="0"/>
                <w:iCs w:val="0"/>
                <w:color w:val="auto"/>
                <w:kern w:val="0"/>
                <w:sz w:val="28"/>
                <w:szCs w:val="28"/>
                <w:highlight w:val="none"/>
                <w:u w:val="none"/>
                <w:lang w:val="en-US" w:eastAsia="zh-CN" w:bidi="ar"/>
              </w:rPr>
              <w:t>。</w:t>
            </w:r>
          </w:p>
        </w:tc>
        <w:tc>
          <w:tcPr>
            <w:tcW w:w="414" w:type="pct"/>
            <w:tcBorders>
              <w:top w:val="single" w:color="auto" w:sz="4" w:space="0"/>
              <w:bottom w:val="single" w:color="auto" w:sz="4" w:space="0"/>
            </w:tcBorders>
            <w:vAlign w:val="center"/>
          </w:tcPr>
          <w:p w14:paraId="0B8CDDAC">
            <w:pPr>
              <w:keepNext w:val="0"/>
              <w:keepLines w:val="0"/>
              <w:widowControl/>
              <w:suppressLineNumbers w:val="0"/>
              <w:jc w:val="center"/>
              <w:textAlignment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i w:val="0"/>
                <w:iCs w:val="0"/>
                <w:color w:val="auto"/>
                <w:kern w:val="0"/>
                <w:sz w:val="20"/>
                <w:szCs w:val="20"/>
                <w:highlight w:val="none"/>
                <w:u w:val="none"/>
                <w:lang w:val="en-US" w:eastAsia="zh-CN" w:bidi="ar"/>
              </w:rPr>
              <w:t>1875</w:t>
            </w:r>
            <w:r>
              <w:rPr>
                <w:rStyle w:val="27"/>
                <w:rFonts w:hint="default" w:ascii="Times New Roman" w:hAnsi="Times New Roman" w:eastAsia="仿宋" w:cs="Times New Roman"/>
                <w:color w:val="auto"/>
                <w:highlight w:val="none"/>
                <w:lang w:val="en-US" w:eastAsia="zh-CN" w:bidi="ar"/>
              </w:rPr>
              <w:t>米</w:t>
            </w:r>
          </w:p>
        </w:tc>
      </w:tr>
      <w:tr w14:paraId="2BB37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345" w:type="pct"/>
            <w:tcBorders>
              <w:top w:val="single" w:color="auto" w:sz="4" w:space="0"/>
              <w:bottom w:val="single" w:color="auto" w:sz="4" w:space="0"/>
            </w:tcBorders>
            <w:shd w:val="clear" w:color="auto" w:fill="auto"/>
            <w:vAlign w:val="center"/>
          </w:tcPr>
          <w:p w14:paraId="3360A06D">
            <w:pPr>
              <w:keepNext w:val="0"/>
              <w:keepLines w:val="0"/>
              <w:pageBreakBefore w:val="0"/>
              <w:widowControl/>
              <w:suppressLineNumbers w:val="0"/>
              <w:kinsoku/>
              <w:wordWrap/>
              <w:overflowPunct/>
              <w:topLinePunct w:val="0"/>
              <w:autoSpaceDE w:val="0"/>
              <w:autoSpaceDN w:val="0"/>
              <w:bidi w:val="0"/>
              <w:adjustRightInd/>
              <w:snapToGrid/>
              <w:jc w:val="left"/>
              <w:textAlignment w:val="bottom"/>
              <w:rPr>
                <w:rFonts w:hint="default" w:ascii="Times New Roman" w:hAnsi="Times New Roman" w:eastAsia="仿宋" w:cs="Times New Roman"/>
                <w:color w:val="auto"/>
                <w:sz w:val="28"/>
                <w:szCs w:val="28"/>
                <w:highlight w:val="none"/>
                <w:lang w:val="en-US" w:eastAsia="zh-CN" w:bidi="ar-SA"/>
              </w:rPr>
            </w:pPr>
            <w:r>
              <w:rPr>
                <w:rFonts w:hint="default" w:ascii="Times New Roman" w:hAnsi="Times New Roman" w:eastAsia="仿宋" w:cs="Times New Roman"/>
                <w:i w:val="0"/>
                <w:iCs w:val="0"/>
                <w:color w:val="auto"/>
                <w:kern w:val="0"/>
                <w:sz w:val="28"/>
                <w:szCs w:val="28"/>
                <w:highlight w:val="none"/>
                <w:u w:val="none"/>
                <w:lang w:val="en-US" w:eastAsia="zh-CN" w:bidi="ar"/>
              </w:rPr>
              <w:t>25</w:t>
            </w:r>
          </w:p>
        </w:tc>
        <w:tc>
          <w:tcPr>
            <w:tcW w:w="722" w:type="pct"/>
            <w:tcBorders>
              <w:top w:val="single" w:color="auto" w:sz="4" w:space="0"/>
              <w:bottom w:val="single" w:color="auto" w:sz="4" w:space="0"/>
            </w:tcBorders>
            <w:shd w:val="clear" w:color="auto" w:fill="auto"/>
            <w:vAlign w:val="center"/>
          </w:tcPr>
          <w:p w14:paraId="0D88B9C3">
            <w:pPr>
              <w:keepNext w:val="0"/>
              <w:keepLines w:val="0"/>
              <w:pageBreakBefore w:val="0"/>
              <w:widowControl/>
              <w:suppressLineNumbers w:val="0"/>
              <w:kinsoku/>
              <w:wordWrap/>
              <w:overflowPunct/>
              <w:topLinePunct w:val="0"/>
              <w:autoSpaceDE w:val="0"/>
              <w:autoSpaceDN w:val="0"/>
              <w:bidi w:val="0"/>
              <w:adjustRightInd/>
              <w:snapToGrid/>
              <w:jc w:val="center"/>
              <w:textAlignment w:val="center"/>
              <w:rPr>
                <w:rFonts w:hint="default" w:ascii="Times New Roman" w:hAnsi="Times New Roman" w:eastAsia="仿宋" w:cs="Times New Roman"/>
                <w:color w:val="auto"/>
                <w:sz w:val="28"/>
                <w:szCs w:val="28"/>
                <w:highlight w:val="none"/>
                <w:lang w:val="en-US" w:eastAsia="zh-CN" w:bidi="ar-SA"/>
              </w:rPr>
            </w:pPr>
            <w:r>
              <w:rPr>
                <w:rFonts w:hint="default" w:ascii="Times New Roman" w:hAnsi="Times New Roman" w:eastAsia="仿宋" w:cs="Times New Roman"/>
                <w:i w:val="0"/>
                <w:iCs w:val="0"/>
                <w:color w:val="auto"/>
                <w:kern w:val="0"/>
                <w:sz w:val="28"/>
                <w:szCs w:val="28"/>
                <w:highlight w:val="none"/>
                <w:u w:val="none"/>
                <w:lang w:val="en-US" w:eastAsia="zh-CN" w:bidi="ar"/>
              </w:rPr>
              <w:t>不锈钢1/2”BA管</w:t>
            </w:r>
          </w:p>
        </w:tc>
        <w:tc>
          <w:tcPr>
            <w:tcW w:w="3517" w:type="pct"/>
            <w:tcBorders>
              <w:top w:val="single" w:color="auto" w:sz="4" w:space="0"/>
              <w:bottom w:val="single" w:color="auto" w:sz="4" w:space="0"/>
            </w:tcBorders>
            <w:shd w:val="clear" w:color="auto" w:fill="auto"/>
            <w:vAlign w:val="center"/>
          </w:tcPr>
          <w:p w14:paraId="1DE92CB2">
            <w:pPr>
              <w:keepNext w:val="0"/>
              <w:keepLines w:val="0"/>
              <w:pageBreakBefore w:val="0"/>
              <w:widowControl/>
              <w:suppressLineNumbers w:val="0"/>
              <w:kinsoku/>
              <w:wordWrap/>
              <w:overflowPunct/>
              <w:topLinePunct w:val="0"/>
              <w:autoSpaceDE w:val="0"/>
              <w:autoSpaceDN w:val="0"/>
              <w:bidi w:val="0"/>
              <w:adjustRightInd/>
              <w:snapToGrid/>
              <w:jc w:val="left"/>
              <w:textAlignment w:val="center"/>
              <w:rPr>
                <w:rFonts w:hint="default" w:ascii="Times New Roman" w:hAnsi="Times New Roman" w:eastAsia="仿宋" w:cs="Times New Roman"/>
                <w:i w:val="0"/>
                <w:iCs w:val="0"/>
                <w:color w:val="auto"/>
                <w:kern w:val="0"/>
                <w:sz w:val="28"/>
                <w:szCs w:val="28"/>
                <w:highlight w:val="none"/>
                <w:u w:val="none"/>
                <w:lang w:val="en-US" w:eastAsia="zh-CN" w:bidi="ar"/>
              </w:rPr>
            </w:pPr>
            <w:r>
              <w:rPr>
                <w:rFonts w:hint="default" w:ascii="Times New Roman" w:hAnsi="Times New Roman" w:eastAsia="仿宋" w:cs="Times New Roman"/>
                <w:i w:val="0"/>
                <w:iCs w:val="0"/>
                <w:color w:val="auto"/>
                <w:kern w:val="0"/>
                <w:sz w:val="28"/>
                <w:szCs w:val="28"/>
                <w:highlight w:val="none"/>
                <w:u w:val="none"/>
                <w:lang w:val="en-US" w:eastAsia="zh-CN" w:bidi="ar"/>
              </w:rPr>
              <w:t>1、规格：1/2”；材质：不锈钢 SS 316L，BA 级（光亮退火）；外径：≥12.7mm；壁厚：≥1mm。</w:t>
            </w:r>
          </w:p>
          <w:p w14:paraId="2211C341">
            <w:pPr>
              <w:keepNext w:val="0"/>
              <w:keepLines w:val="0"/>
              <w:pageBreakBefore w:val="0"/>
              <w:widowControl/>
              <w:suppressLineNumbers w:val="0"/>
              <w:kinsoku/>
              <w:wordWrap/>
              <w:overflowPunct/>
              <w:topLinePunct w:val="0"/>
              <w:autoSpaceDE w:val="0"/>
              <w:autoSpaceDN w:val="0"/>
              <w:bidi w:val="0"/>
              <w:adjustRightInd/>
              <w:snapToGrid/>
              <w:jc w:val="left"/>
              <w:textAlignment w:val="center"/>
              <w:rPr>
                <w:rFonts w:hint="default" w:ascii="Times New Roman" w:hAnsi="Times New Roman" w:eastAsia="仿宋" w:cs="Times New Roman"/>
                <w:b w:val="0"/>
                <w:bCs w:val="0"/>
                <w:i w:val="0"/>
                <w:iCs w:val="0"/>
                <w:color w:val="auto"/>
                <w:kern w:val="0"/>
                <w:sz w:val="28"/>
                <w:szCs w:val="28"/>
                <w:highlight w:val="none"/>
                <w:u w:val="none"/>
                <w:lang w:val="en-US" w:eastAsia="zh-CN" w:bidi="ar"/>
              </w:rPr>
            </w:pPr>
            <w:r>
              <w:rPr>
                <w:rFonts w:hint="default" w:ascii="Times New Roman" w:hAnsi="Times New Roman" w:eastAsia="仿宋" w:cs="Times New Roman"/>
                <w:b w:val="0"/>
                <w:bCs w:val="0"/>
                <w:i w:val="0"/>
                <w:iCs w:val="0"/>
                <w:color w:val="auto"/>
                <w:kern w:val="0"/>
                <w:sz w:val="28"/>
                <w:szCs w:val="28"/>
                <w:highlight w:val="none"/>
                <w:u w:val="none"/>
                <w:lang w:val="en-US" w:eastAsia="zh-CN" w:bidi="ar"/>
              </w:rPr>
              <w:t>2、▲不锈钢管道内壁粗糙度采用触针法检测，依据GB/T6062‑2009、GB/T10610‑2009，内壁粗糙度 Ra≤0.5μm；提供带 CMA 标志报告。</w:t>
            </w:r>
          </w:p>
          <w:p w14:paraId="4638E0CD">
            <w:pPr>
              <w:keepNext w:val="0"/>
              <w:keepLines w:val="0"/>
              <w:pageBreakBefore w:val="0"/>
              <w:widowControl/>
              <w:suppressLineNumbers w:val="0"/>
              <w:kinsoku/>
              <w:wordWrap/>
              <w:overflowPunct/>
              <w:topLinePunct w:val="0"/>
              <w:autoSpaceDE w:val="0"/>
              <w:autoSpaceDN w:val="0"/>
              <w:bidi w:val="0"/>
              <w:adjustRightInd/>
              <w:snapToGrid/>
              <w:jc w:val="left"/>
              <w:textAlignment w:val="center"/>
              <w:rPr>
                <w:rFonts w:hint="default" w:ascii="Times New Roman" w:hAnsi="Times New Roman" w:eastAsia="仿宋" w:cs="Times New Roman"/>
                <w:i w:val="0"/>
                <w:iCs w:val="0"/>
                <w:color w:val="auto"/>
                <w:kern w:val="0"/>
                <w:sz w:val="28"/>
                <w:szCs w:val="28"/>
                <w:highlight w:val="none"/>
                <w:u w:val="none"/>
                <w:lang w:val="en-US" w:eastAsia="zh-CN" w:bidi="ar"/>
              </w:rPr>
            </w:pPr>
            <w:r>
              <w:rPr>
                <w:rFonts w:hint="default" w:ascii="Times New Roman" w:hAnsi="Times New Roman" w:eastAsia="仿宋" w:cs="Times New Roman"/>
                <w:b/>
                <w:bCs/>
                <w:i w:val="0"/>
                <w:iCs w:val="0"/>
                <w:color w:val="auto"/>
                <w:kern w:val="0"/>
                <w:sz w:val="28"/>
                <w:szCs w:val="28"/>
                <w:highlight w:val="none"/>
                <w:u w:val="none"/>
                <w:lang w:val="en-US" w:eastAsia="zh-CN" w:bidi="ar"/>
              </w:rPr>
              <w:t>备注：检测报告不限规格，上述1/2”、3/4”、1/4”任意一种不锈钢SS 316LBA管均可。</w:t>
            </w:r>
          </w:p>
        </w:tc>
        <w:tc>
          <w:tcPr>
            <w:tcW w:w="414" w:type="pct"/>
            <w:tcBorders>
              <w:top w:val="single" w:color="auto" w:sz="4" w:space="0"/>
              <w:bottom w:val="single" w:color="auto" w:sz="4" w:space="0"/>
            </w:tcBorders>
            <w:vAlign w:val="center"/>
          </w:tcPr>
          <w:p w14:paraId="251BE09D">
            <w:pPr>
              <w:keepNext w:val="0"/>
              <w:keepLines w:val="0"/>
              <w:widowControl/>
              <w:suppressLineNumbers w:val="0"/>
              <w:jc w:val="center"/>
              <w:textAlignment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i w:val="0"/>
                <w:iCs w:val="0"/>
                <w:color w:val="auto"/>
                <w:kern w:val="0"/>
                <w:sz w:val="20"/>
                <w:szCs w:val="20"/>
                <w:highlight w:val="none"/>
                <w:u w:val="none"/>
                <w:lang w:val="en-US" w:eastAsia="zh-CN" w:bidi="ar"/>
              </w:rPr>
              <w:t>1580</w:t>
            </w:r>
            <w:r>
              <w:rPr>
                <w:rStyle w:val="27"/>
                <w:rFonts w:hint="default" w:ascii="Times New Roman" w:hAnsi="Times New Roman" w:eastAsia="仿宋" w:cs="Times New Roman"/>
                <w:color w:val="auto"/>
                <w:highlight w:val="none"/>
                <w:lang w:val="en-US" w:eastAsia="zh-CN" w:bidi="ar"/>
              </w:rPr>
              <w:t>米</w:t>
            </w:r>
          </w:p>
        </w:tc>
      </w:tr>
      <w:tr w14:paraId="709E1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345" w:type="pct"/>
            <w:tcBorders>
              <w:top w:val="single" w:color="auto" w:sz="4" w:space="0"/>
              <w:bottom w:val="single" w:color="auto" w:sz="4" w:space="0"/>
            </w:tcBorders>
            <w:shd w:val="clear" w:color="auto" w:fill="auto"/>
            <w:vAlign w:val="center"/>
          </w:tcPr>
          <w:p w14:paraId="0F648C4E">
            <w:pPr>
              <w:keepNext w:val="0"/>
              <w:keepLines w:val="0"/>
              <w:pageBreakBefore w:val="0"/>
              <w:widowControl/>
              <w:suppressLineNumbers w:val="0"/>
              <w:kinsoku/>
              <w:wordWrap/>
              <w:overflowPunct/>
              <w:topLinePunct w:val="0"/>
              <w:autoSpaceDE w:val="0"/>
              <w:autoSpaceDN w:val="0"/>
              <w:bidi w:val="0"/>
              <w:adjustRightInd/>
              <w:snapToGrid/>
              <w:jc w:val="left"/>
              <w:textAlignment w:val="bottom"/>
              <w:rPr>
                <w:rFonts w:hint="default" w:ascii="Times New Roman" w:hAnsi="Times New Roman" w:eastAsia="仿宋" w:cs="Times New Roman"/>
                <w:color w:val="auto"/>
                <w:sz w:val="28"/>
                <w:szCs w:val="28"/>
                <w:highlight w:val="none"/>
                <w:lang w:val="en-US" w:eastAsia="zh-CN" w:bidi="ar-SA"/>
              </w:rPr>
            </w:pPr>
            <w:r>
              <w:rPr>
                <w:rFonts w:hint="default" w:ascii="Times New Roman" w:hAnsi="Times New Roman" w:eastAsia="仿宋" w:cs="Times New Roman"/>
                <w:i w:val="0"/>
                <w:iCs w:val="0"/>
                <w:color w:val="auto"/>
                <w:kern w:val="0"/>
                <w:sz w:val="28"/>
                <w:szCs w:val="28"/>
                <w:highlight w:val="none"/>
                <w:u w:val="none"/>
                <w:lang w:val="en-US" w:eastAsia="zh-CN" w:bidi="ar"/>
              </w:rPr>
              <w:t>26</w:t>
            </w:r>
          </w:p>
        </w:tc>
        <w:tc>
          <w:tcPr>
            <w:tcW w:w="722" w:type="pct"/>
            <w:tcBorders>
              <w:top w:val="single" w:color="auto" w:sz="4" w:space="0"/>
              <w:bottom w:val="single" w:color="auto" w:sz="4" w:space="0"/>
            </w:tcBorders>
            <w:shd w:val="clear" w:color="auto" w:fill="auto"/>
            <w:vAlign w:val="center"/>
          </w:tcPr>
          <w:p w14:paraId="3EA258B7">
            <w:pPr>
              <w:keepNext w:val="0"/>
              <w:keepLines w:val="0"/>
              <w:pageBreakBefore w:val="0"/>
              <w:widowControl/>
              <w:suppressLineNumbers w:val="0"/>
              <w:kinsoku/>
              <w:wordWrap/>
              <w:overflowPunct/>
              <w:topLinePunct w:val="0"/>
              <w:autoSpaceDE w:val="0"/>
              <w:autoSpaceDN w:val="0"/>
              <w:bidi w:val="0"/>
              <w:adjustRightInd/>
              <w:snapToGrid/>
              <w:jc w:val="center"/>
              <w:textAlignment w:val="center"/>
              <w:rPr>
                <w:rFonts w:hint="default" w:ascii="Times New Roman" w:hAnsi="Times New Roman" w:eastAsia="仿宋" w:cs="Times New Roman"/>
                <w:color w:val="auto"/>
                <w:sz w:val="28"/>
                <w:szCs w:val="28"/>
                <w:highlight w:val="none"/>
                <w:lang w:val="en-US" w:eastAsia="zh-CN" w:bidi="ar-SA"/>
              </w:rPr>
            </w:pPr>
            <w:r>
              <w:rPr>
                <w:rFonts w:hint="default" w:ascii="Times New Roman" w:hAnsi="Times New Roman" w:eastAsia="仿宋" w:cs="Times New Roman"/>
                <w:i w:val="0"/>
                <w:iCs w:val="0"/>
                <w:color w:val="auto"/>
                <w:kern w:val="0"/>
                <w:sz w:val="28"/>
                <w:szCs w:val="28"/>
                <w:highlight w:val="none"/>
                <w:u w:val="none"/>
                <w:lang w:val="en-US" w:eastAsia="zh-CN" w:bidi="ar"/>
              </w:rPr>
              <w:t>1/2”TEE焊接三通</w:t>
            </w:r>
          </w:p>
        </w:tc>
        <w:tc>
          <w:tcPr>
            <w:tcW w:w="3517" w:type="pct"/>
            <w:tcBorders>
              <w:top w:val="single" w:color="auto" w:sz="4" w:space="0"/>
              <w:bottom w:val="single" w:color="auto" w:sz="4" w:space="0"/>
            </w:tcBorders>
            <w:shd w:val="clear" w:color="auto" w:fill="auto"/>
            <w:vAlign w:val="center"/>
          </w:tcPr>
          <w:p w14:paraId="0CCBB6D5">
            <w:pPr>
              <w:keepNext w:val="0"/>
              <w:keepLines w:val="0"/>
              <w:pageBreakBefore w:val="0"/>
              <w:widowControl/>
              <w:suppressLineNumbers w:val="0"/>
              <w:kinsoku/>
              <w:wordWrap/>
              <w:overflowPunct/>
              <w:topLinePunct w:val="0"/>
              <w:autoSpaceDE w:val="0"/>
              <w:autoSpaceDN w:val="0"/>
              <w:bidi w:val="0"/>
              <w:adjustRightInd/>
              <w:snapToGrid/>
              <w:jc w:val="left"/>
              <w:textAlignment w:val="center"/>
              <w:rPr>
                <w:rFonts w:hint="default" w:ascii="Times New Roman" w:hAnsi="Times New Roman" w:eastAsia="仿宋" w:cs="Times New Roman"/>
                <w:i w:val="0"/>
                <w:iCs w:val="0"/>
                <w:color w:val="auto"/>
                <w:kern w:val="0"/>
                <w:sz w:val="28"/>
                <w:szCs w:val="28"/>
                <w:highlight w:val="none"/>
                <w:u w:val="none"/>
                <w:lang w:val="en-US" w:eastAsia="zh-CN" w:bidi="ar"/>
              </w:rPr>
            </w:pPr>
            <w:r>
              <w:rPr>
                <w:rFonts w:hint="default" w:ascii="Times New Roman" w:hAnsi="Times New Roman" w:eastAsia="仿宋" w:cs="Times New Roman"/>
                <w:i w:val="0"/>
                <w:iCs w:val="0"/>
                <w:color w:val="auto"/>
                <w:kern w:val="0"/>
                <w:sz w:val="28"/>
                <w:szCs w:val="28"/>
                <w:highlight w:val="none"/>
                <w:u w:val="none"/>
                <w:lang w:val="en-US" w:eastAsia="zh-CN" w:bidi="ar"/>
              </w:rPr>
              <w:t>316L</w:t>
            </w:r>
          </w:p>
        </w:tc>
        <w:tc>
          <w:tcPr>
            <w:tcW w:w="414" w:type="pct"/>
            <w:tcBorders>
              <w:top w:val="single" w:color="auto" w:sz="4" w:space="0"/>
              <w:bottom w:val="single" w:color="auto" w:sz="4" w:space="0"/>
            </w:tcBorders>
            <w:vAlign w:val="center"/>
          </w:tcPr>
          <w:p w14:paraId="2BD7030D">
            <w:pPr>
              <w:keepNext w:val="0"/>
              <w:keepLines w:val="0"/>
              <w:widowControl/>
              <w:suppressLineNumbers w:val="0"/>
              <w:jc w:val="center"/>
              <w:textAlignment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i w:val="0"/>
                <w:iCs w:val="0"/>
                <w:color w:val="auto"/>
                <w:kern w:val="0"/>
                <w:sz w:val="20"/>
                <w:szCs w:val="20"/>
                <w:highlight w:val="none"/>
                <w:u w:val="none"/>
                <w:lang w:val="en-US" w:eastAsia="zh-CN" w:bidi="ar"/>
              </w:rPr>
              <w:t>7</w:t>
            </w:r>
            <w:r>
              <w:rPr>
                <w:rStyle w:val="27"/>
                <w:rFonts w:hint="default" w:ascii="Times New Roman" w:hAnsi="Times New Roman" w:eastAsia="仿宋" w:cs="Times New Roman"/>
                <w:color w:val="auto"/>
                <w:highlight w:val="none"/>
                <w:lang w:val="en-US" w:eastAsia="zh-CN" w:bidi="ar"/>
              </w:rPr>
              <w:t>个</w:t>
            </w:r>
          </w:p>
        </w:tc>
      </w:tr>
      <w:tr w14:paraId="5624D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345" w:type="pct"/>
            <w:tcBorders>
              <w:top w:val="single" w:color="auto" w:sz="4" w:space="0"/>
              <w:bottom w:val="single" w:color="auto" w:sz="4" w:space="0"/>
            </w:tcBorders>
            <w:shd w:val="clear" w:color="auto" w:fill="auto"/>
            <w:vAlign w:val="center"/>
          </w:tcPr>
          <w:p w14:paraId="253B52AD">
            <w:pPr>
              <w:keepNext w:val="0"/>
              <w:keepLines w:val="0"/>
              <w:pageBreakBefore w:val="0"/>
              <w:widowControl/>
              <w:suppressLineNumbers w:val="0"/>
              <w:kinsoku/>
              <w:wordWrap/>
              <w:overflowPunct/>
              <w:topLinePunct w:val="0"/>
              <w:autoSpaceDE w:val="0"/>
              <w:autoSpaceDN w:val="0"/>
              <w:bidi w:val="0"/>
              <w:adjustRightInd/>
              <w:snapToGrid/>
              <w:jc w:val="left"/>
              <w:textAlignment w:val="bottom"/>
              <w:rPr>
                <w:rFonts w:hint="default" w:ascii="Times New Roman" w:hAnsi="Times New Roman" w:eastAsia="仿宋" w:cs="Times New Roman"/>
                <w:color w:val="auto"/>
                <w:sz w:val="28"/>
                <w:szCs w:val="28"/>
                <w:highlight w:val="none"/>
                <w:lang w:val="en-US" w:eastAsia="zh-CN" w:bidi="ar-SA"/>
              </w:rPr>
            </w:pPr>
            <w:r>
              <w:rPr>
                <w:rFonts w:hint="default" w:ascii="Times New Roman" w:hAnsi="Times New Roman" w:eastAsia="仿宋" w:cs="Times New Roman"/>
                <w:i w:val="0"/>
                <w:iCs w:val="0"/>
                <w:color w:val="auto"/>
                <w:kern w:val="0"/>
                <w:sz w:val="28"/>
                <w:szCs w:val="28"/>
                <w:highlight w:val="none"/>
                <w:u w:val="none"/>
                <w:lang w:val="en-US" w:eastAsia="zh-CN" w:bidi="ar"/>
              </w:rPr>
              <w:t>27</w:t>
            </w:r>
          </w:p>
        </w:tc>
        <w:tc>
          <w:tcPr>
            <w:tcW w:w="722" w:type="pct"/>
            <w:tcBorders>
              <w:top w:val="single" w:color="auto" w:sz="4" w:space="0"/>
              <w:bottom w:val="single" w:color="auto" w:sz="4" w:space="0"/>
            </w:tcBorders>
            <w:shd w:val="clear" w:color="auto" w:fill="auto"/>
            <w:vAlign w:val="center"/>
          </w:tcPr>
          <w:p w14:paraId="01D20627">
            <w:pPr>
              <w:keepNext w:val="0"/>
              <w:keepLines w:val="0"/>
              <w:pageBreakBefore w:val="0"/>
              <w:widowControl/>
              <w:suppressLineNumbers w:val="0"/>
              <w:kinsoku/>
              <w:wordWrap/>
              <w:overflowPunct/>
              <w:topLinePunct w:val="0"/>
              <w:autoSpaceDE w:val="0"/>
              <w:autoSpaceDN w:val="0"/>
              <w:bidi w:val="0"/>
              <w:adjustRightInd/>
              <w:snapToGrid/>
              <w:jc w:val="center"/>
              <w:textAlignment w:val="center"/>
              <w:rPr>
                <w:rFonts w:hint="default" w:ascii="Times New Roman" w:hAnsi="Times New Roman" w:eastAsia="仿宋" w:cs="Times New Roman"/>
                <w:color w:val="auto"/>
                <w:sz w:val="28"/>
                <w:szCs w:val="28"/>
                <w:highlight w:val="none"/>
                <w:lang w:val="en-US" w:eastAsia="zh-CN" w:bidi="ar-SA"/>
              </w:rPr>
            </w:pPr>
            <w:r>
              <w:rPr>
                <w:rFonts w:hint="default" w:ascii="Times New Roman" w:hAnsi="Times New Roman" w:eastAsia="仿宋" w:cs="Times New Roman"/>
                <w:i w:val="0"/>
                <w:iCs w:val="0"/>
                <w:color w:val="auto"/>
                <w:kern w:val="0"/>
                <w:sz w:val="28"/>
                <w:szCs w:val="28"/>
                <w:highlight w:val="none"/>
                <w:u w:val="none"/>
                <w:lang w:val="en-US" w:eastAsia="zh-CN" w:bidi="ar"/>
              </w:rPr>
              <w:t>焊接变径三通</w:t>
            </w:r>
          </w:p>
        </w:tc>
        <w:tc>
          <w:tcPr>
            <w:tcW w:w="3517" w:type="pct"/>
            <w:tcBorders>
              <w:top w:val="single" w:color="auto" w:sz="4" w:space="0"/>
              <w:bottom w:val="single" w:color="auto" w:sz="4" w:space="0"/>
            </w:tcBorders>
            <w:shd w:val="clear" w:color="auto" w:fill="auto"/>
            <w:vAlign w:val="center"/>
          </w:tcPr>
          <w:p w14:paraId="49DE89B3">
            <w:pPr>
              <w:keepNext w:val="0"/>
              <w:keepLines w:val="0"/>
              <w:pageBreakBefore w:val="0"/>
              <w:widowControl/>
              <w:suppressLineNumbers w:val="0"/>
              <w:kinsoku/>
              <w:wordWrap/>
              <w:overflowPunct/>
              <w:topLinePunct w:val="0"/>
              <w:autoSpaceDE w:val="0"/>
              <w:autoSpaceDN w:val="0"/>
              <w:bidi w:val="0"/>
              <w:adjustRightInd/>
              <w:snapToGrid/>
              <w:jc w:val="left"/>
              <w:textAlignment w:val="center"/>
              <w:rPr>
                <w:rFonts w:hint="default" w:ascii="Times New Roman" w:hAnsi="Times New Roman" w:eastAsia="仿宋" w:cs="Times New Roman"/>
                <w:i w:val="0"/>
                <w:iCs w:val="0"/>
                <w:color w:val="auto"/>
                <w:kern w:val="0"/>
                <w:sz w:val="28"/>
                <w:szCs w:val="28"/>
                <w:highlight w:val="none"/>
                <w:u w:val="none"/>
                <w:lang w:val="en-US" w:eastAsia="zh-CN" w:bidi="ar"/>
              </w:rPr>
            </w:pPr>
            <w:r>
              <w:rPr>
                <w:rFonts w:hint="default" w:ascii="Times New Roman" w:hAnsi="Times New Roman" w:eastAsia="仿宋" w:cs="Times New Roman"/>
                <w:i w:val="0"/>
                <w:iCs w:val="0"/>
                <w:color w:val="auto"/>
                <w:kern w:val="0"/>
                <w:sz w:val="28"/>
                <w:szCs w:val="28"/>
                <w:highlight w:val="none"/>
                <w:u w:val="none"/>
                <w:lang w:val="en-US" w:eastAsia="zh-CN" w:bidi="ar"/>
              </w:rPr>
              <w:t>316L</w:t>
            </w:r>
          </w:p>
        </w:tc>
        <w:tc>
          <w:tcPr>
            <w:tcW w:w="414" w:type="pct"/>
            <w:tcBorders>
              <w:top w:val="single" w:color="auto" w:sz="4" w:space="0"/>
              <w:bottom w:val="single" w:color="auto" w:sz="4" w:space="0"/>
            </w:tcBorders>
            <w:vAlign w:val="center"/>
          </w:tcPr>
          <w:p w14:paraId="1BABA438">
            <w:pPr>
              <w:keepNext w:val="0"/>
              <w:keepLines w:val="0"/>
              <w:widowControl/>
              <w:suppressLineNumbers w:val="0"/>
              <w:jc w:val="center"/>
              <w:textAlignment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i w:val="0"/>
                <w:iCs w:val="0"/>
                <w:color w:val="auto"/>
                <w:kern w:val="0"/>
                <w:sz w:val="20"/>
                <w:szCs w:val="20"/>
                <w:highlight w:val="none"/>
                <w:u w:val="none"/>
                <w:lang w:val="en-US" w:eastAsia="zh-CN" w:bidi="ar"/>
              </w:rPr>
              <w:t>256</w:t>
            </w:r>
            <w:r>
              <w:rPr>
                <w:rStyle w:val="27"/>
                <w:rFonts w:hint="default" w:ascii="Times New Roman" w:hAnsi="Times New Roman" w:eastAsia="仿宋" w:cs="Times New Roman"/>
                <w:color w:val="auto"/>
                <w:highlight w:val="none"/>
                <w:lang w:val="en-US" w:eastAsia="zh-CN" w:bidi="ar"/>
              </w:rPr>
              <w:t>个</w:t>
            </w:r>
          </w:p>
        </w:tc>
      </w:tr>
      <w:tr w14:paraId="374CD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345" w:type="pct"/>
            <w:tcBorders>
              <w:top w:val="single" w:color="auto" w:sz="4" w:space="0"/>
              <w:bottom w:val="single" w:color="auto" w:sz="4" w:space="0"/>
            </w:tcBorders>
            <w:shd w:val="clear" w:color="auto" w:fill="auto"/>
            <w:vAlign w:val="center"/>
          </w:tcPr>
          <w:p w14:paraId="38A87F2D">
            <w:pPr>
              <w:keepNext w:val="0"/>
              <w:keepLines w:val="0"/>
              <w:pageBreakBefore w:val="0"/>
              <w:widowControl/>
              <w:suppressLineNumbers w:val="0"/>
              <w:kinsoku/>
              <w:wordWrap/>
              <w:overflowPunct/>
              <w:topLinePunct w:val="0"/>
              <w:autoSpaceDE w:val="0"/>
              <w:autoSpaceDN w:val="0"/>
              <w:bidi w:val="0"/>
              <w:adjustRightInd/>
              <w:snapToGrid/>
              <w:jc w:val="left"/>
              <w:textAlignment w:val="bottom"/>
              <w:rPr>
                <w:rFonts w:hint="default" w:ascii="Times New Roman" w:hAnsi="Times New Roman" w:eastAsia="仿宋" w:cs="Times New Roman"/>
                <w:color w:val="auto"/>
                <w:sz w:val="28"/>
                <w:szCs w:val="28"/>
                <w:highlight w:val="none"/>
                <w:lang w:val="en-US" w:eastAsia="zh-CN" w:bidi="ar-SA"/>
              </w:rPr>
            </w:pPr>
            <w:r>
              <w:rPr>
                <w:rFonts w:hint="default" w:ascii="Times New Roman" w:hAnsi="Times New Roman" w:eastAsia="仿宋" w:cs="Times New Roman"/>
                <w:i w:val="0"/>
                <w:iCs w:val="0"/>
                <w:color w:val="auto"/>
                <w:kern w:val="0"/>
                <w:sz w:val="28"/>
                <w:szCs w:val="28"/>
                <w:highlight w:val="none"/>
                <w:u w:val="none"/>
                <w:lang w:val="en-US" w:eastAsia="zh-CN" w:bidi="ar"/>
              </w:rPr>
              <w:t>28</w:t>
            </w:r>
          </w:p>
        </w:tc>
        <w:tc>
          <w:tcPr>
            <w:tcW w:w="722" w:type="pct"/>
            <w:tcBorders>
              <w:top w:val="single" w:color="auto" w:sz="4" w:space="0"/>
              <w:bottom w:val="single" w:color="auto" w:sz="4" w:space="0"/>
            </w:tcBorders>
            <w:shd w:val="clear" w:color="auto" w:fill="auto"/>
            <w:vAlign w:val="center"/>
          </w:tcPr>
          <w:p w14:paraId="5CA7B570">
            <w:pPr>
              <w:keepNext w:val="0"/>
              <w:keepLines w:val="0"/>
              <w:pageBreakBefore w:val="0"/>
              <w:widowControl/>
              <w:suppressLineNumbers w:val="0"/>
              <w:kinsoku/>
              <w:wordWrap/>
              <w:overflowPunct/>
              <w:topLinePunct w:val="0"/>
              <w:autoSpaceDE w:val="0"/>
              <w:autoSpaceDN w:val="0"/>
              <w:bidi w:val="0"/>
              <w:adjustRightInd/>
              <w:snapToGrid/>
              <w:jc w:val="center"/>
              <w:textAlignment w:val="center"/>
              <w:rPr>
                <w:rFonts w:hint="default" w:ascii="Times New Roman" w:hAnsi="Times New Roman" w:eastAsia="仿宋" w:cs="Times New Roman"/>
                <w:color w:val="auto"/>
                <w:sz w:val="28"/>
                <w:szCs w:val="28"/>
                <w:highlight w:val="none"/>
                <w:lang w:val="en-US" w:eastAsia="zh-CN" w:bidi="ar-SA"/>
              </w:rPr>
            </w:pPr>
            <w:r>
              <w:rPr>
                <w:rFonts w:hint="default" w:ascii="Times New Roman" w:hAnsi="Times New Roman" w:eastAsia="仿宋" w:cs="Times New Roman"/>
                <w:i w:val="0"/>
                <w:iCs w:val="0"/>
                <w:color w:val="auto"/>
                <w:kern w:val="0"/>
                <w:sz w:val="28"/>
                <w:szCs w:val="28"/>
                <w:highlight w:val="none"/>
                <w:u w:val="none"/>
                <w:lang w:val="en-US" w:eastAsia="zh-CN" w:bidi="ar"/>
              </w:rPr>
              <w:t>终端接头</w:t>
            </w:r>
          </w:p>
        </w:tc>
        <w:tc>
          <w:tcPr>
            <w:tcW w:w="3517" w:type="pct"/>
            <w:tcBorders>
              <w:top w:val="single" w:color="auto" w:sz="4" w:space="0"/>
              <w:bottom w:val="single" w:color="auto" w:sz="4" w:space="0"/>
            </w:tcBorders>
            <w:shd w:val="clear" w:color="auto" w:fill="auto"/>
            <w:vAlign w:val="center"/>
          </w:tcPr>
          <w:p w14:paraId="23066654">
            <w:pPr>
              <w:keepNext w:val="0"/>
              <w:keepLines w:val="0"/>
              <w:pageBreakBefore w:val="0"/>
              <w:widowControl/>
              <w:suppressLineNumbers w:val="0"/>
              <w:kinsoku/>
              <w:wordWrap/>
              <w:overflowPunct/>
              <w:topLinePunct w:val="0"/>
              <w:autoSpaceDE w:val="0"/>
              <w:autoSpaceDN w:val="0"/>
              <w:bidi w:val="0"/>
              <w:adjustRightInd/>
              <w:snapToGrid/>
              <w:jc w:val="left"/>
              <w:textAlignment w:val="center"/>
              <w:rPr>
                <w:rFonts w:hint="default" w:ascii="Times New Roman" w:hAnsi="Times New Roman" w:eastAsia="仿宋" w:cs="Times New Roman"/>
                <w:i w:val="0"/>
                <w:iCs w:val="0"/>
                <w:color w:val="auto"/>
                <w:kern w:val="0"/>
                <w:sz w:val="28"/>
                <w:szCs w:val="28"/>
                <w:highlight w:val="none"/>
                <w:u w:val="none"/>
                <w:lang w:val="en-US" w:eastAsia="zh-CN" w:bidi="ar"/>
              </w:rPr>
            </w:pPr>
            <w:r>
              <w:rPr>
                <w:rFonts w:hint="default" w:ascii="Times New Roman" w:hAnsi="Times New Roman" w:eastAsia="仿宋" w:cs="Times New Roman"/>
                <w:i w:val="0"/>
                <w:iCs w:val="0"/>
                <w:color w:val="auto"/>
                <w:kern w:val="0"/>
                <w:sz w:val="28"/>
                <w:szCs w:val="28"/>
                <w:highlight w:val="none"/>
                <w:u w:val="none"/>
                <w:lang w:val="en-US" w:eastAsia="zh-CN" w:bidi="ar"/>
              </w:rPr>
              <w:t>不锈钢材质卡套接头，采用NPT螺纹式链接</w:t>
            </w:r>
          </w:p>
        </w:tc>
        <w:tc>
          <w:tcPr>
            <w:tcW w:w="414" w:type="pct"/>
            <w:tcBorders>
              <w:top w:val="single" w:color="auto" w:sz="4" w:space="0"/>
              <w:bottom w:val="single" w:color="auto" w:sz="4" w:space="0"/>
            </w:tcBorders>
            <w:vAlign w:val="center"/>
          </w:tcPr>
          <w:p w14:paraId="19EEFF75">
            <w:pPr>
              <w:keepNext w:val="0"/>
              <w:keepLines w:val="0"/>
              <w:widowControl/>
              <w:suppressLineNumbers w:val="0"/>
              <w:jc w:val="center"/>
              <w:textAlignment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i w:val="0"/>
                <w:iCs w:val="0"/>
                <w:color w:val="auto"/>
                <w:kern w:val="0"/>
                <w:sz w:val="20"/>
                <w:szCs w:val="20"/>
                <w:highlight w:val="none"/>
                <w:u w:val="none"/>
                <w:lang w:val="en-US" w:eastAsia="zh-CN" w:bidi="ar"/>
              </w:rPr>
              <w:t>176</w:t>
            </w:r>
            <w:r>
              <w:rPr>
                <w:rStyle w:val="27"/>
                <w:rFonts w:hint="default" w:ascii="Times New Roman" w:hAnsi="Times New Roman" w:eastAsia="仿宋" w:cs="Times New Roman"/>
                <w:color w:val="auto"/>
                <w:highlight w:val="none"/>
                <w:lang w:val="en-US" w:eastAsia="zh-CN" w:bidi="ar"/>
              </w:rPr>
              <w:t>个</w:t>
            </w:r>
          </w:p>
        </w:tc>
      </w:tr>
      <w:tr w14:paraId="33F10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345" w:type="pct"/>
            <w:tcBorders>
              <w:top w:val="single" w:color="auto" w:sz="4" w:space="0"/>
              <w:bottom w:val="single" w:color="auto" w:sz="4" w:space="0"/>
            </w:tcBorders>
            <w:shd w:val="clear" w:color="auto" w:fill="auto"/>
            <w:vAlign w:val="center"/>
          </w:tcPr>
          <w:p w14:paraId="5D86C26A">
            <w:pPr>
              <w:keepNext w:val="0"/>
              <w:keepLines w:val="0"/>
              <w:pageBreakBefore w:val="0"/>
              <w:widowControl/>
              <w:suppressLineNumbers w:val="0"/>
              <w:kinsoku/>
              <w:wordWrap/>
              <w:overflowPunct/>
              <w:topLinePunct w:val="0"/>
              <w:autoSpaceDE w:val="0"/>
              <w:autoSpaceDN w:val="0"/>
              <w:bidi w:val="0"/>
              <w:adjustRightInd/>
              <w:snapToGrid/>
              <w:jc w:val="left"/>
              <w:textAlignment w:val="bottom"/>
              <w:rPr>
                <w:rFonts w:hint="default" w:ascii="Times New Roman" w:hAnsi="Times New Roman" w:eastAsia="仿宋" w:cs="Times New Roman"/>
                <w:color w:val="auto"/>
                <w:sz w:val="28"/>
                <w:szCs w:val="28"/>
                <w:highlight w:val="none"/>
                <w:lang w:val="en-US" w:eastAsia="zh-CN" w:bidi="ar-SA"/>
              </w:rPr>
            </w:pPr>
            <w:r>
              <w:rPr>
                <w:rFonts w:hint="default" w:ascii="Times New Roman" w:hAnsi="Times New Roman" w:eastAsia="仿宋" w:cs="Times New Roman"/>
                <w:i w:val="0"/>
                <w:iCs w:val="0"/>
                <w:color w:val="auto"/>
                <w:kern w:val="0"/>
                <w:sz w:val="28"/>
                <w:szCs w:val="28"/>
                <w:highlight w:val="none"/>
                <w:u w:val="none"/>
                <w:lang w:val="en-US" w:eastAsia="zh-CN" w:bidi="ar"/>
              </w:rPr>
              <w:t>29</w:t>
            </w:r>
          </w:p>
        </w:tc>
        <w:tc>
          <w:tcPr>
            <w:tcW w:w="722" w:type="pct"/>
            <w:tcBorders>
              <w:top w:val="single" w:color="auto" w:sz="4" w:space="0"/>
              <w:bottom w:val="single" w:color="auto" w:sz="4" w:space="0"/>
            </w:tcBorders>
            <w:shd w:val="clear" w:color="auto" w:fill="auto"/>
            <w:vAlign w:val="center"/>
          </w:tcPr>
          <w:p w14:paraId="3A465A82">
            <w:pPr>
              <w:keepNext w:val="0"/>
              <w:keepLines w:val="0"/>
              <w:pageBreakBefore w:val="0"/>
              <w:widowControl/>
              <w:suppressLineNumbers w:val="0"/>
              <w:kinsoku/>
              <w:wordWrap/>
              <w:overflowPunct/>
              <w:topLinePunct w:val="0"/>
              <w:autoSpaceDE w:val="0"/>
              <w:autoSpaceDN w:val="0"/>
              <w:bidi w:val="0"/>
              <w:adjustRightInd/>
              <w:snapToGrid/>
              <w:jc w:val="center"/>
              <w:textAlignment w:val="center"/>
              <w:rPr>
                <w:rFonts w:hint="default" w:ascii="Times New Roman" w:hAnsi="Times New Roman" w:eastAsia="仿宋" w:cs="Times New Roman"/>
                <w:color w:val="auto"/>
                <w:sz w:val="28"/>
                <w:szCs w:val="28"/>
                <w:highlight w:val="none"/>
                <w:lang w:val="en-US" w:eastAsia="zh-CN" w:bidi="ar-SA"/>
              </w:rPr>
            </w:pPr>
            <w:r>
              <w:rPr>
                <w:rFonts w:hint="default" w:ascii="Times New Roman" w:hAnsi="Times New Roman" w:eastAsia="仿宋" w:cs="Times New Roman"/>
                <w:i w:val="0"/>
                <w:iCs w:val="0"/>
                <w:color w:val="auto"/>
                <w:kern w:val="0"/>
                <w:sz w:val="28"/>
                <w:szCs w:val="28"/>
                <w:highlight w:val="none"/>
                <w:u w:val="none"/>
                <w:lang w:val="en-US" w:eastAsia="zh-CN" w:bidi="ar"/>
              </w:rPr>
              <w:t>防爆回火防止安全阀</w:t>
            </w:r>
          </w:p>
        </w:tc>
        <w:tc>
          <w:tcPr>
            <w:tcW w:w="3517" w:type="pct"/>
            <w:tcBorders>
              <w:top w:val="single" w:color="auto" w:sz="4" w:space="0"/>
              <w:bottom w:val="single" w:color="auto" w:sz="4" w:space="0"/>
            </w:tcBorders>
            <w:shd w:val="clear" w:color="auto" w:fill="auto"/>
            <w:vAlign w:val="center"/>
          </w:tcPr>
          <w:p w14:paraId="7B7180C9">
            <w:pPr>
              <w:keepNext w:val="0"/>
              <w:keepLines w:val="0"/>
              <w:pageBreakBefore w:val="0"/>
              <w:widowControl/>
              <w:numPr>
                <w:ilvl w:val="0"/>
                <w:numId w:val="21"/>
              </w:numPr>
              <w:suppressLineNumbers w:val="0"/>
              <w:kinsoku/>
              <w:wordWrap/>
              <w:overflowPunct/>
              <w:topLinePunct w:val="0"/>
              <w:autoSpaceDE w:val="0"/>
              <w:autoSpaceDN w:val="0"/>
              <w:bidi w:val="0"/>
              <w:adjustRightInd/>
              <w:snapToGrid/>
              <w:jc w:val="left"/>
              <w:textAlignment w:val="center"/>
              <w:rPr>
                <w:rFonts w:hint="default" w:ascii="Times New Roman" w:hAnsi="Times New Roman" w:eastAsia="仿宋" w:cs="Times New Roman"/>
                <w:i w:val="0"/>
                <w:iCs w:val="0"/>
                <w:color w:val="auto"/>
                <w:kern w:val="0"/>
                <w:sz w:val="28"/>
                <w:szCs w:val="28"/>
                <w:highlight w:val="none"/>
                <w:u w:val="none"/>
                <w:lang w:val="en-US" w:eastAsia="zh-CN" w:bidi="ar"/>
              </w:rPr>
            </w:pPr>
            <w:r>
              <w:rPr>
                <w:rFonts w:hint="default" w:ascii="Times New Roman" w:hAnsi="Times New Roman" w:eastAsia="仿宋" w:cs="Times New Roman"/>
                <w:i w:val="0"/>
                <w:iCs w:val="0"/>
                <w:color w:val="auto"/>
                <w:kern w:val="0"/>
                <w:sz w:val="28"/>
                <w:szCs w:val="28"/>
                <w:highlight w:val="none"/>
                <w:u w:val="none"/>
                <w:lang w:val="en-US" w:eastAsia="zh-CN" w:bidi="ar"/>
              </w:rPr>
              <w:t>材质：不锈钢316LBA洁净级；</w:t>
            </w:r>
          </w:p>
          <w:p w14:paraId="09511865">
            <w:pPr>
              <w:keepNext w:val="0"/>
              <w:keepLines w:val="0"/>
              <w:pageBreakBefore w:val="0"/>
              <w:widowControl/>
              <w:numPr>
                <w:ilvl w:val="0"/>
                <w:numId w:val="21"/>
              </w:numPr>
              <w:suppressLineNumbers w:val="0"/>
              <w:kinsoku/>
              <w:wordWrap/>
              <w:overflowPunct/>
              <w:topLinePunct w:val="0"/>
              <w:autoSpaceDE w:val="0"/>
              <w:autoSpaceDN w:val="0"/>
              <w:bidi w:val="0"/>
              <w:adjustRightInd/>
              <w:snapToGrid/>
              <w:jc w:val="left"/>
              <w:textAlignment w:val="center"/>
              <w:rPr>
                <w:rFonts w:hint="default" w:ascii="Times New Roman" w:hAnsi="Times New Roman" w:eastAsia="仿宋" w:cs="Times New Roman"/>
                <w:i w:val="0"/>
                <w:iCs w:val="0"/>
                <w:color w:val="auto"/>
                <w:kern w:val="0"/>
                <w:sz w:val="28"/>
                <w:szCs w:val="28"/>
                <w:highlight w:val="none"/>
                <w:u w:val="none"/>
                <w:lang w:val="en-US" w:eastAsia="zh-CN" w:bidi="ar"/>
              </w:rPr>
            </w:pPr>
            <w:r>
              <w:rPr>
                <w:rFonts w:hint="default" w:ascii="Times New Roman" w:hAnsi="Times New Roman" w:eastAsia="仿宋" w:cs="Times New Roman"/>
                <w:i w:val="0"/>
                <w:iCs w:val="0"/>
                <w:color w:val="auto"/>
                <w:kern w:val="0"/>
                <w:sz w:val="28"/>
                <w:szCs w:val="28"/>
                <w:highlight w:val="none"/>
                <w:u w:val="none"/>
                <w:lang w:val="en-US" w:eastAsia="zh-CN" w:bidi="ar"/>
              </w:rPr>
              <w:t>耐压≥25Mpa, 用于防止管路回火至气源，截断管道明火进入气瓶。</w:t>
            </w:r>
          </w:p>
        </w:tc>
        <w:tc>
          <w:tcPr>
            <w:tcW w:w="414" w:type="pct"/>
            <w:tcBorders>
              <w:top w:val="single" w:color="auto" w:sz="4" w:space="0"/>
              <w:bottom w:val="single" w:color="auto" w:sz="4" w:space="0"/>
            </w:tcBorders>
            <w:vAlign w:val="center"/>
          </w:tcPr>
          <w:p w14:paraId="3EAE7C8F">
            <w:pPr>
              <w:keepNext w:val="0"/>
              <w:keepLines w:val="0"/>
              <w:widowControl/>
              <w:suppressLineNumbers w:val="0"/>
              <w:jc w:val="center"/>
              <w:textAlignment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i w:val="0"/>
                <w:iCs w:val="0"/>
                <w:color w:val="auto"/>
                <w:kern w:val="0"/>
                <w:sz w:val="20"/>
                <w:szCs w:val="20"/>
                <w:highlight w:val="none"/>
                <w:u w:val="none"/>
                <w:lang w:val="en-US" w:eastAsia="zh-CN" w:bidi="ar"/>
              </w:rPr>
              <w:t>5</w:t>
            </w:r>
            <w:r>
              <w:rPr>
                <w:rStyle w:val="27"/>
                <w:rFonts w:hint="default" w:ascii="Times New Roman" w:hAnsi="Times New Roman" w:eastAsia="仿宋" w:cs="Times New Roman"/>
                <w:color w:val="auto"/>
                <w:highlight w:val="none"/>
                <w:lang w:val="en-US" w:eastAsia="zh-CN" w:bidi="ar"/>
              </w:rPr>
              <w:t>个</w:t>
            </w:r>
          </w:p>
        </w:tc>
      </w:tr>
      <w:tr w14:paraId="7A0CC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345" w:type="pct"/>
            <w:tcBorders>
              <w:top w:val="single" w:color="auto" w:sz="4" w:space="0"/>
              <w:bottom w:val="single" w:color="auto" w:sz="4" w:space="0"/>
            </w:tcBorders>
            <w:shd w:val="clear" w:color="auto" w:fill="auto"/>
            <w:vAlign w:val="center"/>
          </w:tcPr>
          <w:p w14:paraId="5D4FB145">
            <w:pPr>
              <w:keepNext w:val="0"/>
              <w:keepLines w:val="0"/>
              <w:pageBreakBefore w:val="0"/>
              <w:widowControl/>
              <w:suppressLineNumbers w:val="0"/>
              <w:kinsoku/>
              <w:wordWrap/>
              <w:overflowPunct/>
              <w:topLinePunct w:val="0"/>
              <w:autoSpaceDE w:val="0"/>
              <w:autoSpaceDN w:val="0"/>
              <w:bidi w:val="0"/>
              <w:adjustRightInd/>
              <w:snapToGrid/>
              <w:jc w:val="left"/>
              <w:textAlignment w:val="bottom"/>
              <w:rPr>
                <w:rFonts w:hint="default" w:ascii="Times New Roman" w:hAnsi="Times New Roman" w:eastAsia="仿宋" w:cs="Times New Roman"/>
                <w:color w:val="auto"/>
                <w:sz w:val="28"/>
                <w:szCs w:val="28"/>
                <w:highlight w:val="none"/>
                <w:lang w:val="en-US" w:eastAsia="zh-CN" w:bidi="ar-SA"/>
              </w:rPr>
            </w:pPr>
            <w:r>
              <w:rPr>
                <w:rFonts w:hint="default" w:ascii="Times New Roman" w:hAnsi="Times New Roman" w:eastAsia="仿宋" w:cs="Times New Roman"/>
                <w:i w:val="0"/>
                <w:iCs w:val="0"/>
                <w:color w:val="auto"/>
                <w:kern w:val="0"/>
                <w:sz w:val="28"/>
                <w:szCs w:val="28"/>
                <w:highlight w:val="none"/>
                <w:u w:val="none"/>
                <w:lang w:val="en-US" w:eastAsia="zh-CN" w:bidi="ar"/>
              </w:rPr>
              <w:t>30</w:t>
            </w:r>
          </w:p>
        </w:tc>
        <w:tc>
          <w:tcPr>
            <w:tcW w:w="722" w:type="pct"/>
            <w:tcBorders>
              <w:top w:val="single" w:color="auto" w:sz="4" w:space="0"/>
              <w:bottom w:val="single" w:color="auto" w:sz="4" w:space="0"/>
            </w:tcBorders>
            <w:shd w:val="clear" w:color="auto" w:fill="auto"/>
            <w:vAlign w:val="center"/>
          </w:tcPr>
          <w:p w14:paraId="63FF3150">
            <w:pPr>
              <w:keepNext w:val="0"/>
              <w:keepLines w:val="0"/>
              <w:pageBreakBefore w:val="0"/>
              <w:widowControl/>
              <w:suppressLineNumbers w:val="0"/>
              <w:kinsoku/>
              <w:wordWrap/>
              <w:overflowPunct/>
              <w:topLinePunct w:val="0"/>
              <w:autoSpaceDE w:val="0"/>
              <w:autoSpaceDN w:val="0"/>
              <w:bidi w:val="0"/>
              <w:adjustRightInd/>
              <w:snapToGrid/>
              <w:jc w:val="center"/>
              <w:textAlignment w:val="center"/>
              <w:rPr>
                <w:rFonts w:hint="default" w:ascii="Times New Roman" w:hAnsi="Times New Roman" w:eastAsia="仿宋" w:cs="Times New Roman"/>
                <w:color w:val="auto"/>
                <w:sz w:val="28"/>
                <w:szCs w:val="28"/>
                <w:highlight w:val="none"/>
                <w:lang w:val="en-US" w:eastAsia="zh-CN" w:bidi="ar-SA"/>
              </w:rPr>
            </w:pPr>
            <w:r>
              <w:rPr>
                <w:rFonts w:hint="default" w:ascii="Times New Roman" w:hAnsi="Times New Roman" w:eastAsia="仿宋" w:cs="Times New Roman"/>
                <w:i w:val="0"/>
                <w:iCs w:val="0"/>
                <w:color w:val="auto"/>
                <w:kern w:val="0"/>
                <w:sz w:val="28"/>
                <w:szCs w:val="28"/>
                <w:highlight w:val="none"/>
                <w:u w:val="none"/>
                <w:lang w:val="en-US" w:eastAsia="zh-CN" w:bidi="ar"/>
              </w:rPr>
              <w:t>气体传感器1</w:t>
            </w:r>
          </w:p>
        </w:tc>
        <w:tc>
          <w:tcPr>
            <w:tcW w:w="3517" w:type="pct"/>
            <w:tcBorders>
              <w:top w:val="single" w:color="auto" w:sz="4" w:space="0"/>
              <w:bottom w:val="single" w:color="auto" w:sz="4" w:space="0"/>
            </w:tcBorders>
            <w:shd w:val="clear" w:color="auto" w:fill="auto"/>
            <w:vAlign w:val="center"/>
          </w:tcPr>
          <w:p w14:paraId="495214B2">
            <w:pPr>
              <w:keepNext w:val="0"/>
              <w:keepLines w:val="0"/>
              <w:pageBreakBefore w:val="0"/>
              <w:widowControl/>
              <w:suppressLineNumbers w:val="0"/>
              <w:kinsoku/>
              <w:wordWrap/>
              <w:overflowPunct/>
              <w:topLinePunct w:val="0"/>
              <w:autoSpaceDE w:val="0"/>
              <w:autoSpaceDN w:val="0"/>
              <w:bidi w:val="0"/>
              <w:adjustRightInd/>
              <w:snapToGrid/>
              <w:jc w:val="left"/>
              <w:textAlignment w:val="center"/>
              <w:rPr>
                <w:rFonts w:hint="default" w:ascii="Times New Roman" w:hAnsi="Times New Roman" w:eastAsia="仿宋" w:cs="Times New Roman"/>
                <w:i w:val="0"/>
                <w:iCs w:val="0"/>
                <w:color w:val="auto"/>
                <w:kern w:val="0"/>
                <w:sz w:val="28"/>
                <w:szCs w:val="28"/>
                <w:highlight w:val="none"/>
                <w:u w:val="none"/>
                <w:lang w:val="en-US" w:eastAsia="zh-CN" w:bidi="ar"/>
              </w:rPr>
            </w:pPr>
            <w:r>
              <w:rPr>
                <w:rFonts w:hint="default" w:ascii="Times New Roman" w:hAnsi="Times New Roman" w:eastAsia="仿宋" w:cs="Times New Roman"/>
                <w:i w:val="0"/>
                <w:iCs w:val="0"/>
                <w:color w:val="auto"/>
                <w:kern w:val="0"/>
                <w:sz w:val="28"/>
                <w:szCs w:val="28"/>
                <w:highlight w:val="none"/>
                <w:u w:val="none"/>
                <w:lang w:val="en-US" w:eastAsia="zh-CN" w:bidi="ar"/>
              </w:rPr>
              <w:t>额定电压：DC 24V；检测气体：氧气；检测原理：电化学；响应时间：T90≤60s（常规）；</w:t>
            </w:r>
          </w:p>
          <w:p w14:paraId="67540966">
            <w:pPr>
              <w:keepNext w:val="0"/>
              <w:keepLines w:val="0"/>
              <w:pageBreakBefore w:val="0"/>
              <w:widowControl/>
              <w:suppressLineNumbers w:val="0"/>
              <w:kinsoku/>
              <w:wordWrap/>
              <w:overflowPunct/>
              <w:topLinePunct w:val="0"/>
              <w:autoSpaceDE w:val="0"/>
              <w:autoSpaceDN w:val="0"/>
              <w:bidi w:val="0"/>
              <w:adjustRightInd/>
              <w:snapToGrid/>
              <w:jc w:val="left"/>
              <w:textAlignment w:val="center"/>
              <w:rPr>
                <w:rFonts w:hint="default" w:ascii="Times New Roman" w:hAnsi="Times New Roman" w:eastAsia="仿宋" w:cs="Times New Roman"/>
                <w:i w:val="0"/>
                <w:iCs w:val="0"/>
                <w:color w:val="auto"/>
                <w:kern w:val="0"/>
                <w:sz w:val="28"/>
                <w:szCs w:val="28"/>
                <w:highlight w:val="none"/>
                <w:u w:val="none"/>
                <w:lang w:val="en-US" w:eastAsia="zh-CN" w:bidi="ar"/>
              </w:rPr>
            </w:pPr>
            <w:r>
              <w:rPr>
                <w:rFonts w:hint="default" w:ascii="Times New Roman" w:hAnsi="Times New Roman" w:eastAsia="仿宋" w:cs="Times New Roman"/>
                <w:i w:val="0"/>
                <w:iCs w:val="0"/>
                <w:color w:val="auto"/>
                <w:kern w:val="0"/>
                <w:sz w:val="28"/>
                <w:szCs w:val="28"/>
                <w:highlight w:val="none"/>
                <w:u w:val="none"/>
                <w:lang w:val="en-US" w:eastAsia="zh-CN" w:bidi="ar"/>
              </w:rPr>
              <w:t>误差：±5%F.S；通讯方式：M-BUS总线；额定功率：＜1W；报警方式：指示灯；工作温度：-25℃~55℃；工作湿度：≤96%RH（无凝霜）；压力范围：86kPa~106kPa；安装方式：固定支架式、管装式、贴壁式；安装螺纹：G3/4”内螺纹；</w:t>
            </w:r>
          </w:p>
          <w:p w14:paraId="3782A674">
            <w:pPr>
              <w:keepNext w:val="0"/>
              <w:keepLines w:val="0"/>
              <w:pageBreakBefore w:val="0"/>
              <w:widowControl/>
              <w:suppressLineNumbers w:val="0"/>
              <w:kinsoku/>
              <w:wordWrap/>
              <w:overflowPunct/>
              <w:topLinePunct w:val="0"/>
              <w:autoSpaceDE w:val="0"/>
              <w:autoSpaceDN w:val="0"/>
              <w:bidi w:val="0"/>
              <w:adjustRightInd/>
              <w:snapToGrid/>
              <w:jc w:val="left"/>
              <w:textAlignment w:val="center"/>
              <w:rPr>
                <w:rFonts w:hint="default" w:ascii="Times New Roman" w:hAnsi="Times New Roman" w:eastAsia="仿宋" w:cs="Times New Roman"/>
                <w:i w:val="0"/>
                <w:iCs w:val="0"/>
                <w:color w:val="auto"/>
                <w:kern w:val="0"/>
                <w:sz w:val="28"/>
                <w:szCs w:val="28"/>
                <w:highlight w:val="none"/>
                <w:u w:val="none"/>
                <w:lang w:val="en-US" w:eastAsia="zh-CN" w:bidi="ar"/>
              </w:rPr>
            </w:pPr>
            <w:r>
              <w:rPr>
                <w:rFonts w:hint="default" w:ascii="Times New Roman" w:hAnsi="Times New Roman" w:eastAsia="仿宋" w:cs="Times New Roman"/>
                <w:i w:val="0"/>
                <w:iCs w:val="0"/>
                <w:color w:val="auto"/>
                <w:kern w:val="0"/>
                <w:sz w:val="28"/>
                <w:szCs w:val="28"/>
                <w:highlight w:val="none"/>
                <w:u w:val="none"/>
                <w:lang w:val="en-US" w:eastAsia="zh-CN" w:bidi="ar"/>
              </w:rPr>
              <w:t>产品尺寸：175mm*140mm*72mm；防爆标志：Ex d IIC T6 Gb；IP等级：IP66。</w:t>
            </w:r>
          </w:p>
        </w:tc>
        <w:tc>
          <w:tcPr>
            <w:tcW w:w="414" w:type="pct"/>
            <w:tcBorders>
              <w:top w:val="single" w:color="auto" w:sz="4" w:space="0"/>
              <w:bottom w:val="single" w:color="auto" w:sz="4" w:space="0"/>
            </w:tcBorders>
            <w:vAlign w:val="center"/>
          </w:tcPr>
          <w:p w14:paraId="415199F5">
            <w:pPr>
              <w:keepNext w:val="0"/>
              <w:keepLines w:val="0"/>
              <w:widowControl/>
              <w:suppressLineNumbers w:val="0"/>
              <w:jc w:val="center"/>
              <w:textAlignment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i w:val="0"/>
                <w:iCs w:val="0"/>
                <w:color w:val="auto"/>
                <w:kern w:val="0"/>
                <w:sz w:val="20"/>
                <w:szCs w:val="20"/>
                <w:highlight w:val="none"/>
                <w:u w:val="none"/>
                <w:lang w:val="en-US" w:eastAsia="zh-CN" w:bidi="ar"/>
              </w:rPr>
              <w:t>7</w:t>
            </w:r>
            <w:r>
              <w:rPr>
                <w:rStyle w:val="27"/>
                <w:rFonts w:hint="default" w:ascii="Times New Roman" w:hAnsi="Times New Roman" w:eastAsia="仿宋" w:cs="Times New Roman"/>
                <w:color w:val="auto"/>
                <w:highlight w:val="none"/>
                <w:lang w:val="en-US" w:eastAsia="zh-CN" w:bidi="ar"/>
              </w:rPr>
              <w:t>个</w:t>
            </w:r>
          </w:p>
        </w:tc>
      </w:tr>
      <w:tr w14:paraId="65A2A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345" w:type="pct"/>
            <w:tcBorders>
              <w:top w:val="single" w:color="auto" w:sz="4" w:space="0"/>
              <w:bottom w:val="single" w:color="auto" w:sz="4" w:space="0"/>
            </w:tcBorders>
            <w:shd w:val="clear" w:color="auto" w:fill="auto"/>
            <w:vAlign w:val="center"/>
          </w:tcPr>
          <w:p w14:paraId="644D93CD">
            <w:pPr>
              <w:keepNext w:val="0"/>
              <w:keepLines w:val="0"/>
              <w:pageBreakBefore w:val="0"/>
              <w:widowControl/>
              <w:suppressLineNumbers w:val="0"/>
              <w:kinsoku/>
              <w:wordWrap/>
              <w:overflowPunct/>
              <w:topLinePunct w:val="0"/>
              <w:autoSpaceDE w:val="0"/>
              <w:autoSpaceDN w:val="0"/>
              <w:bidi w:val="0"/>
              <w:adjustRightInd/>
              <w:snapToGrid/>
              <w:jc w:val="left"/>
              <w:textAlignment w:val="bottom"/>
              <w:rPr>
                <w:rFonts w:hint="default" w:ascii="Times New Roman" w:hAnsi="Times New Roman" w:eastAsia="仿宋" w:cs="Times New Roman"/>
                <w:color w:val="auto"/>
                <w:sz w:val="28"/>
                <w:szCs w:val="28"/>
                <w:highlight w:val="none"/>
                <w:lang w:val="en-US" w:eastAsia="zh-CN" w:bidi="ar-SA"/>
              </w:rPr>
            </w:pPr>
            <w:r>
              <w:rPr>
                <w:rFonts w:hint="default" w:ascii="Times New Roman" w:hAnsi="Times New Roman" w:eastAsia="仿宋" w:cs="Times New Roman"/>
                <w:i w:val="0"/>
                <w:iCs w:val="0"/>
                <w:color w:val="auto"/>
                <w:kern w:val="0"/>
                <w:sz w:val="28"/>
                <w:szCs w:val="28"/>
                <w:highlight w:val="none"/>
                <w:u w:val="none"/>
                <w:lang w:val="en-US" w:eastAsia="zh-CN" w:bidi="ar"/>
              </w:rPr>
              <w:t>31</w:t>
            </w:r>
          </w:p>
        </w:tc>
        <w:tc>
          <w:tcPr>
            <w:tcW w:w="722" w:type="pct"/>
            <w:tcBorders>
              <w:top w:val="single" w:color="auto" w:sz="4" w:space="0"/>
              <w:bottom w:val="single" w:color="auto" w:sz="4" w:space="0"/>
            </w:tcBorders>
            <w:shd w:val="clear" w:color="auto" w:fill="auto"/>
            <w:vAlign w:val="center"/>
          </w:tcPr>
          <w:p w14:paraId="795CD551">
            <w:pPr>
              <w:keepNext w:val="0"/>
              <w:keepLines w:val="0"/>
              <w:pageBreakBefore w:val="0"/>
              <w:widowControl/>
              <w:suppressLineNumbers w:val="0"/>
              <w:kinsoku/>
              <w:wordWrap/>
              <w:overflowPunct/>
              <w:topLinePunct w:val="0"/>
              <w:autoSpaceDE w:val="0"/>
              <w:autoSpaceDN w:val="0"/>
              <w:bidi w:val="0"/>
              <w:adjustRightInd/>
              <w:snapToGrid/>
              <w:jc w:val="center"/>
              <w:textAlignment w:val="center"/>
              <w:rPr>
                <w:rFonts w:hint="default" w:ascii="Times New Roman" w:hAnsi="Times New Roman" w:eastAsia="仿宋" w:cs="Times New Roman"/>
                <w:color w:val="auto"/>
                <w:sz w:val="28"/>
                <w:szCs w:val="28"/>
                <w:highlight w:val="none"/>
                <w:lang w:val="en-US" w:eastAsia="zh-CN" w:bidi="ar-SA"/>
              </w:rPr>
            </w:pPr>
            <w:r>
              <w:rPr>
                <w:rFonts w:hint="default" w:ascii="Times New Roman" w:hAnsi="Times New Roman" w:eastAsia="仿宋" w:cs="Times New Roman"/>
                <w:i w:val="0"/>
                <w:iCs w:val="0"/>
                <w:color w:val="auto"/>
                <w:kern w:val="0"/>
                <w:sz w:val="28"/>
                <w:szCs w:val="28"/>
                <w:highlight w:val="none"/>
                <w:u w:val="none"/>
                <w:lang w:val="en-US" w:eastAsia="zh-CN" w:bidi="ar"/>
              </w:rPr>
              <w:t>气体传感器2</w:t>
            </w:r>
          </w:p>
        </w:tc>
        <w:tc>
          <w:tcPr>
            <w:tcW w:w="3517" w:type="pct"/>
            <w:tcBorders>
              <w:top w:val="single" w:color="auto" w:sz="4" w:space="0"/>
              <w:bottom w:val="single" w:color="auto" w:sz="4" w:space="0"/>
            </w:tcBorders>
            <w:shd w:val="clear" w:color="auto" w:fill="auto"/>
            <w:vAlign w:val="center"/>
          </w:tcPr>
          <w:p w14:paraId="30D58878">
            <w:pPr>
              <w:keepNext w:val="0"/>
              <w:keepLines w:val="0"/>
              <w:pageBreakBefore w:val="0"/>
              <w:widowControl/>
              <w:suppressLineNumbers w:val="0"/>
              <w:kinsoku/>
              <w:wordWrap/>
              <w:overflowPunct/>
              <w:topLinePunct w:val="0"/>
              <w:autoSpaceDE w:val="0"/>
              <w:autoSpaceDN w:val="0"/>
              <w:bidi w:val="0"/>
              <w:adjustRightInd/>
              <w:snapToGrid/>
              <w:jc w:val="left"/>
              <w:textAlignment w:val="center"/>
              <w:rPr>
                <w:rFonts w:hint="default" w:ascii="Times New Roman" w:hAnsi="Times New Roman" w:eastAsia="仿宋" w:cs="Times New Roman"/>
                <w:i w:val="0"/>
                <w:iCs w:val="0"/>
                <w:color w:val="auto"/>
                <w:kern w:val="0"/>
                <w:sz w:val="28"/>
                <w:szCs w:val="28"/>
                <w:highlight w:val="none"/>
                <w:u w:val="none"/>
                <w:lang w:val="en-US" w:eastAsia="zh-CN" w:bidi="ar"/>
              </w:rPr>
            </w:pPr>
            <w:r>
              <w:rPr>
                <w:rFonts w:hint="default" w:ascii="Times New Roman" w:hAnsi="Times New Roman" w:eastAsia="仿宋" w:cs="Times New Roman"/>
                <w:i w:val="0"/>
                <w:iCs w:val="0"/>
                <w:color w:val="auto"/>
                <w:kern w:val="0"/>
                <w:sz w:val="28"/>
                <w:szCs w:val="28"/>
                <w:highlight w:val="none"/>
                <w:u w:val="none"/>
                <w:lang w:val="en-US" w:eastAsia="zh-CN" w:bidi="ar"/>
              </w:rPr>
              <w:t>1、额定电压：DC 24V；检测气体：易燃易爆气体；检测原理：催化燃烧；响应时间：T90≤60s（常规）；</w:t>
            </w:r>
            <w:r>
              <w:rPr>
                <w:rFonts w:hint="default" w:ascii="Times New Roman" w:hAnsi="Times New Roman" w:eastAsia="仿宋" w:cs="Times New Roman"/>
                <w:i w:val="0"/>
                <w:iCs w:val="0"/>
                <w:color w:val="auto"/>
                <w:kern w:val="0"/>
                <w:sz w:val="28"/>
                <w:szCs w:val="28"/>
                <w:highlight w:val="none"/>
                <w:u w:val="none"/>
                <w:lang w:val="en-US" w:eastAsia="zh-CN" w:bidi="ar"/>
              </w:rPr>
              <w:br w:type="textWrapping"/>
            </w:r>
            <w:r>
              <w:rPr>
                <w:rFonts w:hint="default" w:ascii="Times New Roman" w:hAnsi="Times New Roman" w:eastAsia="仿宋" w:cs="Times New Roman"/>
                <w:i w:val="0"/>
                <w:iCs w:val="0"/>
                <w:color w:val="auto"/>
                <w:kern w:val="0"/>
                <w:sz w:val="28"/>
                <w:szCs w:val="28"/>
                <w:highlight w:val="none"/>
                <w:u w:val="none"/>
                <w:lang w:val="en-US" w:eastAsia="zh-CN" w:bidi="ar"/>
              </w:rPr>
              <w:t>2、误差：±5%F.S；通讯方式：M-BUS总线；额定功率：＜1W；报警方式：指示灯；工作温度：-25℃~55℃；工作湿度：≤96%RH（无凝霜）；压力范围：86kPa~106kPa；安装方式：固定支架式、管装式、贴壁式；安装螺纹：G3/4”内螺纹；</w:t>
            </w:r>
            <w:r>
              <w:rPr>
                <w:rFonts w:hint="default" w:ascii="Times New Roman" w:hAnsi="Times New Roman" w:eastAsia="仿宋" w:cs="Times New Roman"/>
                <w:i w:val="0"/>
                <w:iCs w:val="0"/>
                <w:color w:val="auto"/>
                <w:kern w:val="0"/>
                <w:sz w:val="28"/>
                <w:szCs w:val="28"/>
                <w:highlight w:val="none"/>
                <w:u w:val="none"/>
                <w:lang w:val="en-US" w:eastAsia="zh-CN" w:bidi="ar"/>
              </w:rPr>
              <w:br w:type="textWrapping"/>
            </w:r>
            <w:r>
              <w:rPr>
                <w:rFonts w:hint="default" w:ascii="Times New Roman" w:hAnsi="Times New Roman" w:eastAsia="仿宋" w:cs="Times New Roman"/>
                <w:i w:val="0"/>
                <w:iCs w:val="0"/>
                <w:color w:val="auto"/>
                <w:kern w:val="0"/>
                <w:sz w:val="28"/>
                <w:szCs w:val="28"/>
                <w:highlight w:val="none"/>
                <w:u w:val="none"/>
                <w:lang w:val="en-US" w:eastAsia="zh-CN" w:bidi="ar"/>
              </w:rPr>
              <w:t>3、产品尺寸：175mm*140mm*72mm；防爆标志：Ex d IIC T6 Gb；IP等级：IP66。</w:t>
            </w:r>
          </w:p>
        </w:tc>
        <w:tc>
          <w:tcPr>
            <w:tcW w:w="414" w:type="pct"/>
            <w:tcBorders>
              <w:top w:val="single" w:color="auto" w:sz="4" w:space="0"/>
              <w:bottom w:val="single" w:color="auto" w:sz="4" w:space="0"/>
            </w:tcBorders>
            <w:vAlign w:val="center"/>
          </w:tcPr>
          <w:p w14:paraId="20DBCB1E">
            <w:pPr>
              <w:keepNext w:val="0"/>
              <w:keepLines w:val="0"/>
              <w:widowControl/>
              <w:suppressLineNumbers w:val="0"/>
              <w:jc w:val="center"/>
              <w:textAlignment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i w:val="0"/>
                <w:iCs w:val="0"/>
                <w:color w:val="auto"/>
                <w:kern w:val="0"/>
                <w:sz w:val="20"/>
                <w:szCs w:val="20"/>
                <w:highlight w:val="none"/>
                <w:u w:val="none"/>
                <w:lang w:val="en-US" w:eastAsia="zh-CN" w:bidi="ar"/>
              </w:rPr>
              <w:t>20</w:t>
            </w:r>
            <w:r>
              <w:rPr>
                <w:rStyle w:val="27"/>
                <w:rFonts w:hint="default" w:ascii="Times New Roman" w:hAnsi="Times New Roman" w:eastAsia="仿宋" w:cs="Times New Roman"/>
                <w:color w:val="auto"/>
                <w:highlight w:val="none"/>
                <w:lang w:val="en-US" w:eastAsia="zh-CN" w:bidi="ar"/>
              </w:rPr>
              <w:t>个</w:t>
            </w:r>
          </w:p>
        </w:tc>
      </w:tr>
      <w:tr w14:paraId="5D37C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345" w:type="pct"/>
            <w:tcBorders>
              <w:top w:val="single" w:color="auto" w:sz="4" w:space="0"/>
              <w:bottom w:val="single" w:color="auto" w:sz="4" w:space="0"/>
            </w:tcBorders>
            <w:shd w:val="clear" w:color="auto" w:fill="auto"/>
            <w:vAlign w:val="center"/>
          </w:tcPr>
          <w:p w14:paraId="5B27B44D">
            <w:pPr>
              <w:keepNext w:val="0"/>
              <w:keepLines w:val="0"/>
              <w:pageBreakBefore w:val="0"/>
              <w:widowControl/>
              <w:suppressLineNumbers w:val="0"/>
              <w:kinsoku/>
              <w:wordWrap/>
              <w:overflowPunct/>
              <w:topLinePunct w:val="0"/>
              <w:autoSpaceDE w:val="0"/>
              <w:autoSpaceDN w:val="0"/>
              <w:bidi w:val="0"/>
              <w:adjustRightInd/>
              <w:snapToGrid/>
              <w:jc w:val="left"/>
              <w:textAlignment w:val="bottom"/>
              <w:rPr>
                <w:rFonts w:hint="default" w:ascii="Times New Roman" w:hAnsi="Times New Roman" w:eastAsia="仿宋" w:cs="Times New Roman"/>
                <w:color w:val="auto"/>
                <w:sz w:val="28"/>
                <w:szCs w:val="28"/>
                <w:highlight w:val="none"/>
                <w:lang w:val="en-US" w:eastAsia="zh-CN" w:bidi="ar-SA"/>
              </w:rPr>
            </w:pPr>
            <w:r>
              <w:rPr>
                <w:rFonts w:hint="default" w:ascii="Times New Roman" w:hAnsi="Times New Roman" w:eastAsia="仿宋" w:cs="Times New Roman"/>
                <w:i w:val="0"/>
                <w:iCs w:val="0"/>
                <w:color w:val="auto"/>
                <w:kern w:val="0"/>
                <w:sz w:val="28"/>
                <w:szCs w:val="28"/>
                <w:highlight w:val="none"/>
                <w:u w:val="none"/>
                <w:lang w:val="en-US" w:eastAsia="zh-CN" w:bidi="ar"/>
              </w:rPr>
              <w:t>32</w:t>
            </w:r>
          </w:p>
        </w:tc>
        <w:tc>
          <w:tcPr>
            <w:tcW w:w="722" w:type="pct"/>
            <w:tcBorders>
              <w:top w:val="single" w:color="auto" w:sz="4" w:space="0"/>
              <w:bottom w:val="single" w:color="auto" w:sz="4" w:space="0"/>
            </w:tcBorders>
            <w:shd w:val="clear" w:color="auto" w:fill="auto"/>
            <w:vAlign w:val="center"/>
          </w:tcPr>
          <w:p w14:paraId="06EA0CFC">
            <w:pPr>
              <w:keepNext w:val="0"/>
              <w:keepLines w:val="0"/>
              <w:pageBreakBefore w:val="0"/>
              <w:widowControl/>
              <w:suppressLineNumbers w:val="0"/>
              <w:kinsoku/>
              <w:wordWrap/>
              <w:overflowPunct/>
              <w:topLinePunct w:val="0"/>
              <w:autoSpaceDE w:val="0"/>
              <w:autoSpaceDN w:val="0"/>
              <w:bidi w:val="0"/>
              <w:adjustRightInd/>
              <w:snapToGrid/>
              <w:jc w:val="center"/>
              <w:textAlignment w:val="center"/>
              <w:rPr>
                <w:rFonts w:hint="default" w:ascii="Times New Roman" w:hAnsi="Times New Roman" w:eastAsia="仿宋" w:cs="Times New Roman"/>
                <w:color w:val="auto"/>
                <w:sz w:val="28"/>
                <w:szCs w:val="28"/>
                <w:highlight w:val="none"/>
                <w:lang w:val="en-US" w:eastAsia="zh-CN" w:bidi="ar-SA"/>
              </w:rPr>
            </w:pPr>
            <w:r>
              <w:rPr>
                <w:rFonts w:hint="default" w:ascii="Times New Roman" w:hAnsi="Times New Roman" w:eastAsia="仿宋" w:cs="Times New Roman"/>
                <w:i w:val="0"/>
                <w:iCs w:val="0"/>
                <w:color w:val="auto"/>
                <w:kern w:val="0"/>
                <w:sz w:val="28"/>
                <w:szCs w:val="28"/>
                <w:highlight w:val="none"/>
                <w:u w:val="none"/>
                <w:lang w:val="en-US" w:eastAsia="zh-CN" w:bidi="ar"/>
              </w:rPr>
              <w:t>实验室气体智能安全监控系统</w:t>
            </w:r>
          </w:p>
        </w:tc>
        <w:tc>
          <w:tcPr>
            <w:tcW w:w="3517" w:type="pct"/>
            <w:tcBorders>
              <w:top w:val="single" w:color="auto" w:sz="4" w:space="0"/>
              <w:bottom w:val="single" w:color="auto" w:sz="4" w:space="0"/>
            </w:tcBorders>
            <w:shd w:val="clear" w:color="auto" w:fill="auto"/>
            <w:vAlign w:val="center"/>
          </w:tcPr>
          <w:p w14:paraId="11E7E0EC">
            <w:pPr>
              <w:keepNext w:val="0"/>
              <w:keepLines w:val="0"/>
              <w:pageBreakBefore w:val="0"/>
              <w:widowControl/>
              <w:suppressLineNumbers w:val="0"/>
              <w:kinsoku/>
              <w:wordWrap/>
              <w:overflowPunct/>
              <w:topLinePunct w:val="0"/>
              <w:autoSpaceDE w:val="0"/>
              <w:autoSpaceDN w:val="0"/>
              <w:bidi w:val="0"/>
              <w:adjustRightInd/>
              <w:snapToGrid/>
              <w:jc w:val="left"/>
              <w:textAlignment w:val="center"/>
              <w:rPr>
                <w:rFonts w:hint="default" w:ascii="Times New Roman" w:hAnsi="Times New Roman" w:eastAsia="仿宋" w:cs="Times New Roman"/>
                <w:i w:val="0"/>
                <w:iCs w:val="0"/>
                <w:color w:val="auto"/>
                <w:kern w:val="0"/>
                <w:sz w:val="28"/>
                <w:szCs w:val="28"/>
                <w:highlight w:val="none"/>
                <w:u w:val="none"/>
                <w:lang w:val="en-US" w:eastAsia="zh-CN" w:bidi="ar"/>
              </w:rPr>
            </w:pPr>
            <w:r>
              <w:rPr>
                <w:rFonts w:hint="default" w:ascii="Times New Roman" w:hAnsi="Times New Roman" w:eastAsia="仿宋" w:cs="Times New Roman"/>
                <w:i w:val="0"/>
                <w:iCs w:val="0"/>
                <w:color w:val="auto"/>
                <w:kern w:val="0"/>
                <w:sz w:val="28"/>
                <w:szCs w:val="28"/>
                <w:highlight w:val="none"/>
                <w:u w:val="none"/>
                <w:lang w:val="en-US" w:eastAsia="zh-CN" w:bidi="ar"/>
              </w:rPr>
              <w:t>▲1、为确保数据安全，系统采用本地化部署，系统包含配套的服务器，服务器设定在学院指定位置</w:t>
            </w:r>
            <w:r>
              <w:rPr>
                <w:rFonts w:hint="default" w:ascii="Times New Roman" w:hAnsi="Times New Roman" w:cs="Times New Roman"/>
                <w:i w:val="0"/>
                <w:iCs w:val="0"/>
                <w:color w:val="auto"/>
                <w:kern w:val="0"/>
                <w:sz w:val="28"/>
                <w:szCs w:val="28"/>
                <w:highlight w:val="none"/>
                <w:u w:val="none"/>
                <w:lang w:val="en-US" w:eastAsia="zh-CN" w:bidi="ar"/>
              </w:rPr>
              <w:t>。</w:t>
            </w:r>
          </w:p>
          <w:p w14:paraId="12C61229">
            <w:pPr>
              <w:keepNext w:val="0"/>
              <w:keepLines w:val="0"/>
              <w:pageBreakBefore w:val="0"/>
              <w:widowControl/>
              <w:suppressLineNumbers w:val="0"/>
              <w:kinsoku/>
              <w:wordWrap/>
              <w:overflowPunct/>
              <w:topLinePunct w:val="0"/>
              <w:autoSpaceDE w:val="0"/>
              <w:autoSpaceDN w:val="0"/>
              <w:bidi w:val="0"/>
              <w:adjustRightInd/>
              <w:snapToGrid/>
              <w:jc w:val="left"/>
              <w:textAlignment w:val="center"/>
              <w:rPr>
                <w:rFonts w:hint="default" w:ascii="Times New Roman" w:hAnsi="Times New Roman" w:eastAsia="仿宋" w:cs="Times New Roman"/>
                <w:i w:val="0"/>
                <w:iCs w:val="0"/>
                <w:color w:val="auto"/>
                <w:kern w:val="0"/>
                <w:sz w:val="28"/>
                <w:szCs w:val="28"/>
                <w:highlight w:val="none"/>
                <w:u w:val="none"/>
                <w:lang w:val="en-US" w:eastAsia="zh-CN" w:bidi="ar"/>
              </w:rPr>
            </w:pPr>
            <w:r>
              <w:rPr>
                <w:rFonts w:hint="default" w:ascii="Times New Roman" w:hAnsi="Times New Roman" w:eastAsia="仿宋" w:cs="Times New Roman"/>
                <w:i w:val="0"/>
                <w:iCs w:val="0"/>
                <w:color w:val="auto"/>
                <w:kern w:val="0"/>
                <w:sz w:val="28"/>
                <w:szCs w:val="28"/>
                <w:highlight w:val="none"/>
                <w:u w:val="none"/>
                <w:lang w:val="en-US" w:eastAsia="zh-CN" w:bidi="ar"/>
              </w:rPr>
              <w:t>2、定制3D静态界面，实时显示系统各部件运行状态和数据，手机端，电脑端均可实时查看并操作。报警可以根据不同管理人员，对应推送报警信息。</w:t>
            </w:r>
            <w:r>
              <w:rPr>
                <w:rFonts w:hint="default" w:ascii="Times New Roman" w:hAnsi="Times New Roman" w:eastAsia="仿宋" w:cs="Times New Roman"/>
                <w:i w:val="0"/>
                <w:iCs w:val="0"/>
                <w:color w:val="auto"/>
                <w:kern w:val="0"/>
                <w:sz w:val="28"/>
                <w:szCs w:val="28"/>
                <w:highlight w:val="none"/>
                <w:u w:val="none"/>
                <w:lang w:val="en-US" w:eastAsia="zh-CN" w:bidi="ar"/>
              </w:rPr>
              <w:br w:type="textWrapping"/>
            </w:r>
            <w:r>
              <w:rPr>
                <w:rFonts w:hint="default" w:ascii="Times New Roman" w:hAnsi="Times New Roman" w:eastAsia="仿宋" w:cs="Times New Roman"/>
                <w:i w:val="0"/>
                <w:iCs w:val="0"/>
                <w:color w:val="auto"/>
                <w:kern w:val="0"/>
                <w:sz w:val="28"/>
                <w:szCs w:val="28"/>
                <w:highlight w:val="none"/>
                <w:u w:val="none"/>
                <w:lang w:val="en-US" w:eastAsia="zh-CN" w:bidi="ar"/>
              </w:rPr>
              <w:t>3、系统显示各出气接口流量，根据每个接口用气量，如某个接口流量异常，超出仪器使用流量，系统紧急切断易燃易爆或有毒气体供气，并打开房间内的应急排风系统。</w:t>
            </w:r>
            <w:r>
              <w:rPr>
                <w:rFonts w:hint="default" w:ascii="Times New Roman" w:hAnsi="Times New Roman" w:eastAsia="仿宋" w:cs="Times New Roman"/>
                <w:i w:val="0"/>
                <w:iCs w:val="0"/>
                <w:color w:val="auto"/>
                <w:kern w:val="0"/>
                <w:sz w:val="28"/>
                <w:szCs w:val="28"/>
                <w:highlight w:val="none"/>
                <w:u w:val="none"/>
                <w:lang w:val="en-US" w:eastAsia="zh-CN" w:bidi="ar"/>
              </w:rPr>
              <w:br w:type="textWrapping"/>
            </w:r>
            <w:r>
              <w:rPr>
                <w:rFonts w:hint="default" w:ascii="Times New Roman" w:hAnsi="Times New Roman" w:eastAsia="仿宋" w:cs="Times New Roman"/>
                <w:i w:val="0"/>
                <w:iCs w:val="0"/>
                <w:color w:val="auto"/>
                <w:kern w:val="0"/>
                <w:sz w:val="28"/>
                <w:szCs w:val="28"/>
                <w:highlight w:val="none"/>
                <w:u w:val="none"/>
                <w:lang w:val="en-US" w:eastAsia="zh-CN" w:bidi="ar"/>
              </w:rPr>
              <w:t>4、系统显示房间内和气瓶柜配置气体泄漏报警器，如气源或房间内探测到气体泄漏，系统打开对应位置的应急排风系统，避免气体聚集。</w:t>
            </w:r>
            <w:r>
              <w:rPr>
                <w:rFonts w:hint="default" w:ascii="Times New Roman" w:hAnsi="Times New Roman" w:eastAsia="仿宋" w:cs="Times New Roman"/>
                <w:i w:val="0"/>
                <w:iCs w:val="0"/>
                <w:color w:val="auto"/>
                <w:kern w:val="0"/>
                <w:sz w:val="28"/>
                <w:szCs w:val="28"/>
                <w:highlight w:val="none"/>
                <w:u w:val="none"/>
                <w:lang w:val="en-US" w:eastAsia="zh-CN" w:bidi="ar"/>
              </w:rPr>
              <w:br w:type="textWrapping"/>
            </w:r>
            <w:r>
              <w:rPr>
                <w:rFonts w:hint="default" w:ascii="Times New Roman" w:hAnsi="Times New Roman" w:eastAsia="仿宋" w:cs="Times New Roman"/>
                <w:i w:val="0"/>
                <w:iCs w:val="0"/>
                <w:color w:val="auto"/>
                <w:kern w:val="0"/>
                <w:sz w:val="28"/>
                <w:szCs w:val="28"/>
                <w:highlight w:val="none"/>
                <w:u w:val="none"/>
                <w:lang w:val="en-US" w:eastAsia="zh-CN" w:bidi="ar"/>
              </w:rPr>
              <w:t>5、智能化系统气源压力报警监测系统，根据换气周期设置低压报警值，提醒用户提前向气体公司订气。</w:t>
            </w:r>
          </w:p>
        </w:tc>
        <w:tc>
          <w:tcPr>
            <w:tcW w:w="414" w:type="pct"/>
            <w:tcBorders>
              <w:top w:val="single" w:color="auto" w:sz="4" w:space="0"/>
              <w:bottom w:val="single" w:color="auto" w:sz="4" w:space="0"/>
            </w:tcBorders>
            <w:vAlign w:val="center"/>
          </w:tcPr>
          <w:p w14:paraId="279EB6A5">
            <w:pPr>
              <w:keepNext w:val="0"/>
              <w:keepLines w:val="0"/>
              <w:widowControl/>
              <w:suppressLineNumbers w:val="0"/>
              <w:jc w:val="center"/>
              <w:textAlignment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i w:val="0"/>
                <w:iCs w:val="0"/>
                <w:color w:val="auto"/>
                <w:kern w:val="0"/>
                <w:sz w:val="20"/>
                <w:szCs w:val="20"/>
                <w:highlight w:val="none"/>
                <w:u w:val="none"/>
                <w:lang w:val="en-US" w:eastAsia="zh-CN" w:bidi="ar"/>
              </w:rPr>
              <w:t>1</w:t>
            </w:r>
            <w:r>
              <w:rPr>
                <w:rStyle w:val="27"/>
                <w:rFonts w:hint="default" w:ascii="Times New Roman" w:hAnsi="Times New Roman" w:eastAsia="仿宋" w:cs="Times New Roman"/>
                <w:color w:val="auto"/>
                <w:highlight w:val="none"/>
                <w:lang w:val="en-US" w:eastAsia="zh-CN" w:bidi="ar"/>
              </w:rPr>
              <w:t>套</w:t>
            </w:r>
          </w:p>
        </w:tc>
      </w:tr>
      <w:tr w14:paraId="1F3B5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345" w:type="pct"/>
            <w:tcBorders>
              <w:top w:val="single" w:color="auto" w:sz="4" w:space="0"/>
              <w:bottom w:val="single" w:color="auto" w:sz="4" w:space="0"/>
            </w:tcBorders>
            <w:shd w:val="clear" w:color="auto" w:fill="auto"/>
            <w:vAlign w:val="center"/>
          </w:tcPr>
          <w:p w14:paraId="39AC55A0">
            <w:pPr>
              <w:keepNext w:val="0"/>
              <w:keepLines w:val="0"/>
              <w:pageBreakBefore w:val="0"/>
              <w:widowControl/>
              <w:suppressLineNumbers w:val="0"/>
              <w:kinsoku/>
              <w:wordWrap/>
              <w:overflowPunct/>
              <w:topLinePunct w:val="0"/>
              <w:autoSpaceDE w:val="0"/>
              <w:autoSpaceDN w:val="0"/>
              <w:bidi w:val="0"/>
              <w:adjustRightInd/>
              <w:snapToGrid/>
              <w:jc w:val="left"/>
              <w:textAlignment w:val="bottom"/>
              <w:rPr>
                <w:rFonts w:hint="default" w:ascii="Times New Roman" w:hAnsi="Times New Roman" w:eastAsia="仿宋" w:cs="Times New Roman"/>
                <w:color w:val="auto"/>
                <w:sz w:val="28"/>
                <w:szCs w:val="28"/>
                <w:highlight w:val="none"/>
                <w:lang w:val="en-US" w:eastAsia="zh-CN" w:bidi="ar-SA"/>
              </w:rPr>
            </w:pPr>
            <w:r>
              <w:rPr>
                <w:rFonts w:hint="default" w:ascii="Times New Roman" w:hAnsi="Times New Roman" w:eastAsia="仿宋" w:cs="Times New Roman"/>
                <w:i w:val="0"/>
                <w:iCs w:val="0"/>
                <w:color w:val="auto"/>
                <w:kern w:val="0"/>
                <w:sz w:val="28"/>
                <w:szCs w:val="28"/>
                <w:highlight w:val="none"/>
                <w:u w:val="none"/>
                <w:lang w:val="en-US" w:eastAsia="zh-CN" w:bidi="ar"/>
              </w:rPr>
              <w:t>33</w:t>
            </w:r>
          </w:p>
        </w:tc>
        <w:tc>
          <w:tcPr>
            <w:tcW w:w="722" w:type="pct"/>
            <w:tcBorders>
              <w:top w:val="single" w:color="auto" w:sz="4" w:space="0"/>
              <w:bottom w:val="single" w:color="auto" w:sz="4" w:space="0"/>
            </w:tcBorders>
            <w:shd w:val="clear" w:color="auto" w:fill="auto"/>
            <w:vAlign w:val="center"/>
          </w:tcPr>
          <w:p w14:paraId="75C5E3CA">
            <w:pPr>
              <w:keepNext w:val="0"/>
              <w:keepLines w:val="0"/>
              <w:pageBreakBefore w:val="0"/>
              <w:widowControl/>
              <w:suppressLineNumbers w:val="0"/>
              <w:kinsoku/>
              <w:wordWrap/>
              <w:overflowPunct/>
              <w:topLinePunct w:val="0"/>
              <w:autoSpaceDE w:val="0"/>
              <w:autoSpaceDN w:val="0"/>
              <w:bidi w:val="0"/>
              <w:adjustRightInd/>
              <w:snapToGrid/>
              <w:jc w:val="center"/>
              <w:textAlignment w:val="center"/>
              <w:rPr>
                <w:rFonts w:hint="default" w:ascii="Times New Roman" w:hAnsi="Times New Roman" w:eastAsia="仿宋" w:cs="Times New Roman"/>
                <w:color w:val="auto"/>
                <w:sz w:val="28"/>
                <w:szCs w:val="28"/>
                <w:highlight w:val="none"/>
                <w:lang w:val="en-US" w:eastAsia="zh-CN" w:bidi="ar-SA"/>
              </w:rPr>
            </w:pPr>
            <w:r>
              <w:rPr>
                <w:rFonts w:hint="default" w:ascii="Times New Roman" w:hAnsi="Times New Roman" w:eastAsia="仿宋" w:cs="Times New Roman"/>
                <w:i w:val="0"/>
                <w:iCs w:val="0"/>
                <w:color w:val="auto"/>
                <w:kern w:val="0"/>
                <w:sz w:val="28"/>
                <w:szCs w:val="28"/>
                <w:highlight w:val="none"/>
                <w:u w:val="none"/>
                <w:lang w:val="en-US" w:eastAsia="zh-CN" w:bidi="ar"/>
              </w:rPr>
              <w:t>实验室气体流量采集系统</w:t>
            </w:r>
          </w:p>
        </w:tc>
        <w:tc>
          <w:tcPr>
            <w:tcW w:w="3517" w:type="pct"/>
            <w:tcBorders>
              <w:top w:val="single" w:color="auto" w:sz="4" w:space="0"/>
              <w:bottom w:val="single" w:color="auto" w:sz="4" w:space="0"/>
            </w:tcBorders>
            <w:shd w:val="clear" w:color="auto" w:fill="auto"/>
            <w:vAlign w:val="center"/>
          </w:tcPr>
          <w:p w14:paraId="5204934A">
            <w:pPr>
              <w:keepNext w:val="0"/>
              <w:keepLines w:val="0"/>
              <w:pageBreakBefore w:val="0"/>
              <w:widowControl/>
              <w:suppressLineNumbers w:val="0"/>
              <w:kinsoku/>
              <w:wordWrap/>
              <w:overflowPunct/>
              <w:topLinePunct w:val="0"/>
              <w:autoSpaceDE w:val="0"/>
              <w:autoSpaceDN w:val="0"/>
              <w:bidi w:val="0"/>
              <w:adjustRightInd/>
              <w:snapToGrid/>
              <w:jc w:val="left"/>
              <w:textAlignment w:val="center"/>
              <w:rPr>
                <w:rFonts w:hint="default" w:ascii="Times New Roman" w:hAnsi="Times New Roman" w:eastAsia="仿宋" w:cs="Times New Roman"/>
                <w:i w:val="0"/>
                <w:iCs w:val="0"/>
                <w:color w:val="auto"/>
                <w:kern w:val="0"/>
                <w:sz w:val="28"/>
                <w:szCs w:val="28"/>
                <w:highlight w:val="none"/>
                <w:u w:val="none"/>
                <w:lang w:val="en-US" w:eastAsia="zh-CN" w:bidi="ar"/>
              </w:rPr>
            </w:pPr>
            <w:r>
              <w:rPr>
                <w:rFonts w:hint="default" w:ascii="Times New Roman" w:hAnsi="Times New Roman" w:eastAsia="仿宋" w:cs="Times New Roman"/>
                <w:i w:val="0"/>
                <w:iCs w:val="0"/>
                <w:color w:val="auto"/>
                <w:kern w:val="0"/>
                <w:sz w:val="28"/>
                <w:szCs w:val="28"/>
                <w:highlight w:val="none"/>
                <w:u w:val="none"/>
                <w:lang w:val="en-US" w:eastAsia="zh-CN" w:bidi="ar"/>
              </w:rPr>
              <w:t>1、采集对象：N</w:t>
            </w:r>
            <w:r>
              <w:rPr>
                <w:rFonts w:hint="default" w:ascii="Times New Roman" w:hAnsi="Times New Roman" w:eastAsia="仿宋" w:cs="Times New Roman"/>
                <w:i w:val="0"/>
                <w:iCs w:val="0"/>
                <w:color w:val="auto"/>
                <w:kern w:val="0"/>
                <w:sz w:val="28"/>
                <w:szCs w:val="28"/>
                <w:highlight w:val="none"/>
                <w:u w:val="none"/>
                <w:vertAlign w:val="subscript"/>
                <w:lang w:val="en-US" w:eastAsia="zh-CN" w:bidi="ar"/>
              </w:rPr>
              <w:t>2</w:t>
            </w:r>
            <w:r>
              <w:rPr>
                <w:rFonts w:hint="default" w:ascii="Times New Roman" w:hAnsi="Times New Roman" w:eastAsia="仿宋" w:cs="Times New Roman"/>
                <w:i w:val="0"/>
                <w:iCs w:val="0"/>
                <w:color w:val="auto"/>
                <w:kern w:val="0"/>
                <w:sz w:val="28"/>
                <w:szCs w:val="28"/>
                <w:highlight w:val="none"/>
                <w:u w:val="none"/>
                <w:lang w:val="en-US" w:eastAsia="zh-CN" w:bidi="ar"/>
              </w:rPr>
              <w:t>/Ar/He/H</w:t>
            </w:r>
            <w:r>
              <w:rPr>
                <w:rFonts w:hint="default" w:ascii="Times New Roman" w:hAnsi="Times New Roman" w:eastAsia="仿宋" w:cs="Times New Roman"/>
                <w:i w:val="0"/>
                <w:iCs w:val="0"/>
                <w:color w:val="auto"/>
                <w:kern w:val="0"/>
                <w:sz w:val="28"/>
                <w:szCs w:val="28"/>
                <w:highlight w:val="none"/>
                <w:u w:val="none"/>
                <w:vertAlign w:val="subscript"/>
                <w:lang w:val="en-US" w:eastAsia="zh-CN" w:bidi="ar"/>
              </w:rPr>
              <w:t>2</w:t>
            </w:r>
            <w:r>
              <w:rPr>
                <w:rFonts w:hint="default" w:ascii="Times New Roman" w:hAnsi="Times New Roman" w:eastAsia="仿宋" w:cs="Times New Roman"/>
                <w:i w:val="0"/>
                <w:iCs w:val="0"/>
                <w:color w:val="auto"/>
                <w:kern w:val="0"/>
                <w:sz w:val="28"/>
                <w:szCs w:val="28"/>
                <w:highlight w:val="none"/>
                <w:u w:val="none"/>
                <w:lang w:val="en-US" w:eastAsia="zh-CN" w:bidi="ar"/>
              </w:rPr>
              <w:t>/C</w:t>
            </w:r>
            <w:r>
              <w:rPr>
                <w:rFonts w:hint="default" w:ascii="Times New Roman" w:hAnsi="Times New Roman" w:eastAsia="仿宋" w:cs="Times New Roman"/>
                <w:i w:val="0"/>
                <w:iCs w:val="0"/>
                <w:color w:val="auto"/>
                <w:kern w:val="0"/>
                <w:sz w:val="28"/>
                <w:szCs w:val="28"/>
                <w:highlight w:val="none"/>
                <w:u w:val="none"/>
                <w:vertAlign w:val="subscript"/>
                <w:lang w:val="en-US" w:eastAsia="zh-CN" w:bidi="ar"/>
              </w:rPr>
              <w:t>2</w:t>
            </w:r>
            <w:r>
              <w:rPr>
                <w:rFonts w:hint="default" w:ascii="Times New Roman" w:hAnsi="Times New Roman" w:eastAsia="仿宋" w:cs="Times New Roman"/>
                <w:i w:val="0"/>
                <w:iCs w:val="0"/>
                <w:color w:val="auto"/>
                <w:kern w:val="0"/>
                <w:sz w:val="28"/>
                <w:szCs w:val="28"/>
                <w:highlight w:val="none"/>
                <w:u w:val="none"/>
                <w:lang w:val="en-US" w:eastAsia="zh-CN" w:bidi="ar"/>
              </w:rPr>
              <w:t>H</w:t>
            </w:r>
            <w:r>
              <w:rPr>
                <w:rFonts w:hint="default" w:ascii="Times New Roman" w:hAnsi="Times New Roman" w:eastAsia="仿宋" w:cs="Times New Roman"/>
                <w:i w:val="0"/>
                <w:iCs w:val="0"/>
                <w:color w:val="auto"/>
                <w:kern w:val="0"/>
                <w:sz w:val="28"/>
                <w:szCs w:val="28"/>
                <w:highlight w:val="none"/>
                <w:u w:val="none"/>
                <w:vertAlign w:val="subscript"/>
                <w:lang w:val="en-US" w:eastAsia="zh-CN" w:bidi="ar"/>
              </w:rPr>
              <w:t>2</w:t>
            </w:r>
            <w:r>
              <w:rPr>
                <w:rFonts w:hint="default" w:ascii="Times New Roman" w:hAnsi="Times New Roman" w:eastAsia="仿宋" w:cs="Times New Roman"/>
                <w:i w:val="0"/>
                <w:iCs w:val="0"/>
                <w:color w:val="auto"/>
                <w:kern w:val="0"/>
                <w:sz w:val="28"/>
                <w:szCs w:val="28"/>
                <w:highlight w:val="none"/>
                <w:u w:val="none"/>
                <w:lang w:val="en-US" w:eastAsia="zh-CN" w:bidi="ar"/>
              </w:rPr>
              <w:t>/CH</w:t>
            </w:r>
            <w:r>
              <w:rPr>
                <w:rFonts w:hint="default" w:ascii="Times New Roman" w:hAnsi="Times New Roman" w:eastAsia="仿宋" w:cs="Times New Roman"/>
                <w:i w:val="0"/>
                <w:iCs w:val="0"/>
                <w:color w:val="auto"/>
                <w:kern w:val="0"/>
                <w:sz w:val="28"/>
                <w:szCs w:val="28"/>
                <w:highlight w:val="none"/>
                <w:u w:val="none"/>
                <w:vertAlign w:val="subscript"/>
                <w:lang w:val="en-US" w:eastAsia="zh-CN" w:bidi="ar"/>
              </w:rPr>
              <w:t>4</w:t>
            </w:r>
            <w:r>
              <w:rPr>
                <w:rFonts w:hint="default" w:ascii="Times New Roman" w:hAnsi="Times New Roman" w:eastAsia="仿宋" w:cs="Times New Roman"/>
                <w:i w:val="0"/>
                <w:iCs w:val="0"/>
                <w:color w:val="auto"/>
                <w:kern w:val="0"/>
                <w:sz w:val="28"/>
                <w:szCs w:val="28"/>
                <w:highlight w:val="none"/>
                <w:u w:val="none"/>
                <w:lang w:val="en-US" w:eastAsia="zh-CN" w:bidi="ar"/>
              </w:rPr>
              <w:t>流量、管路压力、介质温度。采集精度：流量±1.0%F.S.，压力±0.5%F.S.，温度±0.5℃。采集周期：1~60分钟可配置，默认15分钟。</w:t>
            </w:r>
            <w:r>
              <w:rPr>
                <w:rFonts w:hint="default" w:ascii="Times New Roman" w:hAnsi="Times New Roman" w:eastAsia="仿宋" w:cs="Times New Roman"/>
                <w:i w:val="0"/>
                <w:iCs w:val="0"/>
                <w:color w:val="auto"/>
                <w:kern w:val="0"/>
                <w:sz w:val="28"/>
                <w:szCs w:val="28"/>
                <w:highlight w:val="none"/>
                <w:u w:val="none"/>
                <w:lang w:val="en-US" w:eastAsia="zh-CN" w:bidi="ar"/>
              </w:rPr>
              <w:br w:type="textWrapping"/>
            </w:r>
            <w:r>
              <w:rPr>
                <w:rFonts w:hint="default" w:ascii="Times New Roman" w:hAnsi="Times New Roman" w:eastAsia="仿宋" w:cs="Times New Roman"/>
                <w:i w:val="0"/>
                <w:iCs w:val="0"/>
                <w:color w:val="auto"/>
                <w:kern w:val="0"/>
                <w:sz w:val="28"/>
                <w:szCs w:val="28"/>
                <w:highlight w:val="none"/>
                <w:u w:val="none"/>
                <w:lang w:val="en-US" w:eastAsia="zh-CN" w:bidi="ar"/>
              </w:rPr>
              <w:t>2、计量功能：实时瞬时流量显示、日/月/年累计流量统计、累计流量断电数据保存≥10年。</w:t>
            </w:r>
            <w:r>
              <w:rPr>
                <w:rFonts w:hint="default" w:ascii="Times New Roman" w:hAnsi="Times New Roman" w:eastAsia="仿宋" w:cs="Times New Roman"/>
                <w:i w:val="0"/>
                <w:iCs w:val="0"/>
                <w:color w:val="auto"/>
                <w:kern w:val="0"/>
                <w:sz w:val="28"/>
                <w:szCs w:val="28"/>
                <w:highlight w:val="none"/>
                <w:u w:val="none"/>
                <w:lang w:val="en-US" w:eastAsia="zh-CN" w:bidi="ar"/>
              </w:rPr>
              <w:br w:type="textWrapping"/>
            </w:r>
            <w:r>
              <w:rPr>
                <w:rFonts w:hint="default" w:ascii="Times New Roman" w:hAnsi="Times New Roman" w:eastAsia="仿宋" w:cs="Times New Roman"/>
                <w:i w:val="0"/>
                <w:iCs w:val="0"/>
                <w:color w:val="auto"/>
                <w:kern w:val="0"/>
                <w:sz w:val="28"/>
                <w:szCs w:val="28"/>
                <w:highlight w:val="none"/>
                <w:u w:val="none"/>
                <w:lang w:val="en-US" w:eastAsia="zh-CN" w:bidi="ar"/>
              </w:rPr>
              <w:t>3、通讯接口：RS485（Modbus-RTU）、以太网（Modbus-TCP），支持与上位机/监控平台数据交互。</w:t>
            </w:r>
            <w:r>
              <w:rPr>
                <w:rFonts w:hint="default" w:ascii="Times New Roman" w:hAnsi="Times New Roman" w:eastAsia="仿宋" w:cs="Times New Roman"/>
                <w:i w:val="0"/>
                <w:iCs w:val="0"/>
                <w:color w:val="auto"/>
                <w:kern w:val="0"/>
                <w:sz w:val="28"/>
                <w:szCs w:val="28"/>
                <w:highlight w:val="none"/>
                <w:u w:val="none"/>
                <w:lang w:val="en-US" w:eastAsia="zh-CN" w:bidi="ar"/>
              </w:rPr>
              <w:br w:type="textWrapping"/>
            </w:r>
            <w:r>
              <w:rPr>
                <w:rFonts w:hint="default" w:ascii="Times New Roman" w:hAnsi="Times New Roman" w:eastAsia="仿宋" w:cs="Times New Roman"/>
                <w:i w:val="0"/>
                <w:iCs w:val="0"/>
                <w:color w:val="auto"/>
                <w:kern w:val="0"/>
                <w:sz w:val="28"/>
                <w:szCs w:val="28"/>
                <w:highlight w:val="none"/>
                <w:u w:val="none"/>
                <w:lang w:val="en-US" w:eastAsia="zh-CN" w:bidi="ar"/>
              </w:rPr>
              <w:t>4、控制功能：流量超限自动关断、压力异常联动保护、流量/压力阈值可自定义设置。</w:t>
            </w:r>
            <w:r>
              <w:rPr>
                <w:rFonts w:hint="default" w:ascii="Times New Roman" w:hAnsi="Times New Roman" w:eastAsia="仿宋" w:cs="Times New Roman"/>
                <w:i w:val="0"/>
                <w:iCs w:val="0"/>
                <w:color w:val="auto"/>
                <w:kern w:val="0"/>
                <w:sz w:val="28"/>
                <w:szCs w:val="28"/>
                <w:highlight w:val="none"/>
                <w:u w:val="none"/>
                <w:lang w:val="en-US" w:eastAsia="zh-CN" w:bidi="ar"/>
              </w:rPr>
              <w:br w:type="textWrapping"/>
            </w:r>
            <w:r>
              <w:rPr>
                <w:rFonts w:hint="default" w:ascii="Times New Roman" w:hAnsi="Times New Roman" w:eastAsia="仿宋" w:cs="Times New Roman"/>
                <w:i w:val="0"/>
                <w:iCs w:val="0"/>
                <w:color w:val="auto"/>
                <w:kern w:val="0"/>
                <w:sz w:val="28"/>
                <w:szCs w:val="28"/>
                <w:highlight w:val="none"/>
                <w:u w:val="none"/>
                <w:lang w:val="en-US" w:eastAsia="zh-CN" w:bidi="ar"/>
              </w:rPr>
              <w:t>5、报警功能：流量异常、压力超限、通讯中断、设备故障本地声光报警+远程平台推送。</w:t>
            </w:r>
            <w:r>
              <w:rPr>
                <w:rFonts w:hint="default" w:ascii="Times New Roman" w:hAnsi="Times New Roman" w:eastAsia="仿宋" w:cs="Times New Roman"/>
                <w:i w:val="0"/>
                <w:iCs w:val="0"/>
                <w:color w:val="auto"/>
                <w:kern w:val="0"/>
                <w:sz w:val="28"/>
                <w:szCs w:val="28"/>
                <w:highlight w:val="none"/>
                <w:u w:val="none"/>
                <w:lang w:val="en-US" w:eastAsia="zh-CN" w:bidi="ar"/>
              </w:rPr>
              <w:br w:type="textWrapping"/>
            </w:r>
            <w:r>
              <w:rPr>
                <w:rFonts w:hint="default" w:ascii="Times New Roman" w:hAnsi="Times New Roman" w:eastAsia="仿宋" w:cs="Times New Roman"/>
                <w:i w:val="0"/>
                <w:iCs w:val="0"/>
                <w:color w:val="auto"/>
                <w:kern w:val="0"/>
                <w:sz w:val="28"/>
                <w:szCs w:val="28"/>
                <w:highlight w:val="none"/>
                <w:u w:val="none"/>
                <w:lang w:val="en-US" w:eastAsia="zh-CN" w:bidi="ar"/>
              </w:rPr>
              <w:t>6、供电方式：DC 24V / AC 220V 双供电可选，宽电压适配。</w:t>
            </w:r>
          </w:p>
        </w:tc>
        <w:tc>
          <w:tcPr>
            <w:tcW w:w="414" w:type="pct"/>
            <w:tcBorders>
              <w:top w:val="single" w:color="auto" w:sz="4" w:space="0"/>
              <w:bottom w:val="single" w:color="auto" w:sz="4" w:space="0"/>
            </w:tcBorders>
            <w:vAlign w:val="center"/>
          </w:tcPr>
          <w:p w14:paraId="19BAED18">
            <w:pPr>
              <w:keepNext w:val="0"/>
              <w:keepLines w:val="0"/>
              <w:widowControl/>
              <w:suppressLineNumbers w:val="0"/>
              <w:jc w:val="center"/>
              <w:textAlignment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i w:val="0"/>
                <w:iCs w:val="0"/>
                <w:color w:val="auto"/>
                <w:kern w:val="0"/>
                <w:sz w:val="20"/>
                <w:szCs w:val="20"/>
                <w:highlight w:val="none"/>
                <w:u w:val="none"/>
                <w:lang w:val="en-US" w:eastAsia="zh-CN" w:bidi="ar"/>
              </w:rPr>
              <w:t>1</w:t>
            </w:r>
            <w:r>
              <w:rPr>
                <w:rStyle w:val="27"/>
                <w:rFonts w:hint="default" w:ascii="Times New Roman" w:hAnsi="Times New Roman" w:eastAsia="仿宋" w:cs="Times New Roman"/>
                <w:color w:val="auto"/>
                <w:highlight w:val="none"/>
                <w:lang w:val="en-US" w:eastAsia="zh-CN" w:bidi="ar"/>
              </w:rPr>
              <w:t>套</w:t>
            </w:r>
          </w:p>
        </w:tc>
      </w:tr>
      <w:tr w14:paraId="3E730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345" w:type="pct"/>
            <w:tcBorders>
              <w:top w:val="single" w:color="auto" w:sz="4" w:space="0"/>
              <w:bottom w:val="single" w:color="auto" w:sz="4" w:space="0"/>
            </w:tcBorders>
            <w:shd w:val="clear" w:color="auto" w:fill="auto"/>
            <w:vAlign w:val="center"/>
          </w:tcPr>
          <w:p w14:paraId="5E189439">
            <w:pPr>
              <w:keepNext w:val="0"/>
              <w:keepLines w:val="0"/>
              <w:pageBreakBefore w:val="0"/>
              <w:widowControl/>
              <w:suppressLineNumbers w:val="0"/>
              <w:kinsoku/>
              <w:wordWrap/>
              <w:overflowPunct/>
              <w:topLinePunct w:val="0"/>
              <w:autoSpaceDE w:val="0"/>
              <w:autoSpaceDN w:val="0"/>
              <w:bidi w:val="0"/>
              <w:adjustRightInd/>
              <w:snapToGrid/>
              <w:jc w:val="left"/>
              <w:textAlignment w:val="bottom"/>
              <w:rPr>
                <w:rFonts w:hint="default" w:ascii="Times New Roman" w:hAnsi="Times New Roman" w:eastAsia="仿宋" w:cs="Times New Roman"/>
                <w:color w:val="auto"/>
                <w:sz w:val="28"/>
                <w:szCs w:val="28"/>
                <w:highlight w:val="none"/>
                <w:lang w:val="en-US" w:eastAsia="zh-CN" w:bidi="ar-SA"/>
              </w:rPr>
            </w:pPr>
            <w:r>
              <w:rPr>
                <w:rFonts w:hint="default" w:ascii="Times New Roman" w:hAnsi="Times New Roman" w:eastAsia="仿宋" w:cs="Times New Roman"/>
                <w:i w:val="0"/>
                <w:iCs w:val="0"/>
                <w:color w:val="auto"/>
                <w:kern w:val="0"/>
                <w:sz w:val="28"/>
                <w:szCs w:val="28"/>
                <w:highlight w:val="none"/>
                <w:u w:val="none"/>
                <w:lang w:val="en-US" w:eastAsia="zh-CN" w:bidi="ar"/>
              </w:rPr>
              <w:t>34</w:t>
            </w:r>
          </w:p>
        </w:tc>
        <w:tc>
          <w:tcPr>
            <w:tcW w:w="722" w:type="pct"/>
            <w:tcBorders>
              <w:top w:val="single" w:color="auto" w:sz="4" w:space="0"/>
              <w:bottom w:val="single" w:color="auto" w:sz="4" w:space="0"/>
            </w:tcBorders>
            <w:shd w:val="clear" w:color="auto" w:fill="auto"/>
            <w:vAlign w:val="center"/>
          </w:tcPr>
          <w:p w14:paraId="4ABB94A9">
            <w:pPr>
              <w:keepNext w:val="0"/>
              <w:keepLines w:val="0"/>
              <w:pageBreakBefore w:val="0"/>
              <w:widowControl/>
              <w:suppressLineNumbers w:val="0"/>
              <w:kinsoku/>
              <w:wordWrap/>
              <w:overflowPunct/>
              <w:topLinePunct w:val="0"/>
              <w:autoSpaceDE w:val="0"/>
              <w:autoSpaceDN w:val="0"/>
              <w:bidi w:val="0"/>
              <w:adjustRightInd/>
              <w:snapToGrid/>
              <w:jc w:val="center"/>
              <w:textAlignment w:val="center"/>
              <w:rPr>
                <w:rFonts w:hint="default" w:ascii="Times New Roman" w:hAnsi="Times New Roman" w:eastAsia="仿宋" w:cs="Times New Roman"/>
                <w:color w:val="auto"/>
                <w:sz w:val="28"/>
                <w:szCs w:val="28"/>
                <w:highlight w:val="none"/>
                <w:lang w:val="en-US" w:eastAsia="zh-CN" w:bidi="ar-SA"/>
              </w:rPr>
            </w:pPr>
            <w:r>
              <w:rPr>
                <w:rFonts w:hint="default" w:ascii="Times New Roman" w:hAnsi="Times New Roman" w:eastAsia="仿宋" w:cs="Times New Roman"/>
                <w:i w:val="0"/>
                <w:iCs w:val="0"/>
                <w:color w:val="auto"/>
                <w:kern w:val="0"/>
                <w:sz w:val="28"/>
                <w:szCs w:val="28"/>
                <w:highlight w:val="none"/>
                <w:u w:val="none"/>
                <w:lang w:val="en-US" w:eastAsia="zh-CN" w:bidi="ar"/>
              </w:rPr>
              <w:t>显示器</w:t>
            </w:r>
          </w:p>
        </w:tc>
        <w:tc>
          <w:tcPr>
            <w:tcW w:w="3517" w:type="pct"/>
            <w:tcBorders>
              <w:top w:val="single" w:color="auto" w:sz="4" w:space="0"/>
              <w:bottom w:val="single" w:color="auto" w:sz="4" w:space="0"/>
            </w:tcBorders>
            <w:shd w:val="clear" w:color="auto" w:fill="auto"/>
            <w:vAlign w:val="center"/>
          </w:tcPr>
          <w:p w14:paraId="0657F67F">
            <w:pPr>
              <w:keepNext w:val="0"/>
              <w:keepLines w:val="0"/>
              <w:pageBreakBefore w:val="0"/>
              <w:widowControl/>
              <w:suppressLineNumbers w:val="0"/>
              <w:kinsoku/>
              <w:wordWrap/>
              <w:overflowPunct/>
              <w:topLinePunct w:val="0"/>
              <w:autoSpaceDE w:val="0"/>
              <w:autoSpaceDN w:val="0"/>
              <w:bidi w:val="0"/>
              <w:adjustRightInd/>
              <w:snapToGrid/>
              <w:jc w:val="left"/>
              <w:textAlignment w:val="center"/>
              <w:rPr>
                <w:rFonts w:hint="default" w:ascii="Times New Roman" w:hAnsi="Times New Roman" w:eastAsia="仿宋" w:cs="Times New Roman"/>
                <w:i w:val="0"/>
                <w:iCs w:val="0"/>
                <w:color w:val="auto"/>
                <w:kern w:val="0"/>
                <w:sz w:val="28"/>
                <w:szCs w:val="28"/>
                <w:highlight w:val="none"/>
                <w:u w:val="none"/>
                <w:lang w:val="en-US" w:eastAsia="zh-CN" w:bidi="ar"/>
              </w:rPr>
            </w:pPr>
            <w:r>
              <w:rPr>
                <w:rFonts w:hint="default" w:ascii="Times New Roman" w:hAnsi="Times New Roman" w:eastAsia="仿宋" w:cs="Times New Roman"/>
                <w:i w:val="0"/>
                <w:iCs w:val="0"/>
                <w:color w:val="auto"/>
                <w:kern w:val="0"/>
                <w:sz w:val="28"/>
                <w:szCs w:val="28"/>
                <w:highlight w:val="none"/>
                <w:u w:val="none"/>
                <w:lang w:val="en-US" w:eastAsia="zh-CN" w:bidi="ar"/>
              </w:rPr>
              <w:t>颜色：黑色；产品类型：4K超清；能效级别：二级能效以上；屏幕尺寸：不低于50英寸，屏幕比例：16:9；背光源：LED；刷屏率：不低于50HZ；运行内存：不低于1GB；存储内存：不低于8GB;；CPU核数：不低于双核心；USB2.0接口：2个；工作电压：220V；电源功率：＜130W；重量：不高于20KG</w:t>
            </w:r>
            <w:r>
              <w:rPr>
                <w:rFonts w:hint="eastAsia" w:ascii="Times New Roman" w:hAnsi="Times New Roman" w:cs="Times New Roman"/>
                <w:i w:val="0"/>
                <w:iCs w:val="0"/>
                <w:color w:val="auto"/>
                <w:kern w:val="0"/>
                <w:sz w:val="28"/>
                <w:szCs w:val="28"/>
                <w:highlight w:val="none"/>
                <w:u w:val="none"/>
                <w:lang w:val="en-US" w:eastAsia="zh-CN" w:bidi="ar"/>
              </w:rPr>
              <w:t>。</w:t>
            </w:r>
          </w:p>
        </w:tc>
        <w:tc>
          <w:tcPr>
            <w:tcW w:w="414" w:type="pct"/>
            <w:tcBorders>
              <w:top w:val="single" w:color="auto" w:sz="4" w:space="0"/>
              <w:bottom w:val="single" w:color="auto" w:sz="4" w:space="0"/>
            </w:tcBorders>
            <w:vAlign w:val="center"/>
          </w:tcPr>
          <w:p w14:paraId="46328428">
            <w:pPr>
              <w:keepNext w:val="0"/>
              <w:keepLines w:val="0"/>
              <w:widowControl/>
              <w:suppressLineNumbers w:val="0"/>
              <w:jc w:val="center"/>
              <w:textAlignment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i w:val="0"/>
                <w:iCs w:val="0"/>
                <w:color w:val="auto"/>
                <w:kern w:val="0"/>
                <w:sz w:val="20"/>
                <w:szCs w:val="20"/>
                <w:highlight w:val="none"/>
                <w:u w:val="none"/>
                <w:lang w:val="en-US" w:eastAsia="zh-CN" w:bidi="ar"/>
              </w:rPr>
              <w:t>1</w:t>
            </w:r>
            <w:r>
              <w:rPr>
                <w:rStyle w:val="27"/>
                <w:rFonts w:hint="default" w:ascii="Times New Roman" w:hAnsi="Times New Roman" w:eastAsia="仿宋" w:cs="Times New Roman"/>
                <w:color w:val="auto"/>
                <w:highlight w:val="none"/>
                <w:lang w:val="en-US" w:eastAsia="zh-CN" w:bidi="ar"/>
              </w:rPr>
              <w:t>台</w:t>
            </w:r>
          </w:p>
        </w:tc>
      </w:tr>
      <w:tr w14:paraId="5B0B8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345" w:type="pct"/>
            <w:tcBorders>
              <w:top w:val="single" w:color="auto" w:sz="4" w:space="0"/>
              <w:bottom w:val="single" w:color="auto" w:sz="4" w:space="0"/>
            </w:tcBorders>
            <w:shd w:val="clear" w:color="auto" w:fill="auto"/>
            <w:vAlign w:val="center"/>
          </w:tcPr>
          <w:p w14:paraId="61C1E524">
            <w:pPr>
              <w:keepNext w:val="0"/>
              <w:keepLines w:val="0"/>
              <w:pageBreakBefore w:val="0"/>
              <w:widowControl/>
              <w:suppressLineNumbers w:val="0"/>
              <w:kinsoku/>
              <w:wordWrap/>
              <w:overflowPunct/>
              <w:topLinePunct w:val="0"/>
              <w:autoSpaceDE w:val="0"/>
              <w:autoSpaceDN w:val="0"/>
              <w:bidi w:val="0"/>
              <w:adjustRightInd/>
              <w:snapToGrid/>
              <w:jc w:val="left"/>
              <w:textAlignment w:val="bottom"/>
              <w:rPr>
                <w:rFonts w:hint="default" w:ascii="Times New Roman" w:hAnsi="Times New Roman" w:eastAsia="仿宋" w:cs="Times New Roman"/>
                <w:color w:val="auto"/>
                <w:sz w:val="28"/>
                <w:szCs w:val="28"/>
                <w:highlight w:val="none"/>
                <w:lang w:val="en-US" w:eastAsia="zh-CN" w:bidi="ar-SA"/>
              </w:rPr>
            </w:pPr>
            <w:r>
              <w:rPr>
                <w:rFonts w:hint="default" w:ascii="Times New Roman" w:hAnsi="Times New Roman" w:eastAsia="仿宋" w:cs="Times New Roman"/>
                <w:i w:val="0"/>
                <w:iCs w:val="0"/>
                <w:color w:val="auto"/>
                <w:kern w:val="0"/>
                <w:sz w:val="28"/>
                <w:szCs w:val="28"/>
                <w:highlight w:val="none"/>
                <w:u w:val="none"/>
                <w:lang w:val="en-US" w:eastAsia="zh-CN" w:bidi="ar"/>
              </w:rPr>
              <w:t>35</w:t>
            </w:r>
          </w:p>
        </w:tc>
        <w:tc>
          <w:tcPr>
            <w:tcW w:w="722" w:type="pct"/>
            <w:tcBorders>
              <w:top w:val="single" w:color="auto" w:sz="4" w:space="0"/>
              <w:bottom w:val="single" w:color="auto" w:sz="4" w:space="0"/>
            </w:tcBorders>
            <w:shd w:val="clear" w:color="auto" w:fill="auto"/>
            <w:vAlign w:val="center"/>
          </w:tcPr>
          <w:p w14:paraId="0D1BB80F">
            <w:pPr>
              <w:keepNext w:val="0"/>
              <w:keepLines w:val="0"/>
              <w:pageBreakBefore w:val="0"/>
              <w:widowControl/>
              <w:suppressLineNumbers w:val="0"/>
              <w:kinsoku/>
              <w:wordWrap/>
              <w:overflowPunct/>
              <w:topLinePunct w:val="0"/>
              <w:autoSpaceDE w:val="0"/>
              <w:autoSpaceDN w:val="0"/>
              <w:bidi w:val="0"/>
              <w:adjustRightInd/>
              <w:snapToGrid/>
              <w:jc w:val="center"/>
              <w:textAlignment w:val="center"/>
              <w:rPr>
                <w:rFonts w:hint="default" w:ascii="Times New Roman" w:hAnsi="Times New Roman" w:eastAsia="仿宋" w:cs="Times New Roman"/>
                <w:color w:val="auto"/>
                <w:sz w:val="28"/>
                <w:szCs w:val="28"/>
                <w:highlight w:val="none"/>
                <w:lang w:val="en-US" w:eastAsia="zh-CN" w:bidi="ar-SA"/>
              </w:rPr>
            </w:pPr>
            <w:r>
              <w:rPr>
                <w:rFonts w:hint="default" w:ascii="Times New Roman" w:hAnsi="Times New Roman" w:eastAsia="仿宋" w:cs="Times New Roman"/>
                <w:i w:val="0"/>
                <w:iCs w:val="0"/>
                <w:color w:val="auto"/>
                <w:kern w:val="0"/>
                <w:sz w:val="28"/>
                <w:szCs w:val="28"/>
                <w:highlight w:val="none"/>
                <w:u w:val="none"/>
                <w:lang w:val="en-US" w:eastAsia="zh-CN" w:bidi="ar"/>
              </w:rPr>
              <w:t>防爆线管及线缆</w:t>
            </w:r>
          </w:p>
        </w:tc>
        <w:tc>
          <w:tcPr>
            <w:tcW w:w="3517" w:type="pct"/>
            <w:tcBorders>
              <w:top w:val="single" w:color="auto" w:sz="4" w:space="0"/>
              <w:bottom w:val="single" w:color="auto" w:sz="4" w:space="0"/>
            </w:tcBorders>
            <w:shd w:val="clear" w:color="auto" w:fill="auto"/>
            <w:vAlign w:val="center"/>
          </w:tcPr>
          <w:p w14:paraId="077E96AE">
            <w:pPr>
              <w:keepNext w:val="0"/>
              <w:keepLines w:val="0"/>
              <w:pageBreakBefore w:val="0"/>
              <w:widowControl/>
              <w:suppressLineNumbers w:val="0"/>
              <w:kinsoku/>
              <w:wordWrap/>
              <w:overflowPunct/>
              <w:topLinePunct w:val="0"/>
              <w:autoSpaceDE w:val="0"/>
              <w:autoSpaceDN w:val="0"/>
              <w:bidi w:val="0"/>
              <w:adjustRightInd/>
              <w:snapToGrid/>
              <w:jc w:val="left"/>
              <w:textAlignment w:val="center"/>
              <w:rPr>
                <w:rFonts w:hint="default" w:ascii="Times New Roman" w:hAnsi="Times New Roman" w:eastAsia="仿宋" w:cs="Times New Roman"/>
                <w:i w:val="0"/>
                <w:iCs w:val="0"/>
                <w:color w:val="auto"/>
                <w:kern w:val="0"/>
                <w:sz w:val="28"/>
                <w:szCs w:val="28"/>
                <w:highlight w:val="none"/>
                <w:u w:val="none"/>
                <w:lang w:val="en-US" w:eastAsia="zh-CN" w:bidi="ar"/>
              </w:rPr>
            </w:pPr>
            <w:r>
              <w:rPr>
                <w:rFonts w:hint="default" w:ascii="Times New Roman" w:hAnsi="Times New Roman" w:eastAsia="仿宋" w:cs="Times New Roman"/>
                <w:i w:val="0"/>
                <w:iCs w:val="0"/>
                <w:color w:val="auto"/>
                <w:kern w:val="0"/>
                <w:sz w:val="28"/>
                <w:szCs w:val="28"/>
                <w:highlight w:val="none"/>
                <w:u w:val="none"/>
                <w:lang w:val="en-US" w:eastAsia="zh-CN" w:bidi="ar"/>
              </w:rPr>
              <w:t>纯铜RVV多芯控制线缆，无氧铜芯；绝缘材质：聚氯乙烯；颜色：黑色；安装方式：内部线缆，外部采用绝缘镀锌管，全防爆密封。</w:t>
            </w:r>
          </w:p>
        </w:tc>
        <w:tc>
          <w:tcPr>
            <w:tcW w:w="414" w:type="pct"/>
            <w:tcBorders>
              <w:top w:val="single" w:color="auto" w:sz="4" w:space="0"/>
              <w:bottom w:val="single" w:color="auto" w:sz="4" w:space="0"/>
            </w:tcBorders>
            <w:vAlign w:val="center"/>
          </w:tcPr>
          <w:p w14:paraId="5C9C0522">
            <w:pPr>
              <w:keepNext w:val="0"/>
              <w:keepLines w:val="0"/>
              <w:widowControl/>
              <w:suppressLineNumbers w:val="0"/>
              <w:jc w:val="center"/>
              <w:textAlignment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i w:val="0"/>
                <w:iCs w:val="0"/>
                <w:color w:val="auto"/>
                <w:kern w:val="0"/>
                <w:sz w:val="20"/>
                <w:szCs w:val="20"/>
                <w:highlight w:val="none"/>
                <w:u w:val="none"/>
                <w:lang w:val="en-US" w:eastAsia="zh-CN" w:bidi="ar"/>
              </w:rPr>
              <w:t>400</w:t>
            </w:r>
            <w:r>
              <w:rPr>
                <w:rStyle w:val="27"/>
                <w:rFonts w:hint="default" w:ascii="Times New Roman" w:hAnsi="Times New Roman" w:eastAsia="仿宋" w:cs="Times New Roman"/>
                <w:color w:val="auto"/>
                <w:highlight w:val="none"/>
                <w:lang w:val="en-US" w:eastAsia="zh-CN" w:bidi="ar"/>
              </w:rPr>
              <w:t>米</w:t>
            </w:r>
          </w:p>
        </w:tc>
      </w:tr>
      <w:tr w14:paraId="07A43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345" w:type="pct"/>
            <w:tcBorders>
              <w:top w:val="single" w:color="auto" w:sz="4" w:space="0"/>
              <w:bottom w:val="single" w:color="auto" w:sz="4" w:space="0"/>
            </w:tcBorders>
            <w:shd w:val="clear" w:color="auto" w:fill="auto"/>
            <w:vAlign w:val="center"/>
          </w:tcPr>
          <w:p w14:paraId="210F1FC4">
            <w:pPr>
              <w:keepNext w:val="0"/>
              <w:keepLines w:val="0"/>
              <w:pageBreakBefore w:val="0"/>
              <w:widowControl/>
              <w:suppressLineNumbers w:val="0"/>
              <w:kinsoku/>
              <w:wordWrap/>
              <w:overflowPunct/>
              <w:topLinePunct w:val="0"/>
              <w:autoSpaceDE w:val="0"/>
              <w:autoSpaceDN w:val="0"/>
              <w:bidi w:val="0"/>
              <w:adjustRightInd/>
              <w:snapToGrid/>
              <w:jc w:val="left"/>
              <w:textAlignment w:val="bottom"/>
              <w:rPr>
                <w:rFonts w:hint="default" w:ascii="Times New Roman" w:hAnsi="Times New Roman" w:eastAsia="仿宋" w:cs="Times New Roman"/>
                <w:color w:val="auto"/>
                <w:sz w:val="28"/>
                <w:szCs w:val="28"/>
                <w:highlight w:val="none"/>
                <w:lang w:val="en-US" w:eastAsia="zh-CN" w:bidi="ar-SA"/>
              </w:rPr>
            </w:pPr>
            <w:r>
              <w:rPr>
                <w:rFonts w:hint="default" w:ascii="Times New Roman" w:hAnsi="Times New Roman" w:eastAsia="仿宋" w:cs="Times New Roman"/>
                <w:i w:val="0"/>
                <w:iCs w:val="0"/>
                <w:color w:val="auto"/>
                <w:kern w:val="0"/>
                <w:sz w:val="28"/>
                <w:szCs w:val="28"/>
                <w:highlight w:val="none"/>
                <w:u w:val="none"/>
                <w:lang w:val="en-US" w:eastAsia="zh-CN" w:bidi="ar"/>
              </w:rPr>
              <w:t>36</w:t>
            </w:r>
          </w:p>
        </w:tc>
        <w:tc>
          <w:tcPr>
            <w:tcW w:w="722" w:type="pct"/>
            <w:tcBorders>
              <w:top w:val="single" w:color="auto" w:sz="4" w:space="0"/>
              <w:bottom w:val="single" w:color="auto" w:sz="4" w:space="0"/>
            </w:tcBorders>
            <w:shd w:val="clear" w:color="auto" w:fill="auto"/>
            <w:vAlign w:val="center"/>
          </w:tcPr>
          <w:p w14:paraId="08FD4AEB">
            <w:pPr>
              <w:keepNext w:val="0"/>
              <w:keepLines w:val="0"/>
              <w:pageBreakBefore w:val="0"/>
              <w:widowControl/>
              <w:suppressLineNumbers w:val="0"/>
              <w:kinsoku/>
              <w:wordWrap/>
              <w:overflowPunct/>
              <w:topLinePunct w:val="0"/>
              <w:autoSpaceDE w:val="0"/>
              <w:autoSpaceDN w:val="0"/>
              <w:bidi w:val="0"/>
              <w:adjustRightInd/>
              <w:snapToGrid/>
              <w:jc w:val="center"/>
              <w:textAlignment w:val="center"/>
              <w:rPr>
                <w:rFonts w:hint="default" w:ascii="Times New Roman" w:hAnsi="Times New Roman" w:eastAsia="仿宋" w:cs="Times New Roman"/>
                <w:color w:val="auto"/>
                <w:sz w:val="28"/>
                <w:szCs w:val="28"/>
                <w:highlight w:val="none"/>
                <w:lang w:val="en-US" w:eastAsia="zh-CN" w:bidi="ar-SA"/>
              </w:rPr>
            </w:pPr>
            <w:r>
              <w:rPr>
                <w:rFonts w:hint="default" w:ascii="Times New Roman" w:hAnsi="Times New Roman" w:eastAsia="仿宋" w:cs="Times New Roman"/>
                <w:i w:val="0"/>
                <w:iCs w:val="0"/>
                <w:color w:val="auto"/>
                <w:kern w:val="0"/>
                <w:sz w:val="28"/>
                <w:szCs w:val="28"/>
                <w:highlight w:val="none"/>
                <w:u w:val="none"/>
                <w:lang w:val="en-US" w:eastAsia="zh-CN" w:bidi="ar"/>
              </w:rPr>
              <w:t>五金配件</w:t>
            </w:r>
          </w:p>
        </w:tc>
        <w:tc>
          <w:tcPr>
            <w:tcW w:w="3517" w:type="pct"/>
            <w:tcBorders>
              <w:top w:val="single" w:color="auto" w:sz="4" w:space="0"/>
              <w:bottom w:val="single" w:color="auto" w:sz="4" w:space="0"/>
            </w:tcBorders>
            <w:shd w:val="clear" w:color="auto" w:fill="auto"/>
            <w:vAlign w:val="center"/>
          </w:tcPr>
          <w:p w14:paraId="61A57A07">
            <w:pPr>
              <w:keepNext w:val="0"/>
              <w:keepLines w:val="0"/>
              <w:pageBreakBefore w:val="0"/>
              <w:widowControl/>
              <w:suppressLineNumbers w:val="0"/>
              <w:kinsoku/>
              <w:wordWrap/>
              <w:overflowPunct/>
              <w:topLinePunct w:val="0"/>
              <w:autoSpaceDE w:val="0"/>
              <w:autoSpaceDN w:val="0"/>
              <w:bidi w:val="0"/>
              <w:adjustRightInd/>
              <w:snapToGrid/>
              <w:jc w:val="left"/>
              <w:textAlignment w:val="center"/>
              <w:rPr>
                <w:rFonts w:hint="default" w:ascii="Times New Roman" w:hAnsi="Times New Roman" w:eastAsia="仿宋" w:cs="Times New Roman"/>
                <w:i w:val="0"/>
                <w:iCs w:val="0"/>
                <w:color w:val="auto"/>
                <w:kern w:val="0"/>
                <w:sz w:val="28"/>
                <w:szCs w:val="28"/>
                <w:highlight w:val="none"/>
                <w:u w:val="none"/>
                <w:lang w:val="en-US" w:eastAsia="zh-CN" w:bidi="ar"/>
              </w:rPr>
            </w:pPr>
            <w:r>
              <w:rPr>
                <w:rFonts w:hint="default" w:ascii="Times New Roman" w:hAnsi="Times New Roman" w:eastAsia="仿宋" w:cs="Times New Roman"/>
                <w:i w:val="0"/>
                <w:iCs w:val="0"/>
                <w:color w:val="auto"/>
                <w:kern w:val="0"/>
                <w:sz w:val="28"/>
                <w:szCs w:val="28"/>
                <w:highlight w:val="none"/>
                <w:u w:val="none"/>
                <w:lang w:val="en-US" w:eastAsia="zh-CN" w:bidi="ar"/>
              </w:rPr>
              <w:t>管码、导轨</w:t>
            </w:r>
          </w:p>
        </w:tc>
        <w:tc>
          <w:tcPr>
            <w:tcW w:w="414" w:type="pct"/>
            <w:tcBorders>
              <w:top w:val="single" w:color="auto" w:sz="4" w:space="0"/>
              <w:bottom w:val="single" w:color="auto" w:sz="4" w:space="0"/>
            </w:tcBorders>
            <w:vAlign w:val="center"/>
          </w:tcPr>
          <w:p w14:paraId="40D3B35B">
            <w:pPr>
              <w:keepNext w:val="0"/>
              <w:keepLines w:val="0"/>
              <w:widowControl/>
              <w:suppressLineNumbers w:val="0"/>
              <w:jc w:val="center"/>
              <w:textAlignment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i w:val="0"/>
                <w:iCs w:val="0"/>
                <w:color w:val="auto"/>
                <w:kern w:val="0"/>
                <w:sz w:val="20"/>
                <w:szCs w:val="20"/>
                <w:highlight w:val="none"/>
                <w:u w:val="none"/>
                <w:lang w:val="en-US" w:eastAsia="zh-CN" w:bidi="ar"/>
              </w:rPr>
              <w:t>1</w:t>
            </w:r>
            <w:r>
              <w:rPr>
                <w:rStyle w:val="27"/>
                <w:rFonts w:hint="default" w:ascii="Times New Roman" w:hAnsi="Times New Roman" w:eastAsia="仿宋" w:cs="Times New Roman"/>
                <w:color w:val="auto"/>
                <w:highlight w:val="none"/>
                <w:lang w:val="en-US" w:eastAsia="zh-CN" w:bidi="ar"/>
              </w:rPr>
              <w:t>项</w:t>
            </w:r>
          </w:p>
        </w:tc>
      </w:tr>
    </w:tbl>
    <w:p w14:paraId="2CE0CD0F">
      <w:pPr>
        <w:spacing w:line="360" w:lineRule="auto"/>
        <w:ind w:firstLine="560" w:firstLineChars="200"/>
        <w:jc w:val="both"/>
        <w:rPr>
          <w:rFonts w:ascii="Times New Roman"/>
          <w:color w:val="auto"/>
          <w:sz w:val="28"/>
          <w:highlight w:val="none"/>
        </w:rPr>
      </w:pPr>
      <w:r>
        <w:rPr>
          <w:rFonts w:hint="eastAsia" w:ascii="Times New Roman"/>
          <w:color w:val="auto"/>
          <w:sz w:val="28"/>
          <w:highlight w:val="none"/>
        </w:rPr>
        <w:t>注意事项：</w:t>
      </w:r>
    </w:p>
    <w:p w14:paraId="472780E8">
      <w:pPr>
        <w:pStyle w:val="19"/>
        <w:tabs>
          <w:tab w:val="left" w:pos="2264"/>
        </w:tabs>
        <w:spacing w:line="360" w:lineRule="auto"/>
        <w:ind w:left="0" w:firstLine="560" w:firstLineChars="200"/>
        <w:jc w:val="both"/>
        <w:rPr>
          <w:color w:val="auto"/>
          <w:sz w:val="28"/>
          <w:highlight w:val="none"/>
        </w:rPr>
      </w:pPr>
      <w:r>
        <w:rPr>
          <w:rFonts w:hint="eastAsia"/>
          <w:color w:val="auto"/>
          <w:sz w:val="28"/>
          <w:highlight w:val="none"/>
        </w:rPr>
        <w:t>（1）</w:t>
      </w:r>
      <w:r>
        <w:rPr>
          <w:color w:val="auto"/>
          <w:sz w:val="28"/>
          <w:highlight w:val="none"/>
        </w:rPr>
        <w:t>此项目为交钥匙项目，投标人须针对以上采购清单结合项目情况，完整考虑产品配置及配套设备进行综合报价，必须保障所投产品所能实现的功能应包括且优于项目实现功能。</w:t>
      </w:r>
    </w:p>
    <w:p w14:paraId="5189108F">
      <w:pPr>
        <w:pStyle w:val="19"/>
        <w:tabs>
          <w:tab w:val="left" w:pos="2264"/>
        </w:tabs>
        <w:spacing w:line="360" w:lineRule="auto"/>
        <w:ind w:left="0" w:firstLine="560" w:firstLineChars="200"/>
        <w:jc w:val="both"/>
        <w:rPr>
          <w:color w:val="auto"/>
          <w:sz w:val="28"/>
          <w:highlight w:val="none"/>
        </w:rPr>
      </w:pPr>
      <w:r>
        <w:rPr>
          <w:rFonts w:hint="eastAsia"/>
          <w:color w:val="auto"/>
          <w:sz w:val="28"/>
          <w:highlight w:val="none"/>
        </w:rPr>
        <w:t>（2）</w:t>
      </w:r>
      <w:r>
        <w:rPr>
          <w:color w:val="auto"/>
          <w:sz w:val="28"/>
          <w:highlight w:val="none"/>
        </w:rPr>
        <w:t>投标人所投产品应等同或相当于或高于招标文件所描述的技术要求。</w:t>
      </w:r>
    </w:p>
    <w:p w14:paraId="124D1458">
      <w:pPr>
        <w:pStyle w:val="19"/>
        <w:tabs>
          <w:tab w:val="left" w:pos="2264"/>
        </w:tabs>
        <w:spacing w:line="360" w:lineRule="auto"/>
        <w:ind w:left="0" w:firstLine="560" w:firstLineChars="200"/>
        <w:jc w:val="both"/>
        <w:rPr>
          <w:color w:val="auto"/>
          <w:sz w:val="28"/>
          <w:highlight w:val="none"/>
        </w:rPr>
      </w:pPr>
      <w:r>
        <w:rPr>
          <w:rFonts w:hint="eastAsia"/>
          <w:color w:val="auto"/>
          <w:sz w:val="28"/>
          <w:highlight w:val="none"/>
        </w:rPr>
        <w:t>（3）</w:t>
      </w:r>
      <w:r>
        <w:rPr>
          <w:color w:val="auto"/>
          <w:sz w:val="28"/>
          <w:highlight w:val="none"/>
        </w:rPr>
        <w:t>所有提供投标产品须提供质保期内技术支持、保修和相关服务。</w:t>
      </w:r>
    </w:p>
    <w:p w14:paraId="32123801">
      <w:pPr>
        <w:widowControl/>
        <w:autoSpaceDE/>
        <w:autoSpaceDN/>
        <w:spacing w:line="360" w:lineRule="auto"/>
        <w:ind w:firstLine="560" w:firstLineChars="200"/>
        <w:jc w:val="both"/>
        <w:rPr>
          <w:rFonts w:ascii="宋体" w:hAnsi="宋体" w:eastAsia="宋体" w:cs="宋体"/>
          <w:color w:val="auto"/>
          <w:sz w:val="32"/>
          <w:szCs w:val="32"/>
          <w:highlight w:val="none"/>
        </w:rPr>
      </w:pPr>
      <w:r>
        <w:rPr>
          <w:rFonts w:hint="eastAsia"/>
          <w:color w:val="auto"/>
          <w:sz w:val="28"/>
          <w:highlight w:val="none"/>
        </w:rPr>
        <w:t>（4）</w:t>
      </w:r>
      <w:r>
        <w:rPr>
          <w:color w:val="auto"/>
          <w:sz w:val="28"/>
          <w:highlight w:val="none"/>
        </w:rPr>
        <w:t>投标人根据招标文件</w:t>
      </w:r>
      <w:r>
        <w:rPr>
          <w:rFonts w:hint="eastAsia"/>
          <w:color w:val="auto"/>
          <w:sz w:val="28"/>
          <w:highlight w:val="none"/>
        </w:rPr>
        <w:t>采购</w:t>
      </w:r>
      <w:r>
        <w:rPr>
          <w:color w:val="auto"/>
          <w:sz w:val="28"/>
          <w:highlight w:val="none"/>
        </w:rPr>
        <w:t>需求提供相应的证明文件。</w:t>
      </w:r>
    </w:p>
    <w:p w14:paraId="7FFB5580">
      <w:pPr>
        <w:spacing w:line="360" w:lineRule="auto"/>
        <w:ind w:firstLine="560" w:firstLineChars="200"/>
        <w:jc w:val="both"/>
        <w:rPr>
          <w:rFonts w:ascii="Times New Roman"/>
          <w:color w:val="auto"/>
          <w:sz w:val="28"/>
          <w:highlight w:val="none"/>
        </w:rPr>
      </w:pPr>
      <w:r>
        <w:rPr>
          <w:rFonts w:hint="eastAsia" w:ascii="Times New Roman"/>
          <w:color w:val="auto"/>
          <w:sz w:val="28"/>
          <w:highlight w:val="none"/>
        </w:rPr>
        <w:t>三、商务要求：</w:t>
      </w:r>
    </w:p>
    <w:p w14:paraId="680C1937">
      <w:pPr>
        <w:widowControl/>
        <w:numPr>
          <w:ilvl w:val="0"/>
          <w:numId w:val="22"/>
        </w:numPr>
        <w:autoSpaceDE/>
        <w:autoSpaceDN/>
        <w:spacing w:line="360" w:lineRule="auto"/>
        <w:ind w:firstLine="560" w:firstLineChars="200"/>
        <w:jc w:val="both"/>
        <w:rPr>
          <w:color w:val="auto"/>
          <w:sz w:val="28"/>
          <w:szCs w:val="28"/>
          <w:highlight w:val="none"/>
        </w:rPr>
      </w:pPr>
      <w:r>
        <w:rPr>
          <w:rFonts w:hint="eastAsia"/>
          <w:color w:val="auto"/>
          <w:sz w:val="28"/>
          <w:szCs w:val="28"/>
          <w:highlight w:val="none"/>
        </w:rPr>
        <w:t>交货期：合同生效后且接到采购人书面供货通知后</w:t>
      </w:r>
      <w:r>
        <w:rPr>
          <w:rFonts w:hint="eastAsia"/>
          <w:color w:val="auto"/>
          <w:sz w:val="28"/>
          <w:szCs w:val="28"/>
          <w:highlight w:val="none"/>
          <w:lang w:val="en-US" w:eastAsia="zh-CN"/>
        </w:rPr>
        <w:t>45</w:t>
      </w:r>
      <w:r>
        <w:rPr>
          <w:rFonts w:hint="eastAsia"/>
          <w:color w:val="auto"/>
          <w:sz w:val="28"/>
          <w:szCs w:val="28"/>
          <w:highlight w:val="none"/>
        </w:rPr>
        <w:t>日历天内完成供货、安装及调试。</w:t>
      </w:r>
    </w:p>
    <w:p w14:paraId="33304DCA">
      <w:pPr>
        <w:widowControl/>
        <w:numPr>
          <w:ilvl w:val="0"/>
          <w:numId w:val="22"/>
        </w:numPr>
        <w:autoSpaceDE/>
        <w:autoSpaceDN/>
        <w:spacing w:line="360" w:lineRule="auto"/>
        <w:ind w:firstLine="560" w:firstLineChars="200"/>
        <w:jc w:val="both"/>
        <w:rPr>
          <w:color w:val="auto"/>
          <w:sz w:val="28"/>
          <w:szCs w:val="28"/>
          <w:highlight w:val="none"/>
        </w:rPr>
      </w:pPr>
      <w:r>
        <w:rPr>
          <w:rFonts w:hint="eastAsia"/>
          <w:color w:val="auto"/>
          <w:sz w:val="28"/>
          <w:szCs w:val="28"/>
          <w:highlight w:val="none"/>
        </w:rPr>
        <w:t>质保期：</w:t>
      </w:r>
      <w:r>
        <w:rPr>
          <w:rFonts w:hint="eastAsia"/>
          <w:color w:val="auto"/>
          <w:sz w:val="28"/>
          <w:szCs w:val="28"/>
          <w:highlight w:val="none"/>
          <w:lang w:eastAsia="zh-CN"/>
        </w:rPr>
        <w:t>1年，自验收合格之日起计算</w:t>
      </w:r>
      <w:r>
        <w:rPr>
          <w:rFonts w:hint="eastAsia"/>
          <w:color w:val="auto"/>
          <w:sz w:val="28"/>
          <w:szCs w:val="28"/>
          <w:highlight w:val="none"/>
        </w:rPr>
        <w:t>。</w:t>
      </w:r>
    </w:p>
    <w:p w14:paraId="5F250D0E">
      <w:pPr>
        <w:widowControl/>
        <w:numPr>
          <w:ilvl w:val="0"/>
          <w:numId w:val="22"/>
        </w:numPr>
        <w:autoSpaceDE/>
        <w:autoSpaceDN/>
        <w:spacing w:line="360" w:lineRule="auto"/>
        <w:ind w:firstLine="560" w:firstLineChars="200"/>
        <w:jc w:val="both"/>
        <w:rPr>
          <w:color w:val="auto"/>
          <w:sz w:val="28"/>
          <w:szCs w:val="28"/>
          <w:highlight w:val="none"/>
        </w:rPr>
      </w:pPr>
      <w:r>
        <w:rPr>
          <w:rFonts w:hint="eastAsia"/>
          <w:color w:val="auto"/>
          <w:sz w:val="28"/>
          <w:szCs w:val="28"/>
          <w:highlight w:val="none"/>
        </w:rPr>
        <w:t>质量要求：合格，符合国家标准、行业相关标准。</w:t>
      </w:r>
    </w:p>
    <w:p w14:paraId="2B72C7A6">
      <w:pPr>
        <w:widowControl/>
        <w:numPr>
          <w:ilvl w:val="0"/>
          <w:numId w:val="22"/>
        </w:numPr>
        <w:autoSpaceDE/>
        <w:autoSpaceDN/>
        <w:spacing w:line="360" w:lineRule="auto"/>
        <w:ind w:firstLine="560" w:firstLineChars="200"/>
        <w:jc w:val="both"/>
        <w:rPr>
          <w:color w:val="auto"/>
          <w:sz w:val="28"/>
          <w:szCs w:val="28"/>
          <w:highlight w:val="none"/>
        </w:rPr>
      </w:pPr>
      <w:r>
        <w:rPr>
          <w:rFonts w:hint="eastAsia"/>
          <w:color w:val="auto"/>
          <w:sz w:val="28"/>
          <w:szCs w:val="28"/>
          <w:highlight w:val="none"/>
        </w:rPr>
        <w:t>交货地点：</w:t>
      </w:r>
      <w:r>
        <w:rPr>
          <w:rFonts w:hint="eastAsia"/>
          <w:bCs/>
          <w:color w:val="auto"/>
          <w:sz w:val="28"/>
          <w:szCs w:val="28"/>
          <w:highlight w:val="none"/>
        </w:rPr>
        <w:t>河南理工大学（</w:t>
      </w:r>
      <w:r>
        <w:rPr>
          <w:rFonts w:hint="eastAsia"/>
          <w:color w:val="auto"/>
          <w:sz w:val="28"/>
          <w:szCs w:val="28"/>
          <w:highlight w:val="none"/>
        </w:rPr>
        <w:t>采购人指定地点）</w:t>
      </w:r>
    </w:p>
    <w:p w14:paraId="6D6204EB">
      <w:pPr>
        <w:widowControl/>
        <w:numPr>
          <w:ilvl w:val="0"/>
          <w:numId w:val="22"/>
        </w:numPr>
        <w:autoSpaceDE/>
        <w:autoSpaceDN/>
        <w:spacing w:line="360" w:lineRule="auto"/>
        <w:ind w:firstLine="560" w:firstLineChars="200"/>
        <w:jc w:val="both"/>
        <w:rPr>
          <w:color w:val="auto"/>
          <w:sz w:val="28"/>
          <w:szCs w:val="28"/>
          <w:highlight w:val="none"/>
        </w:rPr>
      </w:pPr>
      <w:r>
        <w:rPr>
          <w:rFonts w:hint="eastAsia"/>
          <w:color w:val="auto"/>
          <w:sz w:val="28"/>
          <w:szCs w:val="28"/>
          <w:highlight w:val="none"/>
        </w:rPr>
        <w:t>售后服务：接到用户报修通知后，及时响应并电话做出维修方案，如短时间无法通过电话解决问题，派维修人员到达用户现场予以维修，直到解除故障为止。</w:t>
      </w:r>
    </w:p>
    <w:p w14:paraId="64638E80">
      <w:pPr>
        <w:widowControl/>
        <w:numPr>
          <w:ilvl w:val="0"/>
          <w:numId w:val="22"/>
        </w:numPr>
        <w:autoSpaceDE/>
        <w:autoSpaceDN/>
        <w:spacing w:line="360" w:lineRule="auto"/>
        <w:ind w:firstLine="560" w:firstLineChars="200"/>
        <w:jc w:val="both"/>
        <w:rPr>
          <w:color w:val="auto"/>
          <w:sz w:val="28"/>
          <w:szCs w:val="28"/>
          <w:highlight w:val="none"/>
        </w:rPr>
      </w:pPr>
      <w:r>
        <w:rPr>
          <w:rFonts w:hint="eastAsia"/>
          <w:color w:val="auto"/>
          <w:sz w:val="28"/>
          <w:szCs w:val="28"/>
          <w:highlight w:val="none"/>
        </w:rPr>
        <w:t>培训服务：供应商应当安排技术人员免费为采购人人员进行技术培训和现场指导，使购买的货物达到国家规定运行标准和使用要求。设备安装后在现场对用户进行免费培训，培训内容包括但不限于：仪器的基本原理、操作、日常维护；设备各构造及基本功能说明；操作软件各式功能说明。使用户达到独立操作水平。</w:t>
      </w:r>
    </w:p>
    <w:p w14:paraId="5A5EAA54">
      <w:pPr>
        <w:widowControl/>
        <w:numPr>
          <w:ilvl w:val="0"/>
          <w:numId w:val="22"/>
        </w:numPr>
        <w:autoSpaceDE/>
        <w:autoSpaceDN/>
        <w:spacing w:line="360" w:lineRule="auto"/>
        <w:ind w:firstLine="560" w:firstLineChars="200"/>
        <w:jc w:val="both"/>
        <w:rPr>
          <w:color w:val="auto"/>
          <w:sz w:val="28"/>
          <w:szCs w:val="28"/>
          <w:highlight w:val="none"/>
        </w:rPr>
      </w:pPr>
      <w:r>
        <w:rPr>
          <w:rFonts w:hint="eastAsia"/>
          <w:color w:val="auto"/>
          <w:sz w:val="28"/>
          <w:szCs w:val="28"/>
          <w:highlight w:val="none"/>
        </w:rPr>
        <w:t>包装与运输要求：参照《商品包装政府采购需求标准（试行）》，应使用环保且足够的材料进行包装，选择合适的运输方式和工具，确保货物在运输、装卸过程中完好无损。制定合理的配送方案，确保货物安全、及时送达，项目进度不受影响。</w:t>
      </w:r>
    </w:p>
    <w:p w14:paraId="7CB92C95">
      <w:pPr>
        <w:widowControl/>
        <w:numPr>
          <w:ilvl w:val="0"/>
          <w:numId w:val="22"/>
        </w:numPr>
        <w:autoSpaceDE/>
        <w:autoSpaceDN/>
        <w:spacing w:line="360" w:lineRule="auto"/>
        <w:ind w:firstLine="560" w:firstLineChars="200"/>
        <w:jc w:val="both"/>
        <w:rPr>
          <w:color w:val="auto"/>
          <w:sz w:val="28"/>
          <w:szCs w:val="28"/>
          <w:highlight w:val="none"/>
        </w:rPr>
      </w:pPr>
      <w:r>
        <w:rPr>
          <w:rFonts w:hint="eastAsia"/>
          <w:color w:val="auto"/>
          <w:sz w:val="28"/>
          <w:szCs w:val="28"/>
          <w:highlight w:val="none"/>
        </w:rPr>
        <w:t>其他要求：</w:t>
      </w:r>
    </w:p>
    <w:p w14:paraId="66F048B0">
      <w:pPr>
        <w:widowControl/>
        <w:autoSpaceDE/>
        <w:autoSpaceDN/>
        <w:spacing w:line="360" w:lineRule="auto"/>
        <w:ind w:firstLine="560" w:firstLineChars="200"/>
        <w:jc w:val="both"/>
        <w:rPr>
          <w:color w:val="auto"/>
          <w:sz w:val="28"/>
          <w:szCs w:val="28"/>
          <w:highlight w:val="none"/>
        </w:rPr>
      </w:pPr>
      <w:r>
        <w:rPr>
          <w:rFonts w:hint="eastAsia"/>
          <w:color w:val="auto"/>
          <w:sz w:val="28"/>
          <w:szCs w:val="28"/>
          <w:highlight w:val="none"/>
        </w:rPr>
        <w:t>（1）供应商应保证货物是全新、未使用过的，并完全符合国家相关技术质量规范及该货物的出厂标准。</w:t>
      </w:r>
    </w:p>
    <w:p w14:paraId="2B216BD2">
      <w:pPr>
        <w:widowControl/>
        <w:autoSpaceDE/>
        <w:autoSpaceDN/>
        <w:spacing w:line="360" w:lineRule="auto"/>
        <w:ind w:firstLine="560" w:firstLineChars="200"/>
        <w:jc w:val="both"/>
        <w:rPr>
          <w:rFonts w:hint="eastAsia"/>
          <w:color w:val="auto"/>
          <w:sz w:val="28"/>
          <w:szCs w:val="28"/>
          <w:highlight w:val="none"/>
        </w:rPr>
      </w:pPr>
      <w:r>
        <w:rPr>
          <w:rFonts w:hint="eastAsia"/>
          <w:color w:val="auto"/>
          <w:sz w:val="28"/>
          <w:szCs w:val="28"/>
          <w:highlight w:val="none"/>
        </w:rPr>
        <w:t>（2）合同签订后7天之内，供应商应将每套货物的中（英）文技术资料一套（如目录索引、操作手册、使用指南、维修指南（或）服务手册）提交给采购人。另外一套完整的上述资料供应商应包装好随同每批货物装箱发运。</w:t>
      </w:r>
    </w:p>
    <w:p w14:paraId="7770FAE9">
      <w:pPr>
        <w:widowControl/>
        <w:autoSpaceDE/>
        <w:autoSpaceDN/>
        <w:spacing w:line="360" w:lineRule="auto"/>
        <w:ind w:firstLine="562" w:firstLineChars="200"/>
        <w:jc w:val="both"/>
        <w:rPr>
          <w:rFonts w:hint="eastAsia"/>
          <w:b/>
          <w:bCs/>
          <w:color w:val="auto"/>
          <w:sz w:val="28"/>
          <w:szCs w:val="28"/>
          <w:highlight w:val="yellow"/>
        </w:rPr>
      </w:pPr>
      <w:r>
        <w:rPr>
          <w:rFonts w:hint="eastAsia"/>
          <w:b/>
          <w:bCs/>
          <w:color w:val="auto"/>
          <w:sz w:val="28"/>
          <w:szCs w:val="28"/>
          <w:highlight w:val="none"/>
          <w:lang w:eastAsia="zh-CN"/>
        </w:rPr>
        <w:t>（</w:t>
      </w:r>
      <w:r>
        <w:rPr>
          <w:rFonts w:hint="eastAsia"/>
          <w:b/>
          <w:bCs/>
          <w:color w:val="auto"/>
          <w:sz w:val="28"/>
          <w:szCs w:val="28"/>
          <w:highlight w:val="none"/>
          <w:lang w:val="en-US" w:eastAsia="zh-CN"/>
        </w:rPr>
        <w:t>3</w:t>
      </w:r>
      <w:r>
        <w:rPr>
          <w:rFonts w:hint="eastAsia"/>
          <w:b/>
          <w:bCs/>
          <w:color w:val="auto"/>
          <w:sz w:val="28"/>
          <w:szCs w:val="28"/>
          <w:highlight w:val="none"/>
          <w:lang w:eastAsia="zh-CN"/>
        </w:rPr>
        <w:t>）供应商应承诺中标后、进场前实际施工主体须提交安全生产许可证，经采购人核验合格后方可开工，中标人及其相关技术人员须满足国家有关实验室安全标准和要求，并承担全部施工安全主体责任(提供承诺函)。</w:t>
      </w:r>
    </w:p>
    <w:p w14:paraId="3C320FA3">
      <w:pPr>
        <w:autoSpaceDE/>
        <w:autoSpaceDN/>
        <w:adjustRightInd w:val="0"/>
        <w:snapToGrid w:val="0"/>
        <w:spacing w:line="360" w:lineRule="auto"/>
        <w:ind w:firstLine="562" w:firstLineChars="200"/>
        <w:jc w:val="both"/>
        <w:rPr>
          <w:b/>
          <w:color w:val="auto"/>
          <w:sz w:val="28"/>
          <w:szCs w:val="28"/>
          <w:highlight w:val="none"/>
        </w:rPr>
      </w:pPr>
      <w:r>
        <w:rPr>
          <w:rFonts w:hint="eastAsia"/>
          <w:b/>
          <w:color w:val="auto"/>
          <w:sz w:val="28"/>
          <w:szCs w:val="28"/>
          <w:highlight w:val="none"/>
        </w:rPr>
        <w:t>四、付款方式及期限、验收：</w:t>
      </w:r>
    </w:p>
    <w:p w14:paraId="678EAA77">
      <w:pPr>
        <w:autoSpaceDE/>
        <w:autoSpaceDN/>
        <w:adjustRightInd w:val="0"/>
        <w:snapToGrid w:val="0"/>
        <w:spacing w:line="360" w:lineRule="auto"/>
        <w:ind w:firstLine="560" w:firstLineChars="200"/>
        <w:jc w:val="both"/>
        <w:rPr>
          <w:color w:val="auto"/>
          <w:sz w:val="28"/>
          <w:szCs w:val="28"/>
          <w:highlight w:val="none"/>
        </w:rPr>
      </w:pPr>
      <w:r>
        <w:rPr>
          <w:rFonts w:hint="eastAsia"/>
          <w:color w:val="auto"/>
          <w:sz w:val="28"/>
          <w:szCs w:val="28"/>
          <w:highlight w:val="none"/>
        </w:rPr>
        <w:t>按本项目招标文件合同条款约定执行。</w:t>
      </w:r>
      <w:bookmarkStart w:id="72" w:name="第七章_评标方法和标准"/>
      <w:bookmarkEnd w:id="72"/>
    </w:p>
    <w:p w14:paraId="65F755D4">
      <w:pPr>
        <w:rPr>
          <w:rFonts w:hint="eastAsia" w:ascii="仿宋" w:hAnsi="仿宋" w:eastAsia="仿宋" w:cs="仿宋"/>
          <w:color w:val="auto"/>
          <w:highlight w:val="none"/>
        </w:rPr>
      </w:pPr>
      <w:bookmarkStart w:id="73" w:name="_Toc21309"/>
      <w:r>
        <w:rPr>
          <w:rFonts w:hint="eastAsia" w:ascii="仿宋" w:hAnsi="仿宋" w:eastAsia="仿宋" w:cs="仿宋"/>
          <w:color w:val="auto"/>
          <w:highlight w:val="none"/>
        </w:rPr>
        <w:br w:type="page"/>
      </w:r>
    </w:p>
    <w:p w14:paraId="409F47B9">
      <w:pPr>
        <w:spacing w:line="324" w:lineRule="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用气需求表：</w:t>
      </w:r>
    </w:p>
    <w:tbl>
      <w:tblPr>
        <w:tblStyle w:val="15"/>
        <w:tblpPr w:leftFromText="180" w:rightFromText="180" w:vertAnchor="text" w:horzAnchor="page" w:tblpXSpec="center" w:tblpY="415"/>
        <w:tblOverlap w:val="never"/>
        <w:tblW w:w="5377" w:type="pct"/>
        <w:jc w:val="center"/>
        <w:tblLayout w:type="fixed"/>
        <w:tblCellMar>
          <w:top w:w="0" w:type="dxa"/>
          <w:left w:w="108" w:type="dxa"/>
          <w:bottom w:w="0" w:type="dxa"/>
          <w:right w:w="108" w:type="dxa"/>
        </w:tblCellMar>
      </w:tblPr>
      <w:tblGrid>
        <w:gridCol w:w="595"/>
        <w:gridCol w:w="731"/>
        <w:gridCol w:w="510"/>
        <w:gridCol w:w="578"/>
        <w:gridCol w:w="663"/>
        <w:gridCol w:w="595"/>
        <w:gridCol w:w="612"/>
        <w:gridCol w:w="748"/>
        <w:gridCol w:w="901"/>
        <w:gridCol w:w="935"/>
        <w:gridCol w:w="680"/>
        <w:gridCol w:w="2842"/>
      </w:tblGrid>
      <w:tr w14:paraId="0A378379">
        <w:tblPrEx>
          <w:tblCellMar>
            <w:top w:w="0" w:type="dxa"/>
            <w:left w:w="108" w:type="dxa"/>
            <w:bottom w:w="0" w:type="dxa"/>
            <w:right w:w="108" w:type="dxa"/>
          </w:tblCellMar>
        </w:tblPrEx>
        <w:trPr>
          <w:trHeight w:val="612" w:hRule="atLeast"/>
          <w:jc w:val="center"/>
        </w:trPr>
        <w:tc>
          <w:tcPr>
            <w:tcW w:w="286" w:type="pct"/>
            <w:tcBorders>
              <w:top w:val="nil"/>
              <w:left w:val="nil"/>
              <w:bottom w:val="nil"/>
              <w:right w:val="nil"/>
            </w:tcBorders>
            <w:shd w:val="clear" w:color="000000" w:fill="FFFFFF"/>
            <w:noWrap/>
            <w:vAlign w:val="center"/>
          </w:tcPr>
          <w:p w14:paraId="3205C465">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4713" w:type="pct"/>
            <w:gridSpan w:val="11"/>
            <w:tcBorders>
              <w:top w:val="nil"/>
              <w:left w:val="nil"/>
              <w:bottom w:val="nil"/>
              <w:right w:val="nil"/>
            </w:tcBorders>
            <w:shd w:val="clear" w:color="000000" w:fill="FFFFFF"/>
            <w:noWrap/>
            <w:vAlign w:val="center"/>
          </w:tcPr>
          <w:p w14:paraId="295A1E4F">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集中供气系统实验室用气信息表认</w:t>
            </w:r>
          </w:p>
        </w:tc>
      </w:tr>
      <w:tr w14:paraId="6AEDDD05">
        <w:tblPrEx>
          <w:tblCellMar>
            <w:top w:w="0" w:type="dxa"/>
            <w:left w:w="108" w:type="dxa"/>
            <w:bottom w:w="0" w:type="dxa"/>
            <w:right w:w="108" w:type="dxa"/>
          </w:tblCellMar>
        </w:tblPrEx>
        <w:trPr>
          <w:trHeight w:val="879" w:hRule="atLeast"/>
          <w:jc w:val="center"/>
        </w:trPr>
        <w:tc>
          <w:tcPr>
            <w:tcW w:w="286" w:type="pct"/>
            <w:tcBorders>
              <w:top w:val="single" w:color="000000" w:sz="4" w:space="0"/>
              <w:left w:val="single" w:color="auto" w:sz="4" w:space="0"/>
              <w:bottom w:val="single" w:color="auto" w:sz="4" w:space="0"/>
              <w:right w:val="single" w:color="auto" w:sz="4" w:space="0"/>
            </w:tcBorders>
            <w:shd w:val="clear" w:color="000000" w:fill="FFFFFF"/>
            <w:noWrap/>
            <w:vAlign w:val="center"/>
          </w:tcPr>
          <w:p w14:paraId="03882422">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序号</w:t>
            </w:r>
          </w:p>
        </w:tc>
        <w:tc>
          <w:tcPr>
            <w:tcW w:w="351" w:type="pct"/>
            <w:tcBorders>
              <w:top w:val="single" w:color="000000" w:sz="4" w:space="0"/>
              <w:left w:val="nil"/>
              <w:bottom w:val="single" w:color="auto" w:sz="4" w:space="0"/>
              <w:right w:val="single" w:color="auto" w:sz="4" w:space="0"/>
            </w:tcBorders>
            <w:shd w:val="clear" w:color="000000" w:fill="FFFFFF"/>
            <w:noWrap/>
            <w:vAlign w:val="center"/>
          </w:tcPr>
          <w:p w14:paraId="0101D440">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房间号</w:t>
            </w:r>
          </w:p>
        </w:tc>
        <w:tc>
          <w:tcPr>
            <w:tcW w:w="245" w:type="pct"/>
            <w:tcBorders>
              <w:top w:val="single" w:color="000000" w:sz="4" w:space="0"/>
              <w:left w:val="nil"/>
              <w:bottom w:val="single" w:color="auto" w:sz="4" w:space="0"/>
              <w:right w:val="single" w:color="auto" w:sz="4" w:space="0"/>
            </w:tcBorders>
            <w:shd w:val="clear" w:color="000000" w:fill="FFFFFF"/>
            <w:noWrap/>
            <w:vAlign w:val="center"/>
          </w:tcPr>
          <w:p w14:paraId="446C6BF4">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氮气</w:t>
            </w:r>
          </w:p>
        </w:tc>
        <w:tc>
          <w:tcPr>
            <w:tcW w:w="278" w:type="pct"/>
            <w:tcBorders>
              <w:top w:val="single" w:color="000000" w:sz="4" w:space="0"/>
              <w:left w:val="nil"/>
              <w:bottom w:val="single" w:color="auto" w:sz="4" w:space="0"/>
              <w:right w:val="single" w:color="auto" w:sz="4" w:space="0"/>
            </w:tcBorders>
            <w:shd w:val="clear" w:color="000000" w:fill="FFFFFF"/>
            <w:noWrap/>
            <w:vAlign w:val="center"/>
          </w:tcPr>
          <w:p w14:paraId="04322304">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氩气</w:t>
            </w:r>
          </w:p>
        </w:tc>
        <w:tc>
          <w:tcPr>
            <w:tcW w:w="319" w:type="pct"/>
            <w:tcBorders>
              <w:top w:val="single" w:color="000000" w:sz="4" w:space="0"/>
              <w:left w:val="nil"/>
              <w:bottom w:val="single" w:color="auto" w:sz="4" w:space="0"/>
              <w:right w:val="single" w:color="auto" w:sz="4" w:space="0"/>
            </w:tcBorders>
            <w:shd w:val="clear" w:color="000000" w:fill="FFFFFF"/>
            <w:noWrap w:val="0"/>
            <w:vAlign w:val="center"/>
          </w:tcPr>
          <w:p w14:paraId="7829A94F">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二氧</w:t>
            </w:r>
            <w:r>
              <w:rPr>
                <w:rFonts w:hint="default" w:ascii="Times New Roman" w:hAnsi="Times New Roman" w:cs="Times New Roman"/>
                <w:color w:val="auto"/>
                <w:highlight w:val="none"/>
              </w:rPr>
              <w:br w:type="textWrapping"/>
            </w:r>
            <w:r>
              <w:rPr>
                <w:rFonts w:hint="default" w:ascii="Times New Roman" w:hAnsi="Times New Roman" w:cs="Times New Roman"/>
                <w:color w:val="auto"/>
                <w:highlight w:val="none"/>
              </w:rPr>
              <w:t>化碳</w:t>
            </w:r>
          </w:p>
        </w:tc>
        <w:tc>
          <w:tcPr>
            <w:tcW w:w="286" w:type="pct"/>
            <w:tcBorders>
              <w:top w:val="single" w:color="000000" w:sz="4" w:space="0"/>
              <w:left w:val="nil"/>
              <w:bottom w:val="single" w:color="auto" w:sz="4" w:space="0"/>
              <w:right w:val="single" w:color="auto" w:sz="4" w:space="0"/>
            </w:tcBorders>
            <w:shd w:val="clear" w:color="000000" w:fill="FFFFFF"/>
            <w:noWrap/>
            <w:vAlign w:val="center"/>
          </w:tcPr>
          <w:p w14:paraId="1E9A1878">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氦气</w:t>
            </w:r>
          </w:p>
        </w:tc>
        <w:tc>
          <w:tcPr>
            <w:tcW w:w="294" w:type="pct"/>
            <w:tcBorders>
              <w:top w:val="single" w:color="000000" w:sz="4" w:space="0"/>
              <w:left w:val="nil"/>
              <w:bottom w:val="single" w:color="auto" w:sz="4" w:space="0"/>
              <w:right w:val="single" w:color="auto" w:sz="4" w:space="0"/>
            </w:tcBorders>
            <w:shd w:val="clear" w:color="000000" w:fill="FFFFFF"/>
            <w:noWrap/>
            <w:vAlign w:val="center"/>
          </w:tcPr>
          <w:p w14:paraId="29C25E88">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氢气</w:t>
            </w:r>
          </w:p>
        </w:tc>
        <w:tc>
          <w:tcPr>
            <w:tcW w:w="360" w:type="pct"/>
            <w:tcBorders>
              <w:top w:val="single" w:color="000000" w:sz="4" w:space="0"/>
              <w:left w:val="nil"/>
              <w:bottom w:val="single" w:color="auto" w:sz="4" w:space="0"/>
              <w:right w:val="single" w:color="auto" w:sz="4" w:space="0"/>
            </w:tcBorders>
            <w:shd w:val="clear" w:color="000000" w:fill="FFFFFF"/>
            <w:noWrap/>
            <w:vAlign w:val="center"/>
          </w:tcPr>
          <w:p w14:paraId="3E7B4F25">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甲烷</w:t>
            </w:r>
          </w:p>
        </w:tc>
        <w:tc>
          <w:tcPr>
            <w:tcW w:w="433" w:type="pct"/>
            <w:tcBorders>
              <w:top w:val="single" w:color="000000" w:sz="4" w:space="0"/>
              <w:left w:val="nil"/>
              <w:bottom w:val="single" w:color="auto" w:sz="4" w:space="0"/>
              <w:right w:val="single" w:color="auto" w:sz="4" w:space="0"/>
            </w:tcBorders>
            <w:shd w:val="clear" w:color="000000" w:fill="FFFFFF"/>
            <w:noWrap/>
            <w:vAlign w:val="center"/>
          </w:tcPr>
          <w:p w14:paraId="3356B8CE">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氧气</w:t>
            </w:r>
          </w:p>
        </w:tc>
        <w:tc>
          <w:tcPr>
            <w:tcW w:w="450" w:type="pct"/>
            <w:tcBorders>
              <w:top w:val="single" w:color="000000" w:sz="4" w:space="0"/>
              <w:left w:val="nil"/>
              <w:bottom w:val="single" w:color="auto" w:sz="4" w:space="0"/>
              <w:right w:val="single" w:color="auto" w:sz="4" w:space="0"/>
            </w:tcBorders>
            <w:shd w:val="clear" w:color="000000" w:fill="FFFFFF"/>
            <w:noWrap w:val="0"/>
            <w:vAlign w:val="center"/>
          </w:tcPr>
          <w:p w14:paraId="010D9C63">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乙炔</w:t>
            </w:r>
          </w:p>
        </w:tc>
        <w:tc>
          <w:tcPr>
            <w:tcW w:w="327" w:type="pct"/>
            <w:tcBorders>
              <w:top w:val="single" w:color="000000" w:sz="4" w:space="0"/>
              <w:left w:val="nil"/>
              <w:bottom w:val="single" w:color="auto" w:sz="4" w:space="0"/>
              <w:right w:val="single" w:color="auto" w:sz="4" w:space="0"/>
            </w:tcBorders>
            <w:shd w:val="clear" w:color="000000" w:fill="FFFFFF"/>
            <w:noWrap w:val="0"/>
            <w:vAlign w:val="center"/>
          </w:tcPr>
          <w:p w14:paraId="67FE20EF">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气体</w:t>
            </w:r>
            <w:r>
              <w:rPr>
                <w:rFonts w:hint="default" w:ascii="Times New Roman" w:hAnsi="Times New Roman" w:cs="Times New Roman"/>
                <w:color w:val="auto"/>
                <w:highlight w:val="none"/>
              </w:rPr>
              <w:br w:type="textWrapping"/>
            </w:r>
            <w:r>
              <w:rPr>
                <w:rFonts w:hint="default" w:ascii="Times New Roman" w:hAnsi="Times New Roman" w:cs="Times New Roman"/>
                <w:color w:val="auto"/>
                <w:highlight w:val="none"/>
              </w:rPr>
              <w:t>种类</w:t>
            </w:r>
          </w:p>
        </w:tc>
        <w:tc>
          <w:tcPr>
            <w:tcW w:w="1366" w:type="pct"/>
            <w:tcBorders>
              <w:top w:val="single" w:color="000000" w:sz="4" w:space="0"/>
              <w:left w:val="nil"/>
              <w:bottom w:val="single" w:color="auto" w:sz="4" w:space="0"/>
              <w:right w:val="single" w:color="000000" w:sz="4" w:space="0"/>
            </w:tcBorders>
            <w:shd w:val="clear" w:color="000000" w:fill="FFFFFF"/>
            <w:noWrap/>
            <w:vAlign w:val="center"/>
          </w:tcPr>
          <w:p w14:paraId="32316F2D">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备注</w:t>
            </w:r>
          </w:p>
        </w:tc>
      </w:tr>
      <w:tr w14:paraId="69594B02">
        <w:tblPrEx>
          <w:tblCellMar>
            <w:top w:w="0" w:type="dxa"/>
            <w:left w:w="108" w:type="dxa"/>
            <w:bottom w:w="0" w:type="dxa"/>
            <w:right w:w="108" w:type="dxa"/>
          </w:tblCellMar>
        </w:tblPrEx>
        <w:trPr>
          <w:trHeight w:val="660" w:hRule="atLeast"/>
          <w:jc w:val="center"/>
        </w:trPr>
        <w:tc>
          <w:tcPr>
            <w:tcW w:w="2855" w:type="pct"/>
            <w:gridSpan w:val="9"/>
            <w:tcBorders>
              <w:top w:val="single" w:color="auto" w:sz="4" w:space="0"/>
              <w:left w:val="single" w:color="auto" w:sz="4" w:space="0"/>
              <w:bottom w:val="single" w:color="auto" w:sz="4" w:space="0"/>
              <w:right w:val="nil"/>
            </w:tcBorders>
            <w:shd w:val="clear" w:color="000000" w:fill="FFFFFF"/>
            <w:noWrap/>
            <w:vAlign w:val="center"/>
          </w:tcPr>
          <w:p w14:paraId="79FA3015">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一层</w:t>
            </w:r>
          </w:p>
        </w:tc>
        <w:tc>
          <w:tcPr>
            <w:tcW w:w="450" w:type="pct"/>
            <w:tcBorders>
              <w:top w:val="nil"/>
              <w:left w:val="nil"/>
              <w:bottom w:val="single" w:color="auto" w:sz="4" w:space="0"/>
              <w:right w:val="single" w:color="auto" w:sz="4" w:space="0"/>
            </w:tcBorders>
            <w:shd w:val="clear" w:color="000000" w:fill="FFFFFF"/>
            <w:noWrap/>
            <w:vAlign w:val="center"/>
          </w:tcPr>
          <w:p w14:paraId="69E6B802">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327" w:type="pct"/>
            <w:tcBorders>
              <w:top w:val="nil"/>
              <w:left w:val="nil"/>
              <w:bottom w:val="single" w:color="auto" w:sz="4" w:space="0"/>
              <w:right w:val="single" w:color="auto" w:sz="4" w:space="0"/>
            </w:tcBorders>
            <w:shd w:val="clear" w:color="000000" w:fill="FFFFFF"/>
            <w:noWrap/>
            <w:vAlign w:val="center"/>
          </w:tcPr>
          <w:p w14:paraId="59A7C898">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1366" w:type="pct"/>
            <w:tcBorders>
              <w:top w:val="nil"/>
              <w:left w:val="nil"/>
              <w:bottom w:val="single" w:color="auto" w:sz="4" w:space="0"/>
              <w:right w:val="single" w:color="000000" w:sz="4" w:space="0"/>
            </w:tcBorders>
            <w:shd w:val="clear" w:color="000000" w:fill="FFFFFF"/>
            <w:noWrap/>
            <w:vAlign w:val="center"/>
          </w:tcPr>
          <w:p w14:paraId="05FB2809">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r>
      <w:tr w14:paraId="4CDA6F39">
        <w:tblPrEx>
          <w:tblCellMar>
            <w:top w:w="0" w:type="dxa"/>
            <w:left w:w="108" w:type="dxa"/>
            <w:bottom w:w="0" w:type="dxa"/>
            <w:right w:w="108" w:type="dxa"/>
          </w:tblCellMar>
        </w:tblPrEx>
        <w:trPr>
          <w:trHeight w:val="660" w:hRule="atLeast"/>
          <w:jc w:val="center"/>
        </w:trPr>
        <w:tc>
          <w:tcPr>
            <w:tcW w:w="286" w:type="pct"/>
            <w:tcBorders>
              <w:top w:val="nil"/>
              <w:left w:val="single" w:color="auto" w:sz="4" w:space="0"/>
              <w:bottom w:val="single" w:color="auto" w:sz="4" w:space="0"/>
              <w:right w:val="single" w:color="auto" w:sz="4" w:space="0"/>
            </w:tcBorders>
            <w:shd w:val="clear" w:color="000000" w:fill="FFFFFF"/>
            <w:noWrap/>
            <w:vAlign w:val="center"/>
          </w:tcPr>
          <w:p w14:paraId="1CDF5B26">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1</w:t>
            </w:r>
          </w:p>
        </w:tc>
        <w:tc>
          <w:tcPr>
            <w:tcW w:w="351" w:type="pct"/>
            <w:tcBorders>
              <w:top w:val="nil"/>
              <w:left w:val="nil"/>
              <w:bottom w:val="single" w:color="auto" w:sz="4" w:space="0"/>
              <w:right w:val="single" w:color="auto" w:sz="4" w:space="0"/>
            </w:tcBorders>
            <w:shd w:val="clear" w:color="000000" w:fill="FFFFFF"/>
            <w:noWrap/>
            <w:vAlign w:val="center"/>
          </w:tcPr>
          <w:p w14:paraId="755E2291">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125</w:t>
            </w:r>
          </w:p>
        </w:tc>
        <w:tc>
          <w:tcPr>
            <w:tcW w:w="245" w:type="pct"/>
            <w:tcBorders>
              <w:top w:val="nil"/>
              <w:left w:val="nil"/>
              <w:bottom w:val="single" w:color="auto" w:sz="4" w:space="0"/>
              <w:right w:val="single" w:color="auto" w:sz="4" w:space="0"/>
            </w:tcBorders>
            <w:shd w:val="clear" w:color="000000" w:fill="FFFFFF"/>
            <w:noWrap/>
            <w:vAlign w:val="center"/>
          </w:tcPr>
          <w:p w14:paraId="390C279D">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N₂</w:t>
            </w:r>
          </w:p>
        </w:tc>
        <w:tc>
          <w:tcPr>
            <w:tcW w:w="278" w:type="pct"/>
            <w:tcBorders>
              <w:top w:val="nil"/>
              <w:left w:val="nil"/>
              <w:bottom w:val="single" w:color="auto" w:sz="4" w:space="0"/>
              <w:right w:val="single" w:color="auto" w:sz="4" w:space="0"/>
            </w:tcBorders>
            <w:shd w:val="clear" w:color="000000" w:fill="FFFFFF"/>
            <w:noWrap/>
            <w:vAlign w:val="center"/>
          </w:tcPr>
          <w:p w14:paraId="5183640D">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Ar</w:t>
            </w:r>
          </w:p>
        </w:tc>
        <w:tc>
          <w:tcPr>
            <w:tcW w:w="319" w:type="pct"/>
            <w:tcBorders>
              <w:top w:val="nil"/>
              <w:left w:val="nil"/>
              <w:bottom w:val="single" w:color="auto" w:sz="4" w:space="0"/>
              <w:right w:val="single" w:color="auto" w:sz="4" w:space="0"/>
            </w:tcBorders>
            <w:shd w:val="clear" w:color="000000" w:fill="FFFFFF"/>
            <w:noWrap/>
            <w:vAlign w:val="center"/>
          </w:tcPr>
          <w:p w14:paraId="4FCAB1AE">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286" w:type="pct"/>
            <w:tcBorders>
              <w:top w:val="nil"/>
              <w:left w:val="nil"/>
              <w:bottom w:val="single" w:color="auto" w:sz="4" w:space="0"/>
              <w:right w:val="single" w:color="auto" w:sz="4" w:space="0"/>
            </w:tcBorders>
            <w:shd w:val="clear" w:color="000000" w:fill="FFFFFF"/>
            <w:noWrap/>
            <w:vAlign w:val="center"/>
          </w:tcPr>
          <w:p w14:paraId="3917FC6C">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294" w:type="pct"/>
            <w:tcBorders>
              <w:top w:val="nil"/>
              <w:left w:val="nil"/>
              <w:bottom w:val="single" w:color="auto" w:sz="4" w:space="0"/>
              <w:right w:val="single" w:color="auto" w:sz="4" w:space="0"/>
            </w:tcBorders>
            <w:shd w:val="clear" w:color="000000" w:fill="FFFFFF"/>
            <w:noWrap/>
            <w:vAlign w:val="center"/>
          </w:tcPr>
          <w:p w14:paraId="505D6F8D">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360" w:type="pct"/>
            <w:tcBorders>
              <w:top w:val="nil"/>
              <w:left w:val="nil"/>
              <w:bottom w:val="single" w:color="auto" w:sz="4" w:space="0"/>
              <w:right w:val="single" w:color="auto" w:sz="4" w:space="0"/>
            </w:tcBorders>
            <w:shd w:val="clear" w:color="000000" w:fill="FFFFFF"/>
            <w:noWrap/>
            <w:vAlign w:val="center"/>
          </w:tcPr>
          <w:p w14:paraId="2A5E75E6">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433" w:type="pct"/>
            <w:tcBorders>
              <w:top w:val="nil"/>
              <w:left w:val="nil"/>
              <w:bottom w:val="single" w:color="auto" w:sz="4" w:space="0"/>
              <w:right w:val="single" w:color="auto" w:sz="4" w:space="0"/>
            </w:tcBorders>
            <w:shd w:val="clear" w:color="000000" w:fill="FFFFFF"/>
            <w:noWrap/>
            <w:vAlign w:val="center"/>
          </w:tcPr>
          <w:p w14:paraId="345839BD">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O₂</w:t>
            </w:r>
          </w:p>
        </w:tc>
        <w:tc>
          <w:tcPr>
            <w:tcW w:w="450" w:type="pct"/>
            <w:tcBorders>
              <w:top w:val="nil"/>
              <w:left w:val="nil"/>
              <w:bottom w:val="single" w:color="auto" w:sz="4" w:space="0"/>
              <w:right w:val="single" w:color="auto" w:sz="4" w:space="0"/>
            </w:tcBorders>
            <w:shd w:val="clear" w:color="000000" w:fill="FFFFFF"/>
            <w:noWrap/>
            <w:vAlign w:val="center"/>
          </w:tcPr>
          <w:p w14:paraId="0894619B">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327" w:type="pct"/>
            <w:tcBorders>
              <w:top w:val="nil"/>
              <w:left w:val="nil"/>
              <w:bottom w:val="single" w:color="auto" w:sz="4" w:space="0"/>
              <w:right w:val="single" w:color="auto" w:sz="4" w:space="0"/>
            </w:tcBorders>
            <w:shd w:val="clear" w:color="000000" w:fill="FFFFFF"/>
            <w:noWrap/>
            <w:vAlign w:val="center"/>
          </w:tcPr>
          <w:p w14:paraId="107A7C27">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3</w:t>
            </w:r>
          </w:p>
        </w:tc>
        <w:tc>
          <w:tcPr>
            <w:tcW w:w="1366" w:type="pct"/>
            <w:tcBorders>
              <w:top w:val="nil"/>
              <w:left w:val="nil"/>
              <w:bottom w:val="single" w:color="auto" w:sz="4" w:space="0"/>
              <w:right w:val="single" w:color="000000" w:sz="4" w:space="0"/>
            </w:tcBorders>
            <w:shd w:val="clear" w:color="000000" w:fill="FFFFFF"/>
            <w:noWrap/>
            <w:vAlign w:val="center"/>
          </w:tcPr>
          <w:p w14:paraId="34285594">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N₂,Ar,O₂各2个气路点</w:t>
            </w:r>
          </w:p>
        </w:tc>
      </w:tr>
      <w:tr w14:paraId="55563149">
        <w:tblPrEx>
          <w:tblCellMar>
            <w:top w:w="0" w:type="dxa"/>
            <w:left w:w="108" w:type="dxa"/>
            <w:bottom w:w="0" w:type="dxa"/>
            <w:right w:w="108" w:type="dxa"/>
          </w:tblCellMar>
        </w:tblPrEx>
        <w:trPr>
          <w:trHeight w:val="660" w:hRule="atLeast"/>
          <w:jc w:val="center"/>
        </w:trPr>
        <w:tc>
          <w:tcPr>
            <w:tcW w:w="286" w:type="pct"/>
            <w:tcBorders>
              <w:top w:val="nil"/>
              <w:left w:val="single" w:color="auto" w:sz="4" w:space="0"/>
              <w:bottom w:val="single" w:color="auto" w:sz="4" w:space="0"/>
              <w:right w:val="single" w:color="auto" w:sz="4" w:space="0"/>
            </w:tcBorders>
            <w:shd w:val="clear" w:color="000000" w:fill="FFFFFF"/>
            <w:noWrap/>
            <w:vAlign w:val="center"/>
          </w:tcPr>
          <w:p w14:paraId="2DBA5F3B">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2</w:t>
            </w:r>
          </w:p>
        </w:tc>
        <w:tc>
          <w:tcPr>
            <w:tcW w:w="351" w:type="pct"/>
            <w:tcBorders>
              <w:top w:val="nil"/>
              <w:left w:val="nil"/>
              <w:bottom w:val="single" w:color="auto" w:sz="4" w:space="0"/>
              <w:right w:val="single" w:color="auto" w:sz="4" w:space="0"/>
            </w:tcBorders>
            <w:shd w:val="clear" w:color="000000" w:fill="FFFFFF"/>
            <w:noWrap/>
            <w:vAlign w:val="center"/>
          </w:tcPr>
          <w:p w14:paraId="628BAF5A">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129</w:t>
            </w:r>
          </w:p>
        </w:tc>
        <w:tc>
          <w:tcPr>
            <w:tcW w:w="245" w:type="pct"/>
            <w:tcBorders>
              <w:top w:val="nil"/>
              <w:left w:val="nil"/>
              <w:bottom w:val="single" w:color="auto" w:sz="4" w:space="0"/>
              <w:right w:val="single" w:color="auto" w:sz="4" w:space="0"/>
            </w:tcBorders>
            <w:shd w:val="clear" w:color="000000" w:fill="FFFFFF"/>
            <w:noWrap/>
            <w:vAlign w:val="center"/>
          </w:tcPr>
          <w:p w14:paraId="1D1A47FA">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N₂</w:t>
            </w:r>
          </w:p>
        </w:tc>
        <w:tc>
          <w:tcPr>
            <w:tcW w:w="278" w:type="pct"/>
            <w:tcBorders>
              <w:top w:val="nil"/>
              <w:left w:val="nil"/>
              <w:bottom w:val="single" w:color="auto" w:sz="4" w:space="0"/>
              <w:right w:val="single" w:color="auto" w:sz="4" w:space="0"/>
            </w:tcBorders>
            <w:shd w:val="clear" w:color="000000" w:fill="FFFFFF"/>
            <w:noWrap/>
            <w:vAlign w:val="center"/>
          </w:tcPr>
          <w:p w14:paraId="5E6ECE08">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Ar</w:t>
            </w:r>
          </w:p>
        </w:tc>
        <w:tc>
          <w:tcPr>
            <w:tcW w:w="319" w:type="pct"/>
            <w:tcBorders>
              <w:top w:val="nil"/>
              <w:left w:val="nil"/>
              <w:bottom w:val="single" w:color="auto" w:sz="4" w:space="0"/>
              <w:right w:val="single" w:color="auto" w:sz="4" w:space="0"/>
            </w:tcBorders>
            <w:shd w:val="clear" w:color="000000" w:fill="FFFFFF"/>
            <w:noWrap/>
            <w:vAlign w:val="center"/>
          </w:tcPr>
          <w:p w14:paraId="2F6F3580">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286" w:type="pct"/>
            <w:tcBorders>
              <w:top w:val="nil"/>
              <w:left w:val="nil"/>
              <w:bottom w:val="single" w:color="auto" w:sz="4" w:space="0"/>
              <w:right w:val="single" w:color="auto" w:sz="4" w:space="0"/>
            </w:tcBorders>
            <w:shd w:val="clear" w:color="000000" w:fill="FFFFFF"/>
            <w:noWrap/>
            <w:vAlign w:val="center"/>
          </w:tcPr>
          <w:p w14:paraId="730941CA">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294" w:type="pct"/>
            <w:tcBorders>
              <w:top w:val="nil"/>
              <w:left w:val="nil"/>
              <w:bottom w:val="single" w:color="auto" w:sz="4" w:space="0"/>
              <w:right w:val="single" w:color="auto" w:sz="4" w:space="0"/>
            </w:tcBorders>
            <w:shd w:val="clear" w:color="000000" w:fill="FFFFFF"/>
            <w:noWrap/>
            <w:vAlign w:val="center"/>
          </w:tcPr>
          <w:p w14:paraId="5C8B3635">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360" w:type="pct"/>
            <w:tcBorders>
              <w:top w:val="nil"/>
              <w:left w:val="nil"/>
              <w:bottom w:val="single" w:color="auto" w:sz="4" w:space="0"/>
              <w:right w:val="single" w:color="auto" w:sz="4" w:space="0"/>
            </w:tcBorders>
            <w:shd w:val="clear" w:color="000000" w:fill="FFFFFF"/>
            <w:noWrap/>
            <w:vAlign w:val="center"/>
          </w:tcPr>
          <w:p w14:paraId="00DC654E">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433" w:type="pct"/>
            <w:tcBorders>
              <w:top w:val="nil"/>
              <w:left w:val="nil"/>
              <w:bottom w:val="single" w:color="auto" w:sz="4" w:space="0"/>
              <w:right w:val="single" w:color="auto" w:sz="4" w:space="0"/>
            </w:tcBorders>
            <w:shd w:val="clear" w:color="000000" w:fill="FFFFFF"/>
            <w:noWrap/>
            <w:vAlign w:val="center"/>
          </w:tcPr>
          <w:p w14:paraId="2F4D7635">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O₂</w:t>
            </w:r>
          </w:p>
        </w:tc>
        <w:tc>
          <w:tcPr>
            <w:tcW w:w="450" w:type="pct"/>
            <w:tcBorders>
              <w:top w:val="nil"/>
              <w:left w:val="nil"/>
              <w:bottom w:val="single" w:color="auto" w:sz="4" w:space="0"/>
              <w:right w:val="single" w:color="auto" w:sz="4" w:space="0"/>
            </w:tcBorders>
            <w:shd w:val="clear" w:color="000000" w:fill="FFFFFF"/>
            <w:noWrap/>
            <w:vAlign w:val="center"/>
          </w:tcPr>
          <w:p w14:paraId="276128C1">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327" w:type="pct"/>
            <w:tcBorders>
              <w:top w:val="nil"/>
              <w:left w:val="nil"/>
              <w:bottom w:val="single" w:color="auto" w:sz="4" w:space="0"/>
              <w:right w:val="single" w:color="auto" w:sz="4" w:space="0"/>
            </w:tcBorders>
            <w:shd w:val="clear" w:color="000000" w:fill="FFFFFF"/>
            <w:noWrap/>
            <w:vAlign w:val="center"/>
          </w:tcPr>
          <w:p w14:paraId="73678D8B">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3</w:t>
            </w:r>
          </w:p>
        </w:tc>
        <w:tc>
          <w:tcPr>
            <w:tcW w:w="1366" w:type="pct"/>
            <w:tcBorders>
              <w:top w:val="nil"/>
              <w:left w:val="nil"/>
              <w:bottom w:val="single" w:color="auto" w:sz="4" w:space="0"/>
              <w:right w:val="single" w:color="000000" w:sz="4" w:space="0"/>
            </w:tcBorders>
            <w:shd w:val="clear" w:color="000000" w:fill="FFFFFF"/>
            <w:noWrap/>
            <w:vAlign w:val="center"/>
          </w:tcPr>
          <w:p w14:paraId="7CBFEC19">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N₂,Ar,O₂各2个气路点</w:t>
            </w:r>
          </w:p>
        </w:tc>
      </w:tr>
      <w:tr w14:paraId="0D63B69A">
        <w:tblPrEx>
          <w:tblCellMar>
            <w:top w:w="0" w:type="dxa"/>
            <w:left w:w="108" w:type="dxa"/>
            <w:bottom w:w="0" w:type="dxa"/>
            <w:right w:w="108" w:type="dxa"/>
          </w:tblCellMar>
        </w:tblPrEx>
        <w:trPr>
          <w:trHeight w:val="660" w:hRule="atLeast"/>
          <w:jc w:val="center"/>
        </w:trPr>
        <w:tc>
          <w:tcPr>
            <w:tcW w:w="286" w:type="pct"/>
            <w:tcBorders>
              <w:top w:val="nil"/>
              <w:left w:val="single" w:color="auto" w:sz="4" w:space="0"/>
              <w:bottom w:val="single" w:color="auto" w:sz="4" w:space="0"/>
              <w:right w:val="single" w:color="auto" w:sz="4" w:space="0"/>
            </w:tcBorders>
            <w:shd w:val="clear" w:color="000000" w:fill="FFFFFF"/>
            <w:noWrap/>
            <w:vAlign w:val="center"/>
          </w:tcPr>
          <w:p w14:paraId="3670A1A2">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3</w:t>
            </w:r>
          </w:p>
        </w:tc>
        <w:tc>
          <w:tcPr>
            <w:tcW w:w="351" w:type="pct"/>
            <w:tcBorders>
              <w:top w:val="nil"/>
              <w:left w:val="nil"/>
              <w:bottom w:val="single" w:color="auto" w:sz="4" w:space="0"/>
              <w:right w:val="single" w:color="auto" w:sz="4" w:space="0"/>
            </w:tcBorders>
            <w:shd w:val="clear" w:color="000000" w:fill="FFFFFF"/>
            <w:noWrap/>
            <w:vAlign w:val="center"/>
          </w:tcPr>
          <w:p w14:paraId="74EB0666">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130</w:t>
            </w:r>
          </w:p>
        </w:tc>
        <w:tc>
          <w:tcPr>
            <w:tcW w:w="245" w:type="pct"/>
            <w:tcBorders>
              <w:top w:val="nil"/>
              <w:left w:val="nil"/>
              <w:bottom w:val="single" w:color="auto" w:sz="4" w:space="0"/>
              <w:right w:val="single" w:color="auto" w:sz="4" w:space="0"/>
            </w:tcBorders>
            <w:shd w:val="clear" w:color="000000" w:fill="FFFFFF"/>
            <w:noWrap/>
            <w:vAlign w:val="center"/>
          </w:tcPr>
          <w:p w14:paraId="3400C038">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N₂</w:t>
            </w:r>
          </w:p>
        </w:tc>
        <w:tc>
          <w:tcPr>
            <w:tcW w:w="278" w:type="pct"/>
            <w:tcBorders>
              <w:top w:val="nil"/>
              <w:left w:val="nil"/>
              <w:bottom w:val="single" w:color="auto" w:sz="4" w:space="0"/>
              <w:right w:val="single" w:color="auto" w:sz="4" w:space="0"/>
            </w:tcBorders>
            <w:shd w:val="clear" w:color="000000" w:fill="FFFFFF"/>
            <w:noWrap/>
            <w:vAlign w:val="center"/>
          </w:tcPr>
          <w:p w14:paraId="7B595BEA">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319" w:type="pct"/>
            <w:tcBorders>
              <w:top w:val="nil"/>
              <w:left w:val="nil"/>
              <w:bottom w:val="single" w:color="auto" w:sz="4" w:space="0"/>
              <w:right w:val="single" w:color="auto" w:sz="4" w:space="0"/>
            </w:tcBorders>
            <w:shd w:val="clear" w:color="000000" w:fill="FFFFFF"/>
            <w:noWrap/>
            <w:vAlign w:val="center"/>
          </w:tcPr>
          <w:p w14:paraId="44A68635">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286" w:type="pct"/>
            <w:tcBorders>
              <w:top w:val="nil"/>
              <w:left w:val="nil"/>
              <w:bottom w:val="single" w:color="auto" w:sz="4" w:space="0"/>
              <w:right w:val="single" w:color="auto" w:sz="4" w:space="0"/>
            </w:tcBorders>
            <w:shd w:val="clear" w:color="000000" w:fill="FFFFFF"/>
            <w:noWrap/>
            <w:vAlign w:val="center"/>
          </w:tcPr>
          <w:p w14:paraId="6F6858A1">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294" w:type="pct"/>
            <w:tcBorders>
              <w:top w:val="nil"/>
              <w:left w:val="nil"/>
              <w:bottom w:val="single" w:color="auto" w:sz="4" w:space="0"/>
              <w:right w:val="single" w:color="auto" w:sz="4" w:space="0"/>
            </w:tcBorders>
            <w:shd w:val="clear" w:color="000000" w:fill="FFFFFF"/>
            <w:noWrap/>
            <w:vAlign w:val="center"/>
          </w:tcPr>
          <w:p w14:paraId="4B123766">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360" w:type="pct"/>
            <w:tcBorders>
              <w:top w:val="nil"/>
              <w:left w:val="nil"/>
              <w:bottom w:val="single" w:color="auto" w:sz="4" w:space="0"/>
              <w:right w:val="single" w:color="auto" w:sz="4" w:space="0"/>
            </w:tcBorders>
            <w:shd w:val="clear" w:color="000000" w:fill="FFFFFF"/>
            <w:noWrap/>
            <w:vAlign w:val="center"/>
          </w:tcPr>
          <w:p w14:paraId="30E0636F">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433" w:type="pct"/>
            <w:tcBorders>
              <w:top w:val="nil"/>
              <w:left w:val="nil"/>
              <w:bottom w:val="single" w:color="auto" w:sz="4" w:space="0"/>
              <w:right w:val="single" w:color="auto" w:sz="4" w:space="0"/>
            </w:tcBorders>
            <w:shd w:val="clear" w:color="000000" w:fill="FFFFFF"/>
            <w:noWrap/>
            <w:vAlign w:val="center"/>
          </w:tcPr>
          <w:p w14:paraId="782DAAB1">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450" w:type="pct"/>
            <w:tcBorders>
              <w:top w:val="nil"/>
              <w:left w:val="nil"/>
              <w:bottom w:val="single" w:color="auto" w:sz="4" w:space="0"/>
              <w:right w:val="single" w:color="auto" w:sz="4" w:space="0"/>
            </w:tcBorders>
            <w:shd w:val="clear" w:color="000000" w:fill="FFFFFF"/>
            <w:noWrap/>
            <w:vAlign w:val="center"/>
          </w:tcPr>
          <w:p w14:paraId="2CBD1EB0">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327" w:type="pct"/>
            <w:tcBorders>
              <w:top w:val="nil"/>
              <w:left w:val="nil"/>
              <w:bottom w:val="single" w:color="auto" w:sz="4" w:space="0"/>
              <w:right w:val="single" w:color="auto" w:sz="4" w:space="0"/>
            </w:tcBorders>
            <w:shd w:val="clear" w:color="000000" w:fill="FFFFFF"/>
            <w:noWrap/>
            <w:vAlign w:val="center"/>
          </w:tcPr>
          <w:p w14:paraId="469C8797">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1</w:t>
            </w:r>
          </w:p>
        </w:tc>
        <w:tc>
          <w:tcPr>
            <w:tcW w:w="1366" w:type="pct"/>
            <w:tcBorders>
              <w:top w:val="nil"/>
              <w:left w:val="nil"/>
              <w:bottom w:val="single" w:color="auto" w:sz="4" w:space="0"/>
              <w:right w:val="single" w:color="000000" w:sz="4" w:space="0"/>
            </w:tcBorders>
            <w:shd w:val="clear" w:color="000000" w:fill="FFFFFF"/>
            <w:noWrap/>
            <w:vAlign w:val="center"/>
          </w:tcPr>
          <w:p w14:paraId="6DC16EDF">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N₂有2个气路点</w:t>
            </w:r>
          </w:p>
        </w:tc>
      </w:tr>
      <w:tr w14:paraId="5DEA9672">
        <w:tblPrEx>
          <w:tblCellMar>
            <w:top w:w="0" w:type="dxa"/>
            <w:left w:w="108" w:type="dxa"/>
            <w:bottom w:w="0" w:type="dxa"/>
            <w:right w:w="108" w:type="dxa"/>
          </w:tblCellMar>
        </w:tblPrEx>
        <w:trPr>
          <w:trHeight w:val="660" w:hRule="atLeast"/>
          <w:jc w:val="center"/>
        </w:trPr>
        <w:tc>
          <w:tcPr>
            <w:tcW w:w="286" w:type="pct"/>
            <w:tcBorders>
              <w:top w:val="nil"/>
              <w:left w:val="single" w:color="auto" w:sz="4" w:space="0"/>
              <w:bottom w:val="single" w:color="auto" w:sz="4" w:space="0"/>
              <w:right w:val="single" w:color="auto" w:sz="4" w:space="0"/>
            </w:tcBorders>
            <w:shd w:val="clear" w:color="000000" w:fill="FFFFFF"/>
            <w:noWrap/>
            <w:vAlign w:val="center"/>
          </w:tcPr>
          <w:p w14:paraId="167BF6E2">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4</w:t>
            </w:r>
          </w:p>
        </w:tc>
        <w:tc>
          <w:tcPr>
            <w:tcW w:w="351" w:type="pct"/>
            <w:tcBorders>
              <w:top w:val="nil"/>
              <w:left w:val="nil"/>
              <w:bottom w:val="single" w:color="auto" w:sz="4" w:space="0"/>
              <w:right w:val="single" w:color="auto" w:sz="4" w:space="0"/>
            </w:tcBorders>
            <w:shd w:val="clear" w:color="000000" w:fill="FFFFFF"/>
            <w:noWrap/>
            <w:vAlign w:val="center"/>
          </w:tcPr>
          <w:p w14:paraId="5CBD3ABE">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132</w:t>
            </w:r>
          </w:p>
        </w:tc>
        <w:tc>
          <w:tcPr>
            <w:tcW w:w="245" w:type="pct"/>
            <w:tcBorders>
              <w:top w:val="nil"/>
              <w:left w:val="nil"/>
              <w:bottom w:val="single" w:color="auto" w:sz="4" w:space="0"/>
              <w:right w:val="single" w:color="auto" w:sz="4" w:space="0"/>
            </w:tcBorders>
            <w:shd w:val="clear" w:color="000000" w:fill="FFFFFF"/>
            <w:noWrap/>
            <w:vAlign w:val="center"/>
          </w:tcPr>
          <w:p w14:paraId="5F061C2F">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N₂</w:t>
            </w:r>
          </w:p>
        </w:tc>
        <w:tc>
          <w:tcPr>
            <w:tcW w:w="278" w:type="pct"/>
            <w:tcBorders>
              <w:top w:val="nil"/>
              <w:left w:val="nil"/>
              <w:bottom w:val="single" w:color="auto" w:sz="4" w:space="0"/>
              <w:right w:val="single" w:color="auto" w:sz="4" w:space="0"/>
            </w:tcBorders>
            <w:shd w:val="clear" w:color="000000" w:fill="FFFFFF"/>
            <w:noWrap/>
            <w:vAlign w:val="center"/>
          </w:tcPr>
          <w:p w14:paraId="1331F2C3">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Ar</w:t>
            </w:r>
          </w:p>
        </w:tc>
        <w:tc>
          <w:tcPr>
            <w:tcW w:w="319" w:type="pct"/>
            <w:tcBorders>
              <w:top w:val="nil"/>
              <w:left w:val="nil"/>
              <w:bottom w:val="single" w:color="auto" w:sz="4" w:space="0"/>
              <w:right w:val="single" w:color="auto" w:sz="4" w:space="0"/>
            </w:tcBorders>
            <w:shd w:val="clear" w:color="000000" w:fill="FFFFFF"/>
            <w:noWrap/>
            <w:vAlign w:val="center"/>
          </w:tcPr>
          <w:p w14:paraId="506AB187">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286" w:type="pct"/>
            <w:tcBorders>
              <w:top w:val="nil"/>
              <w:left w:val="nil"/>
              <w:bottom w:val="single" w:color="auto" w:sz="4" w:space="0"/>
              <w:right w:val="single" w:color="auto" w:sz="4" w:space="0"/>
            </w:tcBorders>
            <w:shd w:val="clear" w:color="000000" w:fill="FFFFFF"/>
            <w:noWrap/>
            <w:vAlign w:val="center"/>
          </w:tcPr>
          <w:p w14:paraId="0B12ED7F">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294" w:type="pct"/>
            <w:tcBorders>
              <w:top w:val="nil"/>
              <w:left w:val="nil"/>
              <w:bottom w:val="single" w:color="auto" w:sz="4" w:space="0"/>
              <w:right w:val="single" w:color="auto" w:sz="4" w:space="0"/>
            </w:tcBorders>
            <w:shd w:val="clear" w:color="000000" w:fill="FFFFFF"/>
            <w:noWrap/>
            <w:vAlign w:val="center"/>
          </w:tcPr>
          <w:p w14:paraId="58173AC3">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360" w:type="pct"/>
            <w:tcBorders>
              <w:top w:val="nil"/>
              <w:left w:val="nil"/>
              <w:bottom w:val="single" w:color="auto" w:sz="4" w:space="0"/>
              <w:right w:val="single" w:color="auto" w:sz="4" w:space="0"/>
            </w:tcBorders>
            <w:shd w:val="clear" w:color="000000" w:fill="FFFFFF"/>
            <w:noWrap/>
            <w:vAlign w:val="center"/>
          </w:tcPr>
          <w:p w14:paraId="4BA5DB82">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433" w:type="pct"/>
            <w:tcBorders>
              <w:top w:val="nil"/>
              <w:left w:val="nil"/>
              <w:bottom w:val="single" w:color="auto" w:sz="4" w:space="0"/>
              <w:right w:val="single" w:color="auto" w:sz="4" w:space="0"/>
            </w:tcBorders>
            <w:shd w:val="clear" w:color="000000" w:fill="FFFFFF"/>
            <w:noWrap/>
            <w:vAlign w:val="center"/>
          </w:tcPr>
          <w:p w14:paraId="356DA582">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O₂</w:t>
            </w:r>
          </w:p>
        </w:tc>
        <w:tc>
          <w:tcPr>
            <w:tcW w:w="450" w:type="pct"/>
            <w:tcBorders>
              <w:top w:val="nil"/>
              <w:left w:val="nil"/>
              <w:bottom w:val="single" w:color="auto" w:sz="4" w:space="0"/>
              <w:right w:val="single" w:color="auto" w:sz="4" w:space="0"/>
            </w:tcBorders>
            <w:shd w:val="clear" w:color="000000" w:fill="FFFFFF"/>
            <w:noWrap/>
            <w:vAlign w:val="center"/>
          </w:tcPr>
          <w:p w14:paraId="40AD641B">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327" w:type="pct"/>
            <w:tcBorders>
              <w:top w:val="nil"/>
              <w:left w:val="nil"/>
              <w:bottom w:val="single" w:color="auto" w:sz="4" w:space="0"/>
              <w:right w:val="single" w:color="auto" w:sz="4" w:space="0"/>
            </w:tcBorders>
            <w:shd w:val="clear" w:color="000000" w:fill="FFFFFF"/>
            <w:noWrap/>
            <w:vAlign w:val="center"/>
          </w:tcPr>
          <w:p w14:paraId="62043B23">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3</w:t>
            </w:r>
          </w:p>
        </w:tc>
        <w:tc>
          <w:tcPr>
            <w:tcW w:w="1366" w:type="pct"/>
            <w:tcBorders>
              <w:top w:val="nil"/>
              <w:left w:val="nil"/>
              <w:bottom w:val="single" w:color="auto" w:sz="4" w:space="0"/>
              <w:right w:val="single" w:color="auto" w:sz="4" w:space="0"/>
            </w:tcBorders>
            <w:shd w:val="clear" w:color="000000" w:fill="FFFFFF"/>
            <w:noWrap/>
            <w:vAlign w:val="center"/>
          </w:tcPr>
          <w:p w14:paraId="0C52558C">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N₂,Ar,O₂各2个气路点</w:t>
            </w:r>
          </w:p>
        </w:tc>
      </w:tr>
      <w:tr w14:paraId="457288F1">
        <w:tblPrEx>
          <w:tblCellMar>
            <w:top w:w="0" w:type="dxa"/>
            <w:left w:w="108" w:type="dxa"/>
            <w:bottom w:w="0" w:type="dxa"/>
            <w:right w:w="108" w:type="dxa"/>
          </w:tblCellMar>
        </w:tblPrEx>
        <w:trPr>
          <w:trHeight w:val="1140" w:hRule="atLeast"/>
          <w:jc w:val="center"/>
        </w:trPr>
        <w:tc>
          <w:tcPr>
            <w:tcW w:w="286" w:type="pct"/>
            <w:tcBorders>
              <w:top w:val="nil"/>
              <w:left w:val="single" w:color="auto" w:sz="4" w:space="0"/>
              <w:bottom w:val="single" w:color="auto" w:sz="4" w:space="0"/>
              <w:right w:val="single" w:color="auto" w:sz="4" w:space="0"/>
            </w:tcBorders>
            <w:shd w:val="clear" w:color="000000" w:fill="FFFFFF"/>
            <w:noWrap/>
            <w:vAlign w:val="center"/>
          </w:tcPr>
          <w:p w14:paraId="11E16BE9">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5</w:t>
            </w:r>
          </w:p>
        </w:tc>
        <w:tc>
          <w:tcPr>
            <w:tcW w:w="351" w:type="pct"/>
            <w:tcBorders>
              <w:top w:val="nil"/>
              <w:left w:val="nil"/>
              <w:bottom w:val="single" w:color="auto" w:sz="4" w:space="0"/>
              <w:right w:val="single" w:color="auto" w:sz="4" w:space="0"/>
            </w:tcBorders>
            <w:shd w:val="clear" w:color="000000" w:fill="FFFFFF"/>
            <w:noWrap/>
            <w:vAlign w:val="center"/>
          </w:tcPr>
          <w:p w14:paraId="4146BBB8">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122B</w:t>
            </w:r>
          </w:p>
        </w:tc>
        <w:tc>
          <w:tcPr>
            <w:tcW w:w="245" w:type="pct"/>
            <w:tcBorders>
              <w:top w:val="nil"/>
              <w:left w:val="nil"/>
              <w:bottom w:val="single" w:color="auto" w:sz="4" w:space="0"/>
              <w:right w:val="single" w:color="auto" w:sz="4" w:space="0"/>
            </w:tcBorders>
            <w:shd w:val="clear" w:color="000000" w:fill="FFFFFF"/>
            <w:noWrap/>
            <w:vAlign w:val="center"/>
          </w:tcPr>
          <w:p w14:paraId="782F9B61">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N₂</w:t>
            </w:r>
          </w:p>
        </w:tc>
        <w:tc>
          <w:tcPr>
            <w:tcW w:w="278" w:type="pct"/>
            <w:tcBorders>
              <w:top w:val="nil"/>
              <w:left w:val="nil"/>
              <w:bottom w:val="single" w:color="auto" w:sz="4" w:space="0"/>
              <w:right w:val="single" w:color="auto" w:sz="4" w:space="0"/>
            </w:tcBorders>
            <w:shd w:val="clear" w:color="000000" w:fill="FFFFFF"/>
            <w:noWrap/>
            <w:vAlign w:val="center"/>
          </w:tcPr>
          <w:p w14:paraId="79CBEC50">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Ar</w:t>
            </w:r>
          </w:p>
        </w:tc>
        <w:tc>
          <w:tcPr>
            <w:tcW w:w="319" w:type="pct"/>
            <w:tcBorders>
              <w:top w:val="nil"/>
              <w:left w:val="nil"/>
              <w:bottom w:val="single" w:color="auto" w:sz="4" w:space="0"/>
              <w:right w:val="single" w:color="auto" w:sz="4" w:space="0"/>
            </w:tcBorders>
            <w:shd w:val="clear" w:color="000000" w:fill="FFFFFF"/>
            <w:noWrap/>
            <w:vAlign w:val="center"/>
          </w:tcPr>
          <w:p w14:paraId="4582CAB1">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286" w:type="pct"/>
            <w:tcBorders>
              <w:top w:val="nil"/>
              <w:left w:val="nil"/>
              <w:bottom w:val="single" w:color="auto" w:sz="4" w:space="0"/>
              <w:right w:val="single" w:color="auto" w:sz="4" w:space="0"/>
            </w:tcBorders>
            <w:shd w:val="clear" w:color="000000" w:fill="FFFFFF"/>
            <w:noWrap/>
            <w:vAlign w:val="center"/>
          </w:tcPr>
          <w:p w14:paraId="7D5C87BD">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He</w:t>
            </w:r>
          </w:p>
        </w:tc>
        <w:tc>
          <w:tcPr>
            <w:tcW w:w="294" w:type="pct"/>
            <w:tcBorders>
              <w:top w:val="nil"/>
              <w:left w:val="nil"/>
              <w:bottom w:val="single" w:color="auto" w:sz="4" w:space="0"/>
              <w:right w:val="single" w:color="auto" w:sz="4" w:space="0"/>
            </w:tcBorders>
            <w:shd w:val="clear" w:color="000000" w:fill="FFFFFF"/>
            <w:noWrap/>
            <w:vAlign w:val="center"/>
          </w:tcPr>
          <w:p w14:paraId="4A2E8B8C">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H₂</w:t>
            </w:r>
          </w:p>
        </w:tc>
        <w:tc>
          <w:tcPr>
            <w:tcW w:w="360" w:type="pct"/>
            <w:tcBorders>
              <w:top w:val="nil"/>
              <w:left w:val="nil"/>
              <w:bottom w:val="single" w:color="auto" w:sz="4" w:space="0"/>
              <w:right w:val="single" w:color="auto" w:sz="4" w:space="0"/>
            </w:tcBorders>
            <w:shd w:val="clear" w:color="000000" w:fill="FFFFFF"/>
            <w:noWrap/>
            <w:vAlign w:val="center"/>
          </w:tcPr>
          <w:p w14:paraId="70514C0A">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433" w:type="pct"/>
            <w:tcBorders>
              <w:top w:val="nil"/>
              <w:left w:val="nil"/>
              <w:bottom w:val="single" w:color="auto" w:sz="4" w:space="0"/>
              <w:right w:val="single" w:color="auto" w:sz="4" w:space="0"/>
            </w:tcBorders>
            <w:shd w:val="clear" w:color="000000" w:fill="FFFFFF"/>
            <w:noWrap/>
            <w:vAlign w:val="center"/>
          </w:tcPr>
          <w:p w14:paraId="6031E4F9">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450" w:type="pct"/>
            <w:tcBorders>
              <w:top w:val="nil"/>
              <w:left w:val="nil"/>
              <w:bottom w:val="single" w:color="auto" w:sz="4" w:space="0"/>
              <w:right w:val="single" w:color="auto" w:sz="4" w:space="0"/>
            </w:tcBorders>
            <w:shd w:val="clear" w:color="000000" w:fill="FFFFFF"/>
            <w:noWrap/>
            <w:vAlign w:val="center"/>
          </w:tcPr>
          <w:p w14:paraId="39B09052">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327" w:type="pct"/>
            <w:tcBorders>
              <w:top w:val="nil"/>
              <w:left w:val="nil"/>
              <w:bottom w:val="single" w:color="auto" w:sz="4" w:space="0"/>
              <w:right w:val="single" w:color="auto" w:sz="4" w:space="0"/>
            </w:tcBorders>
            <w:shd w:val="clear" w:color="000000" w:fill="FFFFFF"/>
            <w:noWrap/>
            <w:vAlign w:val="center"/>
          </w:tcPr>
          <w:p w14:paraId="69593E1F">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4</w:t>
            </w:r>
          </w:p>
        </w:tc>
        <w:tc>
          <w:tcPr>
            <w:tcW w:w="1366" w:type="pct"/>
            <w:tcBorders>
              <w:top w:val="nil"/>
              <w:left w:val="nil"/>
              <w:bottom w:val="single" w:color="auto" w:sz="4" w:space="0"/>
              <w:right w:val="single" w:color="000000" w:sz="4" w:space="0"/>
            </w:tcBorders>
            <w:shd w:val="clear" w:color="000000" w:fill="FFFFFF"/>
            <w:noWrap w:val="0"/>
            <w:vAlign w:val="center"/>
          </w:tcPr>
          <w:p w14:paraId="040C9604">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H₂、N₂，Ar，He各2气路点</w:t>
            </w:r>
          </w:p>
        </w:tc>
      </w:tr>
      <w:tr w14:paraId="26AA15E6">
        <w:tblPrEx>
          <w:tblCellMar>
            <w:top w:w="0" w:type="dxa"/>
            <w:left w:w="108" w:type="dxa"/>
            <w:bottom w:w="0" w:type="dxa"/>
            <w:right w:w="108" w:type="dxa"/>
          </w:tblCellMar>
        </w:tblPrEx>
        <w:trPr>
          <w:trHeight w:val="660" w:hRule="atLeast"/>
          <w:jc w:val="center"/>
        </w:trPr>
        <w:tc>
          <w:tcPr>
            <w:tcW w:w="286" w:type="pct"/>
            <w:tcBorders>
              <w:top w:val="nil"/>
              <w:left w:val="single" w:color="auto" w:sz="4" w:space="0"/>
              <w:bottom w:val="single" w:color="auto" w:sz="4" w:space="0"/>
              <w:right w:val="single" w:color="auto" w:sz="4" w:space="0"/>
            </w:tcBorders>
            <w:shd w:val="clear" w:color="000000" w:fill="FFFFFF"/>
            <w:noWrap/>
            <w:vAlign w:val="center"/>
          </w:tcPr>
          <w:p w14:paraId="6BC5F161">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6</w:t>
            </w:r>
          </w:p>
        </w:tc>
        <w:tc>
          <w:tcPr>
            <w:tcW w:w="351" w:type="pct"/>
            <w:tcBorders>
              <w:top w:val="nil"/>
              <w:left w:val="nil"/>
              <w:bottom w:val="single" w:color="auto" w:sz="4" w:space="0"/>
              <w:right w:val="single" w:color="auto" w:sz="4" w:space="0"/>
            </w:tcBorders>
            <w:shd w:val="clear" w:color="000000" w:fill="FFFFFF"/>
            <w:noWrap/>
            <w:vAlign w:val="center"/>
          </w:tcPr>
          <w:p w14:paraId="6A47F8A9">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天井</w:t>
            </w:r>
          </w:p>
        </w:tc>
        <w:tc>
          <w:tcPr>
            <w:tcW w:w="245" w:type="pct"/>
            <w:tcBorders>
              <w:top w:val="nil"/>
              <w:left w:val="nil"/>
              <w:bottom w:val="single" w:color="auto" w:sz="4" w:space="0"/>
              <w:right w:val="single" w:color="auto" w:sz="4" w:space="0"/>
            </w:tcBorders>
            <w:shd w:val="clear" w:color="000000" w:fill="FFFFFF"/>
            <w:noWrap/>
            <w:vAlign w:val="center"/>
          </w:tcPr>
          <w:p w14:paraId="219F9615">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278" w:type="pct"/>
            <w:tcBorders>
              <w:top w:val="nil"/>
              <w:left w:val="nil"/>
              <w:bottom w:val="single" w:color="auto" w:sz="4" w:space="0"/>
              <w:right w:val="single" w:color="auto" w:sz="4" w:space="0"/>
            </w:tcBorders>
            <w:shd w:val="clear" w:color="000000" w:fill="FFFFFF"/>
            <w:noWrap/>
            <w:vAlign w:val="center"/>
          </w:tcPr>
          <w:p w14:paraId="472B1F45">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319" w:type="pct"/>
            <w:tcBorders>
              <w:top w:val="nil"/>
              <w:left w:val="nil"/>
              <w:bottom w:val="single" w:color="auto" w:sz="4" w:space="0"/>
              <w:right w:val="single" w:color="auto" w:sz="4" w:space="0"/>
            </w:tcBorders>
            <w:shd w:val="clear" w:color="000000" w:fill="FFFFFF"/>
            <w:noWrap/>
            <w:vAlign w:val="center"/>
          </w:tcPr>
          <w:p w14:paraId="4AAFA4E5">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286" w:type="pct"/>
            <w:tcBorders>
              <w:top w:val="nil"/>
              <w:left w:val="nil"/>
              <w:bottom w:val="single" w:color="auto" w:sz="4" w:space="0"/>
              <w:right w:val="single" w:color="auto" w:sz="4" w:space="0"/>
            </w:tcBorders>
            <w:shd w:val="clear" w:color="000000" w:fill="FFFFFF"/>
            <w:noWrap/>
            <w:vAlign w:val="center"/>
          </w:tcPr>
          <w:p w14:paraId="3CD29BE3">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294" w:type="pct"/>
            <w:tcBorders>
              <w:top w:val="nil"/>
              <w:left w:val="nil"/>
              <w:bottom w:val="single" w:color="auto" w:sz="4" w:space="0"/>
              <w:right w:val="single" w:color="auto" w:sz="4" w:space="0"/>
            </w:tcBorders>
            <w:shd w:val="clear" w:color="000000" w:fill="FFFFFF"/>
            <w:noWrap/>
            <w:vAlign w:val="center"/>
          </w:tcPr>
          <w:p w14:paraId="0B5158A4">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H₂</w:t>
            </w:r>
          </w:p>
        </w:tc>
        <w:tc>
          <w:tcPr>
            <w:tcW w:w="360" w:type="pct"/>
            <w:tcBorders>
              <w:top w:val="nil"/>
              <w:left w:val="nil"/>
              <w:bottom w:val="single" w:color="auto" w:sz="4" w:space="0"/>
              <w:right w:val="single" w:color="auto" w:sz="4" w:space="0"/>
            </w:tcBorders>
            <w:shd w:val="clear" w:color="000000" w:fill="FFFFFF"/>
            <w:noWrap/>
            <w:vAlign w:val="center"/>
          </w:tcPr>
          <w:p w14:paraId="3F4C9A1B">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433" w:type="pct"/>
            <w:tcBorders>
              <w:top w:val="nil"/>
              <w:left w:val="nil"/>
              <w:bottom w:val="single" w:color="auto" w:sz="4" w:space="0"/>
              <w:right w:val="single" w:color="auto" w:sz="4" w:space="0"/>
            </w:tcBorders>
            <w:shd w:val="clear" w:color="000000" w:fill="FFFFFF"/>
            <w:noWrap/>
            <w:vAlign w:val="center"/>
          </w:tcPr>
          <w:p w14:paraId="11C58453">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450" w:type="pct"/>
            <w:tcBorders>
              <w:top w:val="nil"/>
              <w:left w:val="nil"/>
              <w:bottom w:val="single" w:color="auto" w:sz="4" w:space="0"/>
              <w:right w:val="single" w:color="auto" w:sz="4" w:space="0"/>
            </w:tcBorders>
            <w:shd w:val="clear" w:color="000000" w:fill="FFFFFF"/>
            <w:noWrap/>
            <w:vAlign w:val="center"/>
          </w:tcPr>
          <w:p w14:paraId="2D0601C6">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327" w:type="pct"/>
            <w:tcBorders>
              <w:top w:val="nil"/>
              <w:left w:val="nil"/>
              <w:bottom w:val="single" w:color="auto" w:sz="4" w:space="0"/>
              <w:right w:val="single" w:color="auto" w:sz="4" w:space="0"/>
            </w:tcBorders>
            <w:shd w:val="clear" w:color="000000" w:fill="FFFFFF"/>
            <w:noWrap/>
            <w:vAlign w:val="center"/>
          </w:tcPr>
          <w:p w14:paraId="1812256A">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1366" w:type="pct"/>
            <w:tcBorders>
              <w:top w:val="nil"/>
              <w:left w:val="nil"/>
              <w:bottom w:val="single" w:color="auto" w:sz="4" w:space="0"/>
              <w:right w:val="single" w:color="000000" w:sz="4" w:space="0"/>
            </w:tcBorders>
            <w:shd w:val="clear" w:color="000000" w:fill="FFFFFF"/>
            <w:noWrap/>
            <w:vAlign w:val="center"/>
          </w:tcPr>
          <w:p w14:paraId="3ACAA0B1">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H₂有2个气路点</w:t>
            </w:r>
          </w:p>
        </w:tc>
      </w:tr>
      <w:tr w14:paraId="7FCBD869">
        <w:tblPrEx>
          <w:tblCellMar>
            <w:top w:w="0" w:type="dxa"/>
            <w:left w:w="108" w:type="dxa"/>
            <w:bottom w:w="0" w:type="dxa"/>
            <w:right w:w="108" w:type="dxa"/>
          </w:tblCellMar>
        </w:tblPrEx>
        <w:trPr>
          <w:trHeight w:val="660" w:hRule="atLeast"/>
          <w:jc w:val="center"/>
        </w:trPr>
        <w:tc>
          <w:tcPr>
            <w:tcW w:w="2855" w:type="pct"/>
            <w:gridSpan w:val="9"/>
            <w:tcBorders>
              <w:top w:val="single" w:color="auto" w:sz="4" w:space="0"/>
              <w:left w:val="single" w:color="auto" w:sz="4" w:space="0"/>
              <w:bottom w:val="single" w:color="auto" w:sz="4" w:space="0"/>
              <w:right w:val="nil"/>
            </w:tcBorders>
            <w:shd w:val="clear" w:color="000000" w:fill="FFFFFF"/>
            <w:noWrap/>
            <w:vAlign w:val="center"/>
          </w:tcPr>
          <w:p w14:paraId="0D420A50">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二层</w:t>
            </w:r>
          </w:p>
        </w:tc>
        <w:tc>
          <w:tcPr>
            <w:tcW w:w="450" w:type="pct"/>
            <w:tcBorders>
              <w:top w:val="nil"/>
              <w:left w:val="nil"/>
              <w:bottom w:val="single" w:color="auto" w:sz="4" w:space="0"/>
              <w:right w:val="single" w:color="auto" w:sz="4" w:space="0"/>
            </w:tcBorders>
            <w:shd w:val="clear" w:color="000000" w:fill="FFFFFF"/>
            <w:noWrap/>
            <w:vAlign w:val="center"/>
          </w:tcPr>
          <w:p w14:paraId="3C76A4D5">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327" w:type="pct"/>
            <w:tcBorders>
              <w:top w:val="nil"/>
              <w:left w:val="nil"/>
              <w:bottom w:val="single" w:color="auto" w:sz="4" w:space="0"/>
              <w:right w:val="single" w:color="auto" w:sz="4" w:space="0"/>
            </w:tcBorders>
            <w:shd w:val="clear" w:color="000000" w:fill="FFFFFF"/>
            <w:noWrap/>
            <w:vAlign w:val="center"/>
          </w:tcPr>
          <w:p w14:paraId="78BFC891">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1366" w:type="pct"/>
            <w:tcBorders>
              <w:top w:val="nil"/>
              <w:left w:val="nil"/>
              <w:bottom w:val="single" w:color="auto" w:sz="4" w:space="0"/>
              <w:right w:val="single" w:color="000000" w:sz="4" w:space="0"/>
            </w:tcBorders>
            <w:shd w:val="clear" w:color="000000" w:fill="FFFFFF"/>
            <w:noWrap/>
            <w:vAlign w:val="center"/>
          </w:tcPr>
          <w:p w14:paraId="7AD3F281">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r>
      <w:tr w14:paraId="37CF810E">
        <w:tblPrEx>
          <w:tblCellMar>
            <w:top w:w="0" w:type="dxa"/>
            <w:left w:w="108" w:type="dxa"/>
            <w:bottom w:w="0" w:type="dxa"/>
            <w:right w:w="108" w:type="dxa"/>
          </w:tblCellMar>
        </w:tblPrEx>
        <w:trPr>
          <w:trHeight w:val="660" w:hRule="atLeast"/>
          <w:jc w:val="center"/>
        </w:trPr>
        <w:tc>
          <w:tcPr>
            <w:tcW w:w="286" w:type="pct"/>
            <w:tcBorders>
              <w:top w:val="nil"/>
              <w:left w:val="single" w:color="auto" w:sz="4" w:space="0"/>
              <w:bottom w:val="single" w:color="auto" w:sz="4" w:space="0"/>
              <w:right w:val="single" w:color="auto" w:sz="4" w:space="0"/>
            </w:tcBorders>
            <w:shd w:val="clear" w:color="000000" w:fill="FFFFFF"/>
            <w:noWrap/>
            <w:vAlign w:val="center"/>
          </w:tcPr>
          <w:p w14:paraId="77F6FA21">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1</w:t>
            </w:r>
          </w:p>
        </w:tc>
        <w:tc>
          <w:tcPr>
            <w:tcW w:w="351" w:type="pct"/>
            <w:tcBorders>
              <w:top w:val="nil"/>
              <w:left w:val="nil"/>
              <w:bottom w:val="single" w:color="auto" w:sz="4" w:space="0"/>
              <w:right w:val="single" w:color="auto" w:sz="4" w:space="0"/>
            </w:tcBorders>
            <w:shd w:val="clear" w:color="000000" w:fill="FFFFFF"/>
            <w:noWrap/>
            <w:vAlign w:val="center"/>
          </w:tcPr>
          <w:p w14:paraId="44F2701D">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222B</w:t>
            </w:r>
          </w:p>
        </w:tc>
        <w:tc>
          <w:tcPr>
            <w:tcW w:w="245" w:type="pct"/>
            <w:tcBorders>
              <w:top w:val="nil"/>
              <w:left w:val="nil"/>
              <w:bottom w:val="single" w:color="auto" w:sz="4" w:space="0"/>
              <w:right w:val="single" w:color="auto" w:sz="4" w:space="0"/>
            </w:tcBorders>
            <w:shd w:val="clear" w:color="000000" w:fill="FFFFFF"/>
            <w:noWrap/>
            <w:vAlign w:val="center"/>
          </w:tcPr>
          <w:p w14:paraId="45B74748">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N₂</w:t>
            </w:r>
          </w:p>
        </w:tc>
        <w:tc>
          <w:tcPr>
            <w:tcW w:w="278" w:type="pct"/>
            <w:tcBorders>
              <w:top w:val="nil"/>
              <w:left w:val="nil"/>
              <w:bottom w:val="single" w:color="auto" w:sz="4" w:space="0"/>
              <w:right w:val="single" w:color="auto" w:sz="4" w:space="0"/>
            </w:tcBorders>
            <w:shd w:val="clear" w:color="000000" w:fill="FFFFFF"/>
            <w:noWrap/>
            <w:vAlign w:val="center"/>
          </w:tcPr>
          <w:p w14:paraId="101F57BF">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Ar</w:t>
            </w:r>
          </w:p>
        </w:tc>
        <w:tc>
          <w:tcPr>
            <w:tcW w:w="319" w:type="pct"/>
            <w:tcBorders>
              <w:top w:val="nil"/>
              <w:left w:val="nil"/>
              <w:bottom w:val="single" w:color="auto" w:sz="4" w:space="0"/>
              <w:right w:val="single" w:color="auto" w:sz="4" w:space="0"/>
            </w:tcBorders>
            <w:shd w:val="clear" w:color="000000" w:fill="FFFFFF"/>
            <w:noWrap/>
            <w:vAlign w:val="center"/>
          </w:tcPr>
          <w:p w14:paraId="7EB2BD21">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286" w:type="pct"/>
            <w:tcBorders>
              <w:top w:val="nil"/>
              <w:left w:val="nil"/>
              <w:bottom w:val="nil"/>
              <w:right w:val="nil"/>
            </w:tcBorders>
            <w:shd w:val="clear" w:color="000000" w:fill="FFFFFF"/>
            <w:noWrap/>
            <w:vAlign w:val="center"/>
          </w:tcPr>
          <w:p w14:paraId="3DC314B1">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294" w:type="pct"/>
            <w:tcBorders>
              <w:top w:val="nil"/>
              <w:left w:val="single" w:color="auto" w:sz="4" w:space="0"/>
              <w:bottom w:val="single" w:color="auto" w:sz="4" w:space="0"/>
              <w:right w:val="single" w:color="auto" w:sz="4" w:space="0"/>
            </w:tcBorders>
            <w:shd w:val="clear" w:color="000000" w:fill="FFFFFF"/>
            <w:noWrap/>
            <w:vAlign w:val="center"/>
          </w:tcPr>
          <w:p w14:paraId="40B516B4">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H₂</w:t>
            </w:r>
          </w:p>
        </w:tc>
        <w:tc>
          <w:tcPr>
            <w:tcW w:w="360" w:type="pct"/>
            <w:tcBorders>
              <w:top w:val="nil"/>
              <w:left w:val="nil"/>
              <w:bottom w:val="single" w:color="auto" w:sz="4" w:space="0"/>
              <w:right w:val="single" w:color="auto" w:sz="4" w:space="0"/>
            </w:tcBorders>
            <w:shd w:val="clear" w:color="000000" w:fill="FFFFFF"/>
            <w:noWrap/>
            <w:vAlign w:val="center"/>
          </w:tcPr>
          <w:p w14:paraId="0BF9B7BB">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CH₄​</w:t>
            </w:r>
          </w:p>
        </w:tc>
        <w:tc>
          <w:tcPr>
            <w:tcW w:w="433" w:type="pct"/>
            <w:tcBorders>
              <w:top w:val="nil"/>
              <w:left w:val="nil"/>
              <w:bottom w:val="single" w:color="auto" w:sz="4" w:space="0"/>
              <w:right w:val="single" w:color="auto" w:sz="4" w:space="0"/>
            </w:tcBorders>
            <w:shd w:val="clear" w:color="000000" w:fill="FFFFFF"/>
            <w:noWrap/>
            <w:vAlign w:val="center"/>
          </w:tcPr>
          <w:p w14:paraId="6F206A70">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450" w:type="pct"/>
            <w:tcBorders>
              <w:top w:val="nil"/>
              <w:left w:val="nil"/>
              <w:bottom w:val="single" w:color="auto" w:sz="4" w:space="0"/>
              <w:right w:val="single" w:color="auto" w:sz="4" w:space="0"/>
            </w:tcBorders>
            <w:shd w:val="clear" w:color="000000" w:fill="FFFFFF"/>
            <w:noWrap/>
            <w:vAlign w:val="center"/>
          </w:tcPr>
          <w:p w14:paraId="154A94BF">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327" w:type="pct"/>
            <w:tcBorders>
              <w:top w:val="nil"/>
              <w:left w:val="nil"/>
              <w:bottom w:val="single" w:color="auto" w:sz="4" w:space="0"/>
              <w:right w:val="single" w:color="auto" w:sz="4" w:space="0"/>
            </w:tcBorders>
            <w:shd w:val="clear" w:color="000000" w:fill="FFFFFF"/>
            <w:noWrap/>
            <w:vAlign w:val="center"/>
          </w:tcPr>
          <w:p w14:paraId="6B4E06FD">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4</w:t>
            </w:r>
          </w:p>
        </w:tc>
        <w:tc>
          <w:tcPr>
            <w:tcW w:w="1366" w:type="pct"/>
            <w:tcBorders>
              <w:top w:val="nil"/>
              <w:left w:val="nil"/>
              <w:bottom w:val="single" w:color="auto" w:sz="4" w:space="0"/>
              <w:right w:val="single" w:color="000000" w:sz="4" w:space="0"/>
            </w:tcBorders>
            <w:shd w:val="clear" w:color="000000" w:fill="FFFFFF"/>
            <w:noWrap/>
            <w:vAlign w:val="center"/>
          </w:tcPr>
          <w:p w14:paraId="162B1AC3">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H₂、N₂、Ar、CH₄​各2个气路点</w:t>
            </w:r>
          </w:p>
        </w:tc>
      </w:tr>
      <w:tr w14:paraId="0A4B3FB4">
        <w:tblPrEx>
          <w:tblCellMar>
            <w:top w:w="0" w:type="dxa"/>
            <w:left w:w="108" w:type="dxa"/>
            <w:bottom w:w="0" w:type="dxa"/>
            <w:right w:w="108" w:type="dxa"/>
          </w:tblCellMar>
        </w:tblPrEx>
        <w:trPr>
          <w:trHeight w:val="660" w:hRule="atLeast"/>
          <w:jc w:val="center"/>
        </w:trPr>
        <w:tc>
          <w:tcPr>
            <w:tcW w:w="286" w:type="pct"/>
            <w:tcBorders>
              <w:top w:val="nil"/>
              <w:left w:val="single" w:color="auto" w:sz="4" w:space="0"/>
              <w:bottom w:val="single" w:color="auto" w:sz="4" w:space="0"/>
              <w:right w:val="single" w:color="auto" w:sz="4" w:space="0"/>
            </w:tcBorders>
            <w:shd w:val="clear" w:color="000000" w:fill="FFFFFF"/>
            <w:noWrap/>
            <w:vAlign w:val="center"/>
          </w:tcPr>
          <w:p w14:paraId="4DF5B98D">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2</w:t>
            </w:r>
          </w:p>
        </w:tc>
        <w:tc>
          <w:tcPr>
            <w:tcW w:w="351" w:type="pct"/>
            <w:tcBorders>
              <w:top w:val="nil"/>
              <w:left w:val="nil"/>
              <w:bottom w:val="single" w:color="auto" w:sz="4" w:space="0"/>
              <w:right w:val="single" w:color="auto" w:sz="4" w:space="0"/>
            </w:tcBorders>
            <w:shd w:val="clear" w:color="000000" w:fill="FFFFFF"/>
            <w:noWrap/>
            <w:vAlign w:val="center"/>
          </w:tcPr>
          <w:p w14:paraId="60B7CF0E">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220</w:t>
            </w:r>
          </w:p>
        </w:tc>
        <w:tc>
          <w:tcPr>
            <w:tcW w:w="245" w:type="pct"/>
            <w:tcBorders>
              <w:top w:val="nil"/>
              <w:left w:val="nil"/>
              <w:bottom w:val="single" w:color="auto" w:sz="4" w:space="0"/>
              <w:right w:val="single" w:color="auto" w:sz="4" w:space="0"/>
            </w:tcBorders>
            <w:shd w:val="clear" w:color="000000" w:fill="FFFFFF"/>
            <w:noWrap/>
            <w:vAlign w:val="center"/>
          </w:tcPr>
          <w:p w14:paraId="31D696D4">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N₂</w:t>
            </w:r>
          </w:p>
        </w:tc>
        <w:tc>
          <w:tcPr>
            <w:tcW w:w="278" w:type="pct"/>
            <w:tcBorders>
              <w:top w:val="nil"/>
              <w:left w:val="nil"/>
              <w:bottom w:val="single" w:color="auto" w:sz="4" w:space="0"/>
              <w:right w:val="single" w:color="auto" w:sz="4" w:space="0"/>
            </w:tcBorders>
            <w:shd w:val="clear" w:color="000000" w:fill="FFFFFF"/>
            <w:noWrap/>
            <w:vAlign w:val="center"/>
          </w:tcPr>
          <w:p w14:paraId="01E2E3CF">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Ar</w:t>
            </w:r>
          </w:p>
        </w:tc>
        <w:tc>
          <w:tcPr>
            <w:tcW w:w="319" w:type="pct"/>
            <w:tcBorders>
              <w:top w:val="nil"/>
              <w:left w:val="nil"/>
              <w:bottom w:val="single" w:color="auto" w:sz="4" w:space="0"/>
              <w:right w:val="single" w:color="auto" w:sz="4" w:space="0"/>
            </w:tcBorders>
            <w:shd w:val="clear" w:color="000000" w:fill="FFFFFF"/>
            <w:noWrap/>
            <w:vAlign w:val="center"/>
          </w:tcPr>
          <w:p w14:paraId="58E3580F">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286" w:type="pct"/>
            <w:tcBorders>
              <w:top w:val="single" w:color="auto" w:sz="4" w:space="0"/>
              <w:left w:val="nil"/>
              <w:bottom w:val="single" w:color="auto" w:sz="4" w:space="0"/>
              <w:right w:val="single" w:color="auto" w:sz="4" w:space="0"/>
            </w:tcBorders>
            <w:shd w:val="clear" w:color="000000" w:fill="FFFFFF"/>
            <w:noWrap/>
            <w:vAlign w:val="center"/>
          </w:tcPr>
          <w:p w14:paraId="679E8665">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294" w:type="pct"/>
            <w:tcBorders>
              <w:top w:val="nil"/>
              <w:left w:val="nil"/>
              <w:bottom w:val="single" w:color="auto" w:sz="4" w:space="0"/>
              <w:right w:val="single" w:color="auto" w:sz="4" w:space="0"/>
            </w:tcBorders>
            <w:shd w:val="clear" w:color="000000" w:fill="FFFFFF"/>
            <w:noWrap/>
            <w:vAlign w:val="center"/>
          </w:tcPr>
          <w:p w14:paraId="069C555C">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360" w:type="pct"/>
            <w:tcBorders>
              <w:top w:val="nil"/>
              <w:left w:val="nil"/>
              <w:bottom w:val="single" w:color="auto" w:sz="4" w:space="0"/>
              <w:right w:val="single" w:color="auto" w:sz="4" w:space="0"/>
            </w:tcBorders>
            <w:shd w:val="clear" w:color="000000" w:fill="FFFFFF"/>
            <w:noWrap/>
            <w:vAlign w:val="center"/>
          </w:tcPr>
          <w:p w14:paraId="52FB5CE0">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433" w:type="pct"/>
            <w:tcBorders>
              <w:top w:val="nil"/>
              <w:left w:val="nil"/>
              <w:bottom w:val="single" w:color="auto" w:sz="4" w:space="0"/>
              <w:right w:val="single" w:color="auto" w:sz="4" w:space="0"/>
            </w:tcBorders>
            <w:shd w:val="clear" w:color="000000" w:fill="FFFFFF"/>
            <w:noWrap/>
            <w:vAlign w:val="center"/>
          </w:tcPr>
          <w:p w14:paraId="675B14BF">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450" w:type="pct"/>
            <w:tcBorders>
              <w:top w:val="nil"/>
              <w:left w:val="nil"/>
              <w:bottom w:val="single" w:color="auto" w:sz="4" w:space="0"/>
              <w:right w:val="single" w:color="auto" w:sz="4" w:space="0"/>
            </w:tcBorders>
            <w:shd w:val="clear" w:color="000000" w:fill="FFFFFF"/>
            <w:noWrap/>
            <w:vAlign w:val="center"/>
          </w:tcPr>
          <w:p w14:paraId="3293DDD1">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327" w:type="pct"/>
            <w:tcBorders>
              <w:top w:val="nil"/>
              <w:left w:val="nil"/>
              <w:bottom w:val="single" w:color="auto" w:sz="4" w:space="0"/>
              <w:right w:val="single" w:color="auto" w:sz="4" w:space="0"/>
            </w:tcBorders>
            <w:shd w:val="clear" w:color="000000" w:fill="FFFFFF"/>
            <w:noWrap/>
            <w:vAlign w:val="center"/>
          </w:tcPr>
          <w:p w14:paraId="6A10D33C">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2</w:t>
            </w:r>
          </w:p>
        </w:tc>
        <w:tc>
          <w:tcPr>
            <w:tcW w:w="1366" w:type="pct"/>
            <w:tcBorders>
              <w:top w:val="nil"/>
              <w:left w:val="nil"/>
              <w:bottom w:val="single" w:color="auto" w:sz="4" w:space="0"/>
              <w:right w:val="single" w:color="auto" w:sz="4" w:space="0"/>
            </w:tcBorders>
            <w:shd w:val="clear" w:color="000000" w:fill="FFFFFF"/>
            <w:noWrap/>
            <w:vAlign w:val="center"/>
          </w:tcPr>
          <w:p w14:paraId="0A1BC50A">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N₂,Ar各1个气路点</w:t>
            </w:r>
          </w:p>
        </w:tc>
      </w:tr>
      <w:tr w14:paraId="65F84048">
        <w:tblPrEx>
          <w:tblCellMar>
            <w:top w:w="0" w:type="dxa"/>
            <w:left w:w="108" w:type="dxa"/>
            <w:bottom w:w="0" w:type="dxa"/>
            <w:right w:w="108" w:type="dxa"/>
          </w:tblCellMar>
        </w:tblPrEx>
        <w:trPr>
          <w:trHeight w:val="660" w:hRule="atLeast"/>
          <w:jc w:val="center"/>
        </w:trPr>
        <w:tc>
          <w:tcPr>
            <w:tcW w:w="28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E7978D8">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3</w:t>
            </w:r>
          </w:p>
        </w:tc>
        <w:tc>
          <w:tcPr>
            <w:tcW w:w="351" w:type="pct"/>
            <w:tcBorders>
              <w:top w:val="single" w:color="auto" w:sz="4" w:space="0"/>
              <w:left w:val="nil"/>
              <w:bottom w:val="single" w:color="auto" w:sz="4" w:space="0"/>
              <w:right w:val="single" w:color="auto" w:sz="4" w:space="0"/>
            </w:tcBorders>
            <w:shd w:val="clear" w:color="000000" w:fill="FFFFFF"/>
            <w:noWrap/>
            <w:vAlign w:val="center"/>
          </w:tcPr>
          <w:p w14:paraId="2FAE61D6">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214</w:t>
            </w:r>
          </w:p>
        </w:tc>
        <w:tc>
          <w:tcPr>
            <w:tcW w:w="245" w:type="pct"/>
            <w:tcBorders>
              <w:top w:val="single" w:color="auto" w:sz="4" w:space="0"/>
              <w:left w:val="nil"/>
              <w:bottom w:val="single" w:color="auto" w:sz="4" w:space="0"/>
              <w:right w:val="single" w:color="auto" w:sz="4" w:space="0"/>
            </w:tcBorders>
            <w:shd w:val="clear" w:color="000000" w:fill="FFFFFF"/>
            <w:noWrap/>
            <w:vAlign w:val="center"/>
          </w:tcPr>
          <w:p w14:paraId="77FF2347">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278" w:type="pct"/>
            <w:tcBorders>
              <w:top w:val="single" w:color="auto" w:sz="4" w:space="0"/>
              <w:left w:val="nil"/>
              <w:bottom w:val="single" w:color="auto" w:sz="4" w:space="0"/>
              <w:right w:val="single" w:color="auto" w:sz="4" w:space="0"/>
            </w:tcBorders>
            <w:shd w:val="clear" w:color="000000" w:fill="FFFFFF"/>
            <w:noWrap/>
            <w:vAlign w:val="center"/>
          </w:tcPr>
          <w:p w14:paraId="5FF464A3">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Ar</w:t>
            </w:r>
          </w:p>
        </w:tc>
        <w:tc>
          <w:tcPr>
            <w:tcW w:w="319" w:type="pct"/>
            <w:tcBorders>
              <w:top w:val="single" w:color="auto" w:sz="4" w:space="0"/>
              <w:left w:val="nil"/>
              <w:bottom w:val="single" w:color="auto" w:sz="4" w:space="0"/>
              <w:right w:val="single" w:color="auto" w:sz="4" w:space="0"/>
            </w:tcBorders>
            <w:shd w:val="clear" w:color="000000" w:fill="FFFFFF"/>
            <w:noWrap/>
            <w:vAlign w:val="center"/>
          </w:tcPr>
          <w:p w14:paraId="1F750D29">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286" w:type="pct"/>
            <w:tcBorders>
              <w:top w:val="single" w:color="auto" w:sz="4" w:space="0"/>
              <w:left w:val="nil"/>
              <w:bottom w:val="single" w:color="auto" w:sz="4" w:space="0"/>
              <w:right w:val="single" w:color="auto" w:sz="4" w:space="0"/>
            </w:tcBorders>
            <w:shd w:val="clear" w:color="000000" w:fill="FFFFFF"/>
            <w:noWrap/>
            <w:vAlign w:val="center"/>
          </w:tcPr>
          <w:p w14:paraId="0046146F">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294" w:type="pct"/>
            <w:tcBorders>
              <w:top w:val="single" w:color="auto" w:sz="4" w:space="0"/>
              <w:left w:val="nil"/>
              <w:bottom w:val="single" w:color="auto" w:sz="4" w:space="0"/>
              <w:right w:val="single" w:color="auto" w:sz="4" w:space="0"/>
            </w:tcBorders>
            <w:shd w:val="clear" w:color="000000" w:fill="FFFFFF"/>
            <w:noWrap/>
            <w:vAlign w:val="center"/>
          </w:tcPr>
          <w:p w14:paraId="032E1EAF">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360" w:type="pct"/>
            <w:tcBorders>
              <w:top w:val="single" w:color="auto" w:sz="4" w:space="0"/>
              <w:left w:val="nil"/>
              <w:bottom w:val="single" w:color="auto" w:sz="4" w:space="0"/>
              <w:right w:val="single" w:color="auto" w:sz="4" w:space="0"/>
            </w:tcBorders>
            <w:shd w:val="clear" w:color="000000" w:fill="FFFFFF"/>
            <w:noWrap/>
            <w:vAlign w:val="center"/>
          </w:tcPr>
          <w:p w14:paraId="007C1BE6">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433" w:type="pct"/>
            <w:tcBorders>
              <w:top w:val="single" w:color="auto" w:sz="4" w:space="0"/>
              <w:left w:val="nil"/>
              <w:bottom w:val="single" w:color="auto" w:sz="4" w:space="0"/>
              <w:right w:val="single" w:color="auto" w:sz="4" w:space="0"/>
            </w:tcBorders>
            <w:shd w:val="clear" w:color="000000" w:fill="FFFFFF"/>
            <w:noWrap/>
            <w:vAlign w:val="center"/>
          </w:tcPr>
          <w:p w14:paraId="57F4CE6A">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450" w:type="pct"/>
            <w:tcBorders>
              <w:top w:val="single" w:color="auto" w:sz="4" w:space="0"/>
              <w:left w:val="nil"/>
              <w:bottom w:val="single" w:color="auto" w:sz="4" w:space="0"/>
              <w:right w:val="single" w:color="auto" w:sz="4" w:space="0"/>
            </w:tcBorders>
            <w:shd w:val="clear" w:color="000000" w:fill="FFFFFF"/>
            <w:noWrap/>
            <w:vAlign w:val="center"/>
          </w:tcPr>
          <w:p w14:paraId="72001B0B">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327" w:type="pct"/>
            <w:tcBorders>
              <w:top w:val="single" w:color="auto" w:sz="4" w:space="0"/>
              <w:left w:val="nil"/>
              <w:bottom w:val="single" w:color="auto" w:sz="4" w:space="0"/>
              <w:right w:val="single" w:color="auto" w:sz="4" w:space="0"/>
            </w:tcBorders>
            <w:shd w:val="clear" w:color="000000" w:fill="FFFFFF"/>
            <w:noWrap/>
            <w:vAlign w:val="center"/>
          </w:tcPr>
          <w:p w14:paraId="7F1A97AA">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1</w:t>
            </w:r>
          </w:p>
        </w:tc>
        <w:tc>
          <w:tcPr>
            <w:tcW w:w="1366" w:type="pct"/>
            <w:tcBorders>
              <w:top w:val="single" w:color="auto" w:sz="4" w:space="0"/>
              <w:left w:val="nil"/>
              <w:bottom w:val="single" w:color="auto" w:sz="4" w:space="0"/>
              <w:right w:val="single" w:color="000000" w:sz="4" w:space="0"/>
            </w:tcBorders>
            <w:shd w:val="clear" w:color="000000" w:fill="FFFFFF"/>
            <w:noWrap/>
            <w:vAlign w:val="center"/>
          </w:tcPr>
          <w:p w14:paraId="357EBA46">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Ar有2个气路点</w:t>
            </w:r>
          </w:p>
        </w:tc>
      </w:tr>
      <w:tr w14:paraId="5BB00B7B">
        <w:tblPrEx>
          <w:tblCellMar>
            <w:top w:w="0" w:type="dxa"/>
            <w:left w:w="108" w:type="dxa"/>
            <w:bottom w:w="0" w:type="dxa"/>
            <w:right w:w="108" w:type="dxa"/>
          </w:tblCellMar>
        </w:tblPrEx>
        <w:trPr>
          <w:trHeight w:val="660" w:hRule="atLeast"/>
          <w:jc w:val="center"/>
        </w:trPr>
        <w:tc>
          <w:tcPr>
            <w:tcW w:w="286" w:type="pct"/>
            <w:tcBorders>
              <w:top w:val="nil"/>
              <w:left w:val="single" w:color="auto" w:sz="4" w:space="0"/>
              <w:bottom w:val="single" w:color="auto" w:sz="4" w:space="0"/>
              <w:right w:val="single" w:color="auto" w:sz="4" w:space="0"/>
            </w:tcBorders>
            <w:shd w:val="clear" w:color="000000" w:fill="FFFFFF"/>
            <w:noWrap/>
            <w:vAlign w:val="center"/>
          </w:tcPr>
          <w:p w14:paraId="173898B6">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4</w:t>
            </w:r>
          </w:p>
        </w:tc>
        <w:tc>
          <w:tcPr>
            <w:tcW w:w="351" w:type="pct"/>
            <w:tcBorders>
              <w:top w:val="nil"/>
              <w:left w:val="nil"/>
              <w:bottom w:val="single" w:color="auto" w:sz="4" w:space="0"/>
              <w:right w:val="single" w:color="auto" w:sz="4" w:space="0"/>
            </w:tcBorders>
            <w:shd w:val="clear" w:color="000000" w:fill="FFFFFF"/>
            <w:noWrap/>
            <w:vAlign w:val="center"/>
          </w:tcPr>
          <w:p w14:paraId="04481A52">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218</w:t>
            </w:r>
          </w:p>
        </w:tc>
        <w:tc>
          <w:tcPr>
            <w:tcW w:w="245" w:type="pct"/>
            <w:tcBorders>
              <w:top w:val="nil"/>
              <w:left w:val="nil"/>
              <w:bottom w:val="single" w:color="auto" w:sz="4" w:space="0"/>
              <w:right w:val="single" w:color="auto" w:sz="4" w:space="0"/>
            </w:tcBorders>
            <w:shd w:val="clear" w:color="000000" w:fill="FFFFFF"/>
            <w:noWrap/>
            <w:vAlign w:val="center"/>
          </w:tcPr>
          <w:p w14:paraId="5D6B9FC8">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N₂</w:t>
            </w:r>
          </w:p>
        </w:tc>
        <w:tc>
          <w:tcPr>
            <w:tcW w:w="278" w:type="pct"/>
            <w:tcBorders>
              <w:top w:val="nil"/>
              <w:left w:val="nil"/>
              <w:bottom w:val="single" w:color="auto" w:sz="4" w:space="0"/>
              <w:right w:val="single" w:color="auto" w:sz="4" w:space="0"/>
            </w:tcBorders>
            <w:shd w:val="clear" w:color="000000" w:fill="FFFFFF"/>
            <w:noWrap/>
            <w:vAlign w:val="center"/>
          </w:tcPr>
          <w:p w14:paraId="66F18B42">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319" w:type="pct"/>
            <w:tcBorders>
              <w:top w:val="nil"/>
              <w:left w:val="nil"/>
              <w:bottom w:val="single" w:color="auto" w:sz="4" w:space="0"/>
              <w:right w:val="single" w:color="auto" w:sz="4" w:space="0"/>
            </w:tcBorders>
            <w:shd w:val="clear" w:color="000000" w:fill="FFFFFF"/>
            <w:noWrap/>
            <w:vAlign w:val="center"/>
          </w:tcPr>
          <w:p w14:paraId="6B6C29BD">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286" w:type="pct"/>
            <w:tcBorders>
              <w:top w:val="nil"/>
              <w:left w:val="nil"/>
              <w:bottom w:val="single" w:color="auto" w:sz="4" w:space="0"/>
              <w:right w:val="single" w:color="auto" w:sz="4" w:space="0"/>
            </w:tcBorders>
            <w:shd w:val="clear" w:color="000000" w:fill="FFFFFF"/>
            <w:noWrap/>
            <w:vAlign w:val="center"/>
          </w:tcPr>
          <w:p w14:paraId="59F8F834">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He</w:t>
            </w:r>
          </w:p>
        </w:tc>
        <w:tc>
          <w:tcPr>
            <w:tcW w:w="294" w:type="pct"/>
            <w:tcBorders>
              <w:top w:val="nil"/>
              <w:left w:val="nil"/>
              <w:bottom w:val="single" w:color="auto" w:sz="4" w:space="0"/>
              <w:right w:val="single" w:color="auto" w:sz="4" w:space="0"/>
            </w:tcBorders>
            <w:shd w:val="clear" w:color="000000" w:fill="FFFFFF"/>
            <w:noWrap/>
            <w:vAlign w:val="center"/>
          </w:tcPr>
          <w:p w14:paraId="3F7BF165">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360" w:type="pct"/>
            <w:tcBorders>
              <w:top w:val="nil"/>
              <w:left w:val="nil"/>
              <w:bottom w:val="single" w:color="auto" w:sz="4" w:space="0"/>
              <w:right w:val="nil"/>
            </w:tcBorders>
            <w:shd w:val="clear" w:color="000000" w:fill="FFFFFF"/>
            <w:noWrap/>
            <w:vAlign w:val="center"/>
          </w:tcPr>
          <w:p w14:paraId="55FCF99C">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433" w:type="pct"/>
            <w:tcBorders>
              <w:top w:val="nil"/>
              <w:left w:val="single" w:color="auto" w:sz="4" w:space="0"/>
              <w:bottom w:val="single" w:color="auto" w:sz="4" w:space="0"/>
              <w:right w:val="single" w:color="auto" w:sz="4" w:space="0"/>
            </w:tcBorders>
            <w:shd w:val="clear" w:color="000000" w:fill="FFFFFF"/>
            <w:noWrap/>
            <w:vAlign w:val="center"/>
          </w:tcPr>
          <w:p w14:paraId="58347EA1">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O₂</w:t>
            </w:r>
          </w:p>
        </w:tc>
        <w:tc>
          <w:tcPr>
            <w:tcW w:w="450" w:type="pct"/>
            <w:tcBorders>
              <w:top w:val="nil"/>
              <w:left w:val="nil"/>
              <w:bottom w:val="single" w:color="auto" w:sz="4" w:space="0"/>
              <w:right w:val="single" w:color="auto" w:sz="4" w:space="0"/>
            </w:tcBorders>
            <w:shd w:val="clear" w:color="000000" w:fill="FFFFFF"/>
            <w:noWrap/>
            <w:vAlign w:val="center"/>
          </w:tcPr>
          <w:p w14:paraId="1CA116D3">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327" w:type="pct"/>
            <w:tcBorders>
              <w:top w:val="nil"/>
              <w:left w:val="nil"/>
              <w:bottom w:val="single" w:color="auto" w:sz="4" w:space="0"/>
              <w:right w:val="single" w:color="auto" w:sz="4" w:space="0"/>
            </w:tcBorders>
            <w:shd w:val="clear" w:color="000000" w:fill="FFFFFF"/>
            <w:noWrap/>
            <w:vAlign w:val="center"/>
          </w:tcPr>
          <w:p w14:paraId="5F17F58E">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3</w:t>
            </w:r>
          </w:p>
        </w:tc>
        <w:tc>
          <w:tcPr>
            <w:tcW w:w="1366" w:type="pct"/>
            <w:tcBorders>
              <w:top w:val="nil"/>
              <w:left w:val="nil"/>
              <w:bottom w:val="single" w:color="auto" w:sz="4" w:space="0"/>
              <w:right w:val="single" w:color="000000" w:sz="4" w:space="0"/>
            </w:tcBorders>
            <w:shd w:val="clear" w:color="000000" w:fill="FFFFFF"/>
            <w:noWrap/>
            <w:vAlign w:val="center"/>
          </w:tcPr>
          <w:p w14:paraId="45A5AF6F">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N₂,He,O₂各2个气路点</w:t>
            </w:r>
          </w:p>
        </w:tc>
      </w:tr>
      <w:tr w14:paraId="58DD4444">
        <w:tblPrEx>
          <w:tblCellMar>
            <w:top w:w="0" w:type="dxa"/>
            <w:left w:w="108" w:type="dxa"/>
            <w:bottom w:w="0" w:type="dxa"/>
            <w:right w:w="108" w:type="dxa"/>
          </w:tblCellMar>
        </w:tblPrEx>
        <w:trPr>
          <w:trHeight w:val="660" w:hRule="atLeast"/>
          <w:jc w:val="center"/>
        </w:trPr>
        <w:tc>
          <w:tcPr>
            <w:tcW w:w="28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6A74DEC">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5</w:t>
            </w:r>
          </w:p>
        </w:tc>
        <w:tc>
          <w:tcPr>
            <w:tcW w:w="351" w:type="pct"/>
            <w:tcBorders>
              <w:top w:val="single" w:color="auto" w:sz="4" w:space="0"/>
              <w:left w:val="nil"/>
              <w:bottom w:val="single" w:color="auto" w:sz="4" w:space="0"/>
              <w:right w:val="single" w:color="auto" w:sz="4" w:space="0"/>
            </w:tcBorders>
            <w:shd w:val="clear" w:color="000000" w:fill="FFFFFF"/>
            <w:noWrap/>
            <w:vAlign w:val="center"/>
          </w:tcPr>
          <w:p w14:paraId="5F0944FB">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223</w:t>
            </w:r>
          </w:p>
        </w:tc>
        <w:tc>
          <w:tcPr>
            <w:tcW w:w="245" w:type="pct"/>
            <w:tcBorders>
              <w:top w:val="single" w:color="auto" w:sz="4" w:space="0"/>
              <w:left w:val="nil"/>
              <w:bottom w:val="single" w:color="auto" w:sz="4" w:space="0"/>
              <w:right w:val="single" w:color="auto" w:sz="4" w:space="0"/>
            </w:tcBorders>
            <w:shd w:val="clear" w:color="000000" w:fill="FFFFFF"/>
            <w:noWrap/>
            <w:vAlign w:val="center"/>
          </w:tcPr>
          <w:p w14:paraId="687DDF6F">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N₂</w:t>
            </w:r>
          </w:p>
        </w:tc>
        <w:tc>
          <w:tcPr>
            <w:tcW w:w="278" w:type="pct"/>
            <w:tcBorders>
              <w:top w:val="single" w:color="auto" w:sz="4" w:space="0"/>
              <w:left w:val="nil"/>
              <w:bottom w:val="single" w:color="auto" w:sz="4" w:space="0"/>
              <w:right w:val="single" w:color="auto" w:sz="4" w:space="0"/>
            </w:tcBorders>
            <w:shd w:val="clear" w:color="000000" w:fill="FFFFFF"/>
            <w:noWrap/>
            <w:vAlign w:val="center"/>
          </w:tcPr>
          <w:p w14:paraId="19228C71">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Ar</w:t>
            </w:r>
          </w:p>
        </w:tc>
        <w:tc>
          <w:tcPr>
            <w:tcW w:w="319" w:type="pct"/>
            <w:tcBorders>
              <w:top w:val="single" w:color="auto" w:sz="4" w:space="0"/>
              <w:left w:val="nil"/>
              <w:bottom w:val="single" w:color="auto" w:sz="4" w:space="0"/>
              <w:right w:val="single" w:color="auto" w:sz="4" w:space="0"/>
            </w:tcBorders>
            <w:shd w:val="clear" w:color="000000" w:fill="FFFFFF"/>
            <w:noWrap/>
            <w:vAlign w:val="center"/>
          </w:tcPr>
          <w:p w14:paraId="2B342CD2">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CO₂</w:t>
            </w:r>
          </w:p>
        </w:tc>
        <w:tc>
          <w:tcPr>
            <w:tcW w:w="286" w:type="pct"/>
            <w:tcBorders>
              <w:top w:val="single" w:color="auto" w:sz="4" w:space="0"/>
              <w:left w:val="nil"/>
              <w:bottom w:val="single" w:color="auto" w:sz="4" w:space="0"/>
              <w:right w:val="single" w:color="auto" w:sz="4" w:space="0"/>
            </w:tcBorders>
            <w:shd w:val="clear" w:color="000000" w:fill="FFFFFF"/>
            <w:noWrap/>
            <w:vAlign w:val="center"/>
          </w:tcPr>
          <w:p w14:paraId="3D3D54FC">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294" w:type="pct"/>
            <w:tcBorders>
              <w:top w:val="single" w:color="auto" w:sz="4" w:space="0"/>
              <w:left w:val="nil"/>
              <w:bottom w:val="single" w:color="auto" w:sz="4" w:space="0"/>
              <w:right w:val="single" w:color="auto" w:sz="4" w:space="0"/>
            </w:tcBorders>
            <w:shd w:val="clear" w:color="000000" w:fill="FFFFFF"/>
            <w:noWrap/>
            <w:vAlign w:val="center"/>
          </w:tcPr>
          <w:p w14:paraId="703ED8C4">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360" w:type="pct"/>
            <w:tcBorders>
              <w:top w:val="single" w:color="auto" w:sz="4" w:space="0"/>
              <w:left w:val="nil"/>
              <w:bottom w:val="single" w:color="auto" w:sz="4" w:space="0"/>
              <w:right w:val="single" w:color="auto" w:sz="4" w:space="0"/>
            </w:tcBorders>
            <w:shd w:val="clear" w:color="000000" w:fill="FFFFFF"/>
            <w:noWrap/>
            <w:vAlign w:val="center"/>
          </w:tcPr>
          <w:p w14:paraId="1CC8D9BC">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433" w:type="pct"/>
            <w:tcBorders>
              <w:top w:val="single" w:color="auto" w:sz="4" w:space="0"/>
              <w:left w:val="nil"/>
              <w:bottom w:val="single" w:color="auto" w:sz="4" w:space="0"/>
              <w:right w:val="single" w:color="auto" w:sz="4" w:space="0"/>
            </w:tcBorders>
            <w:shd w:val="clear" w:color="000000" w:fill="FFFFFF"/>
            <w:noWrap/>
            <w:vAlign w:val="center"/>
          </w:tcPr>
          <w:p w14:paraId="0B64CFA0">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O₂</w:t>
            </w:r>
          </w:p>
        </w:tc>
        <w:tc>
          <w:tcPr>
            <w:tcW w:w="450" w:type="pct"/>
            <w:tcBorders>
              <w:top w:val="single" w:color="auto" w:sz="4" w:space="0"/>
              <w:left w:val="nil"/>
              <w:bottom w:val="single" w:color="auto" w:sz="4" w:space="0"/>
              <w:right w:val="single" w:color="auto" w:sz="4" w:space="0"/>
            </w:tcBorders>
            <w:shd w:val="clear" w:color="000000" w:fill="FFFFFF"/>
            <w:noWrap/>
            <w:vAlign w:val="center"/>
          </w:tcPr>
          <w:p w14:paraId="72DB18EE">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C2H2</w:t>
            </w:r>
          </w:p>
        </w:tc>
        <w:tc>
          <w:tcPr>
            <w:tcW w:w="327" w:type="pct"/>
            <w:tcBorders>
              <w:top w:val="single" w:color="auto" w:sz="4" w:space="0"/>
              <w:left w:val="nil"/>
              <w:bottom w:val="single" w:color="auto" w:sz="4" w:space="0"/>
              <w:right w:val="single" w:color="auto" w:sz="4" w:space="0"/>
            </w:tcBorders>
            <w:shd w:val="clear" w:color="000000" w:fill="FFFFFF"/>
            <w:noWrap/>
            <w:vAlign w:val="center"/>
          </w:tcPr>
          <w:p w14:paraId="712E7A56">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5</w:t>
            </w:r>
          </w:p>
        </w:tc>
        <w:tc>
          <w:tcPr>
            <w:tcW w:w="1366" w:type="pct"/>
            <w:tcBorders>
              <w:top w:val="single" w:color="auto" w:sz="4" w:space="0"/>
              <w:left w:val="nil"/>
              <w:bottom w:val="single" w:color="auto" w:sz="4" w:space="0"/>
              <w:right w:val="single" w:color="000000" w:sz="4" w:space="0"/>
            </w:tcBorders>
            <w:shd w:val="clear" w:color="000000" w:fill="FFFFFF"/>
            <w:noWrap w:val="0"/>
            <w:vAlign w:val="center"/>
          </w:tcPr>
          <w:p w14:paraId="1686FBE4">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N₂,Ar，CO₂，O₂，C2H2各2个</w:t>
            </w:r>
            <w:r>
              <w:rPr>
                <w:rFonts w:hint="default" w:ascii="Times New Roman" w:hAnsi="Times New Roman" w:cs="Times New Roman"/>
                <w:color w:val="auto"/>
                <w:highlight w:val="none"/>
              </w:rPr>
              <w:br w:type="textWrapping"/>
            </w:r>
            <w:r>
              <w:rPr>
                <w:rFonts w:hint="default" w:ascii="Times New Roman" w:hAnsi="Times New Roman" w:cs="Times New Roman"/>
                <w:color w:val="auto"/>
                <w:highlight w:val="none"/>
              </w:rPr>
              <w:t>气路点</w:t>
            </w:r>
          </w:p>
        </w:tc>
      </w:tr>
      <w:tr w14:paraId="78914284">
        <w:tblPrEx>
          <w:tblCellMar>
            <w:top w:w="0" w:type="dxa"/>
            <w:left w:w="108" w:type="dxa"/>
            <w:bottom w:w="0" w:type="dxa"/>
            <w:right w:w="108" w:type="dxa"/>
          </w:tblCellMar>
        </w:tblPrEx>
        <w:trPr>
          <w:trHeight w:val="660" w:hRule="atLeast"/>
          <w:jc w:val="center"/>
        </w:trPr>
        <w:tc>
          <w:tcPr>
            <w:tcW w:w="286" w:type="pct"/>
            <w:tcBorders>
              <w:top w:val="nil"/>
              <w:left w:val="single" w:color="auto" w:sz="4" w:space="0"/>
              <w:bottom w:val="single" w:color="auto" w:sz="4" w:space="0"/>
              <w:right w:val="single" w:color="auto" w:sz="4" w:space="0"/>
            </w:tcBorders>
            <w:shd w:val="clear" w:color="000000" w:fill="FFFFFF"/>
            <w:noWrap/>
            <w:vAlign w:val="center"/>
          </w:tcPr>
          <w:p w14:paraId="57546FD5">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6</w:t>
            </w:r>
          </w:p>
        </w:tc>
        <w:tc>
          <w:tcPr>
            <w:tcW w:w="351" w:type="pct"/>
            <w:tcBorders>
              <w:top w:val="nil"/>
              <w:left w:val="nil"/>
              <w:bottom w:val="single" w:color="auto" w:sz="4" w:space="0"/>
              <w:right w:val="single" w:color="auto" w:sz="4" w:space="0"/>
            </w:tcBorders>
            <w:shd w:val="clear" w:color="000000" w:fill="FFFFFF"/>
            <w:noWrap/>
            <w:vAlign w:val="center"/>
          </w:tcPr>
          <w:p w14:paraId="39F1AD6B">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224</w:t>
            </w:r>
          </w:p>
        </w:tc>
        <w:tc>
          <w:tcPr>
            <w:tcW w:w="245" w:type="pct"/>
            <w:tcBorders>
              <w:top w:val="nil"/>
              <w:left w:val="nil"/>
              <w:bottom w:val="single" w:color="auto" w:sz="4" w:space="0"/>
              <w:right w:val="single" w:color="auto" w:sz="4" w:space="0"/>
            </w:tcBorders>
            <w:shd w:val="clear" w:color="000000" w:fill="FFFFFF"/>
            <w:noWrap/>
            <w:vAlign w:val="center"/>
          </w:tcPr>
          <w:p w14:paraId="6AB63740">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N2</w:t>
            </w:r>
          </w:p>
        </w:tc>
        <w:tc>
          <w:tcPr>
            <w:tcW w:w="278" w:type="pct"/>
            <w:tcBorders>
              <w:top w:val="nil"/>
              <w:left w:val="nil"/>
              <w:bottom w:val="single" w:color="auto" w:sz="4" w:space="0"/>
              <w:right w:val="single" w:color="auto" w:sz="4" w:space="0"/>
            </w:tcBorders>
            <w:shd w:val="clear" w:color="000000" w:fill="FFFFFF"/>
            <w:noWrap/>
            <w:vAlign w:val="center"/>
          </w:tcPr>
          <w:p w14:paraId="4E732DC3">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Ar</w:t>
            </w:r>
          </w:p>
        </w:tc>
        <w:tc>
          <w:tcPr>
            <w:tcW w:w="319" w:type="pct"/>
            <w:tcBorders>
              <w:top w:val="nil"/>
              <w:left w:val="nil"/>
              <w:bottom w:val="single" w:color="auto" w:sz="4" w:space="0"/>
              <w:right w:val="single" w:color="auto" w:sz="4" w:space="0"/>
            </w:tcBorders>
            <w:shd w:val="clear" w:color="000000" w:fill="FFFFFF"/>
            <w:noWrap/>
            <w:vAlign w:val="center"/>
          </w:tcPr>
          <w:p w14:paraId="714506AA">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CO₂</w:t>
            </w:r>
          </w:p>
        </w:tc>
        <w:tc>
          <w:tcPr>
            <w:tcW w:w="286" w:type="pct"/>
            <w:tcBorders>
              <w:top w:val="nil"/>
              <w:left w:val="nil"/>
              <w:bottom w:val="single" w:color="auto" w:sz="4" w:space="0"/>
              <w:right w:val="single" w:color="auto" w:sz="4" w:space="0"/>
            </w:tcBorders>
            <w:shd w:val="clear" w:color="000000" w:fill="FFFFFF"/>
            <w:noWrap/>
            <w:vAlign w:val="center"/>
          </w:tcPr>
          <w:p w14:paraId="184CD6D1">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294" w:type="pct"/>
            <w:tcBorders>
              <w:top w:val="nil"/>
              <w:left w:val="nil"/>
              <w:bottom w:val="single" w:color="auto" w:sz="4" w:space="0"/>
              <w:right w:val="single" w:color="auto" w:sz="4" w:space="0"/>
            </w:tcBorders>
            <w:shd w:val="clear" w:color="000000" w:fill="FFFFFF"/>
            <w:noWrap/>
            <w:vAlign w:val="center"/>
          </w:tcPr>
          <w:p w14:paraId="000538F8">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360" w:type="pct"/>
            <w:tcBorders>
              <w:top w:val="nil"/>
              <w:left w:val="nil"/>
              <w:bottom w:val="single" w:color="auto" w:sz="4" w:space="0"/>
              <w:right w:val="single" w:color="auto" w:sz="4" w:space="0"/>
            </w:tcBorders>
            <w:shd w:val="clear" w:color="000000" w:fill="FFFFFF"/>
            <w:noWrap/>
            <w:vAlign w:val="center"/>
          </w:tcPr>
          <w:p w14:paraId="46C59BA5">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433" w:type="pct"/>
            <w:tcBorders>
              <w:top w:val="nil"/>
              <w:left w:val="nil"/>
              <w:bottom w:val="single" w:color="auto" w:sz="4" w:space="0"/>
              <w:right w:val="single" w:color="auto" w:sz="4" w:space="0"/>
            </w:tcBorders>
            <w:shd w:val="clear" w:color="000000" w:fill="FFFFFF"/>
            <w:noWrap/>
            <w:vAlign w:val="center"/>
          </w:tcPr>
          <w:p w14:paraId="6707D90D">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450" w:type="pct"/>
            <w:tcBorders>
              <w:top w:val="nil"/>
              <w:left w:val="nil"/>
              <w:bottom w:val="single" w:color="auto" w:sz="4" w:space="0"/>
              <w:right w:val="single" w:color="auto" w:sz="4" w:space="0"/>
            </w:tcBorders>
            <w:shd w:val="clear" w:color="000000" w:fill="FFFFFF"/>
            <w:noWrap/>
            <w:vAlign w:val="center"/>
          </w:tcPr>
          <w:p w14:paraId="5A701295">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327" w:type="pct"/>
            <w:tcBorders>
              <w:top w:val="nil"/>
              <w:left w:val="nil"/>
              <w:bottom w:val="single" w:color="auto" w:sz="4" w:space="0"/>
              <w:right w:val="single" w:color="auto" w:sz="4" w:space="0"/>
            </w:tcBorders>
            <w:shd w:val="clear" w:color="000000" w:fill="FFFFFF"/>
            <w:noWrap/>
            <w:vAlign w:val="center"/>
          </w:tcPr>
          <w:p w14:paraId="62CCB528">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3</w:t>
            </w:r>
          </w:p>
        </w:tc>
        <w:tc>
          <w:tcPr>
            <w:tcW w:w="1366" w:type="pct"/>
            <w:tcBorders>
              <w:top w:val="nil"/>
              <w:left w:val="nil"/>
              <w:bottom w:val="single" w:color="auto" w:sz="4" w:space="0"/>
              <w:right w:val="single" w:color="000000" w:sz="4" w:space="0"/>
            </w:tcBorders>
            <w:shd w:val="clear" w:color="000000" w:fill="FFFFFF"/>
            <w:noWrap/>
            <w:vAlign w:val="center"/>
          </w:tcPr>
          <w:p w14:paraId="38904818">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N₂,Ar，CO₂各2个气路点</w:t>
            </w:r>
          </w:p>
        </w:tc>
      </w:tr>
      <w:tr w14:paraId="4AE82EC9">
        <w:tblPrEx>
          <w:tblCellMar>
            <w:top w:w="0" w:type="dxa"/>
            <w:left w:w="108" w:type="dxa"/>
            <w:bottom w:w="0" w:type="dxa"/>
            <w:right w:w="108" w:type="dxa"/>
          </w:tblCellMar>
        </w:tblPrEx>
        <w:trPr>
          <w:trHeight w:val="660" w:hRule="atLeast"/>
          <w:jc w:val="center"/>
        </w:trPr>
        <w:tc>
          <w:tcPr>
            <w:tcW w:w="28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C588E73">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7</w:t>
            </w:r>
          </w:p>
        </w:tc>
        <w:tc>
          <w:tcPr>
            <w:tcW w:w="351" w:type="pct"/>
            <w:tcBorders>
              <w:top w:val="single" w:color="auto" w:sz="4" w:space="0"/>
              <w:left w:val="nil"/>
              <w:bottom w:val="single" w:color="auto" w:sz="4" w:space="0"/>
              <w:right w:val="single" w:color="auto" w:sz="4" w:space="0"/>
            </w:tcBorders>
            <w:shd w:val="clear" w:color="000000" w:fill="FFFFFF"/>
            <w:noWrap/>
            <w:vAlign w:val="center"/>
          </w:tcPr>
          <w:p w14:paraId="5409928D">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216</w:t>
            </w:r>
          </w:p>
        </w:tc>
        <w:tc>
          <w:tcPr>
            <w:tcW w:w="245" w:type="pct"/>
            <w:tcBorders>
              <w:top w:val="single" w:color="auto" w:sz="4" w:space="0"/>
              <w:left w:val="nil"/>
              <w:bottom w:val="single" w:color="auto" w:sz="4" w:space="0"/>
              <w:right w:val="single" w:color="auto" w:sz="4" w:space="0"/>
            </w:tcBorders>
            <w:shd w:val="clear" w:color="000000" w:fill="FFFFFF"/>
            <w:noWrap/>
            <w:vAlign w:val="center"/>
          </w:tcPr>
          <w:p w14:paraId="3D6B9C2A">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N2</w:t>
            </w:r>
          </w:p>
        </w:tc>
        <w:tc>
          <w:tcPr>
            <w:tcW w:w="278" w:type="pct"/>
            <w:tcBorders>
              <w:top w:val="single" w:color="auto" w:sz="4" w:space="0"/>
              <w:left w:val="nil"/>
              <w:bottom w:val="single" w:color="auto" w:sz="4" w:space="0"/>
              <w:right w:val="single" w:color="auto" w:sz="4" w:space="0"/>
            </w:tcBorders>
            <w:shd w:val="clear" w:color="000000" w:fill="FFFFFF"/>
            <w:noWrap/>
            <w:vAlign w:val="center"/>
          </w:tcPr>
          <w:p w14:paraId="7976DE40">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Ar</w:t>
            </w:r>
          </w:p>
        </w:tc>
        <w:tc>
          <w:tcPr>
            <w:tcW w:w="319" w:type="pct"/>
            <w:tcBorders>
              <w:top w:val="single" w:color="auto" w:sz="4" w:space="0"/>
              <w:left w:val="nil"/>
              <w:bottom w:val="single" w:color="auto" w:sz="4" w:space="0"/>
              <w:right w:val="single" w:color="auto" w:sz="4" w:space="0"/>
            </w:tcBorders>
            <w:shd w:val="clear" w:color="000000" w:fill="FFFFFF"/>
            <w:noWrap/>
            <w:vAlign w:val="center"/>
          </w:tcPr>
          <w:p w14:paraId="502E9011">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CO₂</w:t>
            </w:r>
          </w:p>
        </w:tc>
        <w:tc>
          <w:tcPr>
            <w:tcW w:w="286" w:type="pct"/>
            <w:tcBorders>
              <w:top w:val="single" w:color="auto" w:sz="4" w:space="0"/>
              <w:left w:val="nil"/>
              <w:bottom w:val="single" w:color="auto" w:sz="4" w:space="0"/>
              <w:right w:val="single" w:color="auto" w:sz="4" w:space="0"/>
            </w:tcBorders>
            <w:shd w:val="clear" w:color="000000" w:fill="FFFFFF"/>
            <w:noWrap/>
            <w:vAlign w:val="center"/>
          </w:tcPr>
          <w:p w14:paraId="44A75725">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294" w:type="pct"/>
            <w:tcBorders>
              <w:top w:val="single" w:color="auto" w:sz="4" w:space="0"/>
              <w:left w:val="nil"/>
              <w:bottom w:val="single" w:color="auto" w:sz="4" w:space="0"/>
              <w:right w:val="single" w:color="auto" w:sz="4" w:space="0"/>
            </w:tcBorders>
            <w:shd w:val="clear" w:color="000000" w:fill="FFFFFF"/>
            <w:noWrap/>
            <w:vAlign w:val="center"/>
          </w:tcPr>
          <w:p w14:paraId="2F196C7C">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360" w:type="pct"/>
            <w:tcBorders>
              <w:top w:val="single" w:color="auto" w:sz="4" w:space="0"/>
              <w:left w:val="nil"/>
              <w:bottom w:val="single" w:color="auto" w:sz="4" w:space="0"/>
              <w:right w:val="single" w:color="auto" w:sz="4" w:space="0"/>
            </w:tcBorders>
            <w:shd w:val="clear" w:color="000000" w:fill="FFFFFF"/>
            <w:noWrap/>
            <w:vAlign w:val="center"/>
          </w:tcPr>
          <w:p w14:paraId="34961E32">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433" w:type="pct"/>
            <w:tcBorders>
              <w:top w:val="single" w:color="auto" w:sz="4" w:space="0"/>
              <w:left w:val="nil"/>
              <w:bottom w:val="single" w:color="auto" w:sz="4" w:space="0"/>
              <w:right w:val="single" w:color="000000" w:sz="4" w:space="0"/>
            </w:tcBorders>
            <w:shd w:val="clear" w:color="000000" w:fill="FFFFFF"/>
            <w:noWrap/>
            <w:vAlign w:val="center"/>
          </w:tcPr>
          <w:p w14:paraId="2E4D9FFD">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450" w:type="pct"/>
            <w:tcBorders>
              <w:top w:val="single" w:color="auto" w:sz="4" w:space="0"/>
              <w:left w:val="nil"/>
              <w:bottom w:val="single" w:color="auto" w:sz="4" w:space="0"/>
              <w:right w:val="single" w:color="auto" w:sz="4" w:space="0"/>
            </w:tcBorders>
            <w:shd w:val="clear" w:color="000000" w:fill="FFFFFF"/>
            <w:noWrap/>
            <w:vAlign w:val="center"/>
          </w:tcPr>
          <w:p w14:paraId="6282075B">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327" w:type="pct"/>
            <w:tcBorders>
              <w:top w:val="single" w:color="auto" w:sz="4" w:space="0"/>
              <w:left w:val="nil"/>
              <w:bottom w:val="single" w:color="auto" w:sz="4" w:space="0"/>
              <w:right w:val="single" w:color="auto" w:sz="4" w:space="0"/>
            </w:tcBorders>
            <w:shd w:val="clear" w:color="000000" w:fill="FFFFFF"/>
            <w:noWrap/>
            <w:vAlign w:val="center"/>
          </w:tcPr>
          <w:p w14:paraId="68CA9799">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3</w:t>
            </w:r>
          </w:p>
        </w:tc>
        <w:tc>
          <w:tcPr>
            <w:tcW w:w="1366" w:type="pct"/>
            <w:tcBorders>
              <w:top w:val="single" w:color="auto" w:sz="4" w:space="0"/>
              <w:left w:val="nil"/>
              <w:bottom w:val="single" w:color="auto" w:sz="4" w:space="0"/>
              <w:right w:val="single" w:color="000000" w:sz="4" w:space="0"/>
            </w:tcBorders>
            <w:shd w:val="clear" w:color="000000" w:fill="FFFFFF"/>
            <w:noWrap/>
            <w:vAlign w:val="center"/>
          </w:tcPr>
          <w:p w14:paraId="12E17119">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N₂,Ar，CO₂各2个气路点</w:t>
            </w:r>
          </w:p>
        </w:tc>
      </w:tr>
      <w:tr w14:paraId="2BA96C7F">
        <w:tblPrEx>
          <w:tblCellMar>
            <w:top w:w="0" w:type="dxa"/>
            <w:left w:w="108" w:type="dxa"/>
            <w:bottom w:w="0" w:type="dxa"/>
            <w:right w:w="108" w:type="dxa"/>
          </w:tblCellMar>
        </w:tblPrEx>
        <w:trPr>
          <w:trHeight w:val="660" w:hRule="atLeast"/>
          <w:jc w:val="center"/>
        </w:trPr>
        <w:tc>
          <w:tcPr>
            <w:tcW w:w="286" w:type="pct"/>
            <w:tcBorders>
              <w:top w:val="nil"/>
              <w:left w:val="single" w:color="auto" w:sz="4" w:space="0"/>
              <w:bottom w:val="single" w:color="auto" w:sz="4" w:space="0"/>
              <w:right w:val="single" w:color="auto" w:sz="4" w:space="0"/>
            </w:tcBorders>
            <w:shd w:val="clear" w:color="000000" w:fill="FFFFFF"/>
            <w:noWrap/>
            <w:vAlign w:val="center"/>
          </w:tcPr>
          <w:p w14:paraId="294278C8">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8</w:t>
            </w:r>
          </w:p>
        </w:tc>
        <w:tc>
          <w:tcPr>
            <w:tcW w:w="351" w:type="pct"/>
            <w:tcBorders>
              <w:top w:val="nil"/>
              <w:left w:val="nil"/>
              <w:bottom w:val="single" w:color="auto" w:sz="4" w:space="0"/>
              <w:right w:val="single" w:color="auto" w:sz="4" w:space="0"/>
            </w:tcBorders>
            <w:shd w:val="clear" w:color="000000" w:fill="FFFFFF"/>
            <w:noWrap/>
            <w:vAlign w:val="center"/>
          </w:tcPr>
          <w:p w14:paraId="1E420F85">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211</w:t>
            </w:r>
          </w:p>
        </w:tc>
        <w:tc>
          <w:tcPr>
            <w:tcW w:w="245" w:type="pct"/>
            <w:tcBorders>
              <w:top w:val="nil"/>
              <w:left w:val="nil"/>
              <w:bottom w:val="single" w:color="auto" w:sz="4" w:space="0"/>
              <w:right w:val="single" w:color="auto" w:sz="4" w:space="0"/>
            </w:tcBorders>
            <w:shd w:val="clear" w:color="000000" w:fill="FFFFFF"/>
            <w:noWrap/>
            <w:vAlign w:val="center"/>
          </w:tcPr>
          <w:p w14:paraId="55C4147F">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N2</w:t>
            </w:r>
          </w:p>
        </w:tc>
        <w:tc>
          <w:tcPr>
            <w:tcW w:w="278" w:type="pct"/>
            <w:tcBorders>
              <w:top w:val="nil"/>
              <w:left w:val="nil"/>
              <w:bottom w:val="single" w:color="auto" w:sz="4" w:space="0"/>
              <w:right w:val="single" w:color="auto" w:sz="4" w:space="0"/>
            </w:tcBorders>
            <w:shd w:val="clear" w:color="000000" w:fill="FFFFFF"/>
            <w:noWrap/>
            <w:vAlign w:val="center"/>
          </w:tcPr>
          <w:p w14:paraId="515F6BD5">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Ar</w:t>
            </w:r>
          </w:p>
        </w:tc>
        <w:tc>
          <w:tcPr>
            <w:tcW w:w="319" w:type="pct"/>
            <w:tcBorders>
              <w:top w:val="nil"/>
              <w:left w:val="nil"/>
              <w:bottom w:val="single" w:color="auto" w:sz="4" w:space="0"/>
              <w:right w:val="single" w:color="auto" w:sz="4" w:space="0"/>
            </w:tcBorders>
            <w:shd w:val="clear" w:color="000000" w:fill="FFFFFF"/>
            <w:noWrap/>
            <w:vAlign w:val="center"/>
          </w:tcPr>
          <w:p w14:paraId="022E30E3">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286" w:type="pct"/>
            <w:tcBorders>
              <w:top w:val="nil"/>
              <w:left w:val="nil"/>
              <w:bottom w:val="single" w:color="auto" w:sz="4" w:space="0"/>
              <w:right w:val="single" w:color="auto" w:sz="4" w:space="0"/>
            </w:tcBorders>
            <w:shd w:val="clear" w:color="000000" w:fill="FFFFFF"/>
            <w:noWrap/>
            <w:vAlign w:val="center"/>
          </w:tcPr>
          <w:p w14:paraId="798308BB">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294" w:type="pct"/>
            <w:tcBorders>
              <w:top w:val="nil"/>
              <w:left w:val="nil"/>
              <w:bottom w:val="single" w:color="auto" w:sz="4" w:space="0"/>
              <w:right w:val="single" w:color="auto" w:sz="4" w:space="0"/>
            </w:tcBorders>
            <w:shd w:val="clear" w:color="000000" w:fill="FFFFFF"/>
            <w:noWrap/>
            <w:vAlign w:val="center"/>
          </w:tcPr>
          <w:p w14:paraId="15A68A7F">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H₂</w:t>
            </w:r>
          </w:p>
        </w:tc>
        <w:tc>
          <w:tcPr>
            <w:tcW w:w="360" w:type="pct"/>
            <w:tcBorders>
              <w:top w:val="nil"/>
              <w:left w:val="nil"/>
              <w:bottom w:val="single" w:color="auto" w:sz="4" w:space="0"/>
              <w:right w:val="single" w:color="auto" w:sz="4" w:space="0"/>
            </w:tcBorders>
            <w:shd w:val="clear" w:color="000000" w:fill="FFFFFF"/>
            <w:noWrap/>
            <w:vAlign w:val="center"/>
          </w:tcPr>
          <w:p w14:paraId="320C8A58">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433" w:type="pct"/>
            <w:tcBorders>
              <w:top w:val="nil"/>
              <w:left w:val="nil"/>
              <w:bottom w:val="single" w:color="auto" w:sz="4" w:space="0"/>
              <w:right w:val="single" w:color="auto" w:sz="4" w:space="0"/>
            </w:tcBorders>
            <w:shd w:val="clear" w:color="000000" w:fill="FFFFFF"/>
            <w:noWrap/>
            <w:vAlign w:val="center"/>
          </w:tcPr>
          <w:p w14:paraId="41177C9E">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450" w:type="pct"/>
            <w:tcBorders>
              <w:top w:val="nil"/>
              <w:left w:val="nil"/>
              <w:bottom w:val="single" w:color="auto" w:sz="4" w:space="0"/>
              <w:right w:val="single" w:color="auto" w:sz="4" w:space="0"/>
            </w:tcBorders>
            <w:shd w:val="clear" w:color="000000" w:fill="FFFFFF"/>
            <w:noWrap/>
            <w:vAlign w:val="center"/>
          </w:tcPr>
          <w:p w14:paraId="2E0A6D7B">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327" w:type="pct"/>
            <w:tcBorders>
              <w:top w:val="nil"/>
              <w:left w:val="nil"/>
              <w:bottom w:val="single" w:color="auto" w:sz="4" w:space="0"/>
              <w:right w:val="single" w:color="auto" w:sz="4" w:space="0"/>
            </w:tcBorders>
            <w:shd w:val="clear" w:color="000000" w:fill="FFFFFF"/>
            <w:noWrap/>
            <w:vAlign w:val="center"/>
          </w:tcPr>
          <w:p w14:paraId="09FBBB98">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1366" w:type="pct"/>
            <w:tcBorders>
              <w:top w:val="nil"/>
              <w:left w:val="nil"/>
              <w:bottom w:val="single" w:color="auto" w:sz="4" w:space="0"/>
              <w:right w:val="single" w:color="000000" w:sz="4" w:space="0"/>
            </w:tcBorders>
            <w:shd w:val="clear" w:color="000000" w:fill="FFFFFF"/>
            <w:noWrap/>
            <w:vAlign w:val="center"/>
          </w:tcPr>
          <w:p w14:paraId="61833882">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N₂,Ar,H₂各2个气路点</w:t>
            </w:r>
          </w:p>
        </w:tc>
      </w:tr>
      <w:tr w14:paraId="6D1CC42F">
        <w:tblPrEx>
          <w:tblCellMar>
            <w:top w:w="0" w:type="dxa"/>
            <w:left w:w="108" w:type="dxa"/>
            <w:bottom w:w="0" w:type="dxa"/>
            <w:right w:w="108" w:type="dxa"/>
          </w:tblCellMar>
        </w:tblPrEx>
        <w:trPr>
          <w:trHeight w:val="660" w:hRule="atLeast"/>
          <w:jc w:val="center"/>
        </w:trPr>
        <w:tc>
          <w:tcPr>
            <w:tcW w:w="2855" w:type="pct"/>
            <w:gridSpan w:val="9"/>
            <w:tcBorders>
              <w:top w:val="single" w:color="auto" w:sz="4" w:space="0"/>
              <w:left w:val="single" w:color="auto" w:sz="4" w:space="0"/>
              <w:bottom w:val="single" w:color="auto" w:sz="4" w:space="0"/>
              <w:right w:val="nil"/>
            </w:tcBorders>
            <w:shd w:val="clear" w:color="000000" w:fill="FFFFFF"/>
            <w:noWrap/>
            <w:vAlign w:val="center"/>
          </w:tcPr>
          <w:p w14:paraId="113559D5">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三层</w:t>
            </w:r>
          </w:p>
        </w:tc>
        <w:tc>
          <w:tcPr>
            <w:tcW w:w="450" w:type="pct"/>
            <w:tcBorders>
              <w:top w:val="nil"/>
              <w:left w:val="nil"/>
              <w:bottom w:val="single" w:color="auto" w:sz="4" w:space="0"/>
              <w:right w:val="single" w:color="auto" w:sz="4" w:space="0"/>
            </w:tcBorders>
            <w:shd w:val="clear" w:color="000000" w:fill="FFFFFF"/>
            <w:noWrap/>
            <w:vAlign w:val="center"/>
          </w:tcPr>
          <w:p w14:paraId="4D09BE20">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327" w:type="pct"/>
            <w:tcBorders>
              <w:top w:val="nil"/>
              <w:left w:val="nil"/>
              <w:bottom w:val="single" w:color="auto" w:sz="4" w:space="0"/>
              <w:right w:val="single" w:color="auto" w:sz="4" w:space="0"/>
            </w:tcBorders>
            <w:shd w:val="clear" w:color="000000" w:fill="FFFFFF"/>
            <w:noWrap/>
            <w:vAlign w:val="center"/>
          </w:tcPr>
          <w:p w14:paraId="642F4377">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1366" w:type="pct"/>
            <w:tcBorders>
              <w:top w:val="nil"/>
              <w:left w:val="nil"/>
              <w:bottom w:val="single" w:color="auto" w:sz="4" w:space="0"/>
              <w:right w:val="single" w:color="000000" w:sz="4" w:space="0"/>
            </w:tcBorders>
            <w:shd w:val="clear" w:color="000000" w:fill="FFFFFF"/>
            <w:noWrap/>
            <w:vAlign w:val="center"/>
          </w:tcPr>
          <w:p w14:paraId="4029EF50">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r>
      <w:tr w14:paraId="48B46418">
        <w:tblPrEx>
          <w:tblCellMar>
            <w:top w:w="0" w:type="dxa"/>
            <w:left w:w="108" w:type="dxa"/>
            <w:bottom w:w="0" w:type="dxa"/>
            <w:right w:w="108" w:type="dxa"/>
          </w:tblCellMar>
        </w:tblPrEx>
        <w:trPr>
          <w:trHeight w:val="660" w:hRule="atLeast"/>
          <w:jc w:val="center"/>
        </w:trPr>
        <w:tc>
          <w:tcPr>
            <w:tcW w:w="286" w:type="pct"/>
            <w:tcBorders>
              <w:top w:val="nil"/>
              <w:left w:val="single" w:color="auto" w:sz="4" w:space="0"/>
              <w:bottom w:val="single" w:color="auto" w:sz="4" w:space="0"/>
              <w:right w:val="single" w:color="auto" w:sz="4" w:space="0"/>
            </w:tcBorders>
            <w:shd w:val="clear" w:color="000000" w:fill="FFFFFF"/>
            <w:noWrap/>
            <w:vAlign w:val="center"/>
          </w:tcPr>
          <w:p w14:paraId="54D7E9F8">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1</w:t>
            </w:r>
          </w:p>
        </w:tc>
        <w:tc>
          <w:tcPr>
            <w:tcW w:w="351" w:type="pct"/>
            <w:tcBorders>
              <w:top w:val="nil"/>
              <w:left w:val="nil"/>
              <w:bottom w:val="single" w:color="auto" w:sz="4" w:space="0"/>
              <w:right w:val="single" w:color="auto" w:sz="4" w:space="0"/>
            </w:tcBorders>
            <w:shd w:val="clear" w:color="000000" w:fill="FFFFFF"/>
            <w:noWrap w:val="0"/>
            <w:vAlign w:val="center"/>
          </w:tcPr>
          <w:p w14:paraId="6225138F">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324</w:t>
            </w:r>
          </w:p>
        </w:tc>
        <w:tc>
          <w:tcPr>
            <w:tcW w:w="245" w:type="pct"/>
            <w:tcBorders>
              <w:top w:val="nil"/>
              <w:left w:val="nil"/>
              <w:bottom w:val="single" w:color="auto" w:sz="4" w:space="0"/>
              <w:right w:val="single" w:color="auto" w:sz="4" w:space="0"/>
            </w:tcBorders>
            <w:shd w:val="clear" w:color="000000" w:fill="FFFFFF"/>
            <w:noWrap/>
            <w:vAlign w:val="center"/>
          </w:tcPr>
          <w:p w14:paraId="7D51CD57">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N2</w:t>
            </w:r>
          </w:p>
        </w:tc>
        <w:tc>
          <w:tcPr>
            <w:tcW w:w="278" w:type="pct"/>
            <w:tcBorders>
              <w:top w:val="nil"/>
              <w:left w:val="nil"/>
              <w:bottom w:val="single" w:color="auto" w:sz="4" w:space="0"/>
              <w:right w:val="single" w:color="auto" w:sz="4" w:space="0"/>
            </w:tcBorders>
            <w:shd w:val="clear" w:color="000000" w:fill="FFFFFF"/>
            <w:noWrap/>
            <w:vAlign w:val="center"/>
          </w:tcPr>
          <w:p w14:paraId="3E2D2B9B">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Ar</w:t>
            </w:r>
          </w:p>
        </w:tc>
        <w:tc>
          <w:tcPr>
            <w:tcW w:w="319" w:type="pct"/>
            <w:tcBorders>
              <w:top w:val="nil"/>
              <w:left w:val="nil"/>
              <w:bottom w:val="single" w:color="auto" w:sz="4" w:space="0"/>
              <w:right w:val="single" w:color="auto" w:sz="4" w:space="0"/>
            </w:tcBorders>
            <w:shd w:val="clear" w:color="000000" w:fill="FFFFFF"/>
            <w:noWrap/>
            <w:vAlign w:val="center"/>
          </w:tcPr>
          <w:p w14:paraId="52C1A4F3">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286" w:type="pct"/>
            <w:tcBorders>
              <w:top w:val="nil"/>
              <w:left w:val="nil"/>
              <w:bottom w:val="single" w:color="auto" w:sz="4" w:space="0"/>
              <w:right w:val="single" w:color="auto" w:sz="4" w:space="0"/>
            </w:tcBorders>
            <w:shd w:val="clear" w:color="000000" w:fill="FFFFFF"/>
            <w:noWrap/>
            <w:vAlign w:val="center"/>
          </w:tcPr>
          <w:p w14:paraId="58C892DE">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294" w:type="pct"/>
            <w:tcBorders>
              <w:top w:val="nil"/>
              <w:left w:val="nil"/>
              <w:bottom w:val="single" w:color="auto" w:sz="4" w:space="0"/>
              <w:right w:val="single" w:color="auto" w:sz="4" w:space="0"/>
            </w:tcBorders>
            <w:shd w:val="clear" w:color="000000" w:fill="FFFFFF"/>
            <w:noWrap/>
            <w:vAlign w:val="center"/>
          </w:tcPr>
          <w:p w14:paraId="1D547062">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360" w:type="pct"/>
            <w:tcBorders>
              <w:top w:val="nil"/>
              <w:left w:val="nil"/>
              <w:bottom w:val="single" w:color="auto" w:sz="4" w:space="0"/>
              <w:right w:val="single" w:color="auto" w:sz="4" w:space="0"/>
            </w:tcBorders>
            <w:shd w:val="clear" w:color="000000" w:fill="FFFFFF"/>
            <w:noWrap/>
            <w:vAlign w:val="center"/>
          </w:tcPr>
          <w:p w14:paraId="24B36DAD">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433" w:type="pct"/>
            <w:tcBorders>
              <w:top w:val="nil"/>
              <w:left w:val="nil"/>
              <w:bottom w:val="single" w:color="auto" w:sz="4" w:space="0"/>
              <w:right w:val="single" w:color="auto" w:sz="4" w:space="0"/>
            </w:tcBorders>
            <w:shd w:val="clear" w:color="000000" w:fill="FFFFFF"/>
            <w:noWrap/>
            <w:vAlign w:val="center"/>
          </w:tcPr>
          <w:p w14:paraId="11ABC6BC">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450" w:type="pct"/>
            <w:tcBorders>
              <w:top w:val="nil"/>
              <w:left w:val="nil"/>
              <w:bottom w:val="single" w:color="auto" w:sz="4" w:space="0"/>
              <w:right w:val="single" w:color="auto" w:sz="4" w:space="0"/>
            </w:tcBorders>
            <w:shd w:val="clear" w:color="000000" w:fill="FFFFFF"/>
            <w:noWrap/>
            <w:vAlign w:val="center"/>
          </w:tcPr>
          <w:p w14:paraId="3A9D0EB3">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327" w:type="pct"/>
            <w:tcBorders>
              <w:top w:val="nil"/>
              <w:left w:val="nil"/>
              <w:bottom w:val="single" w:color="auto" w:sz="4" w:space="0"/>
              <w:right w:val="single" w:color="auto" w:sz="4" w:space="0"/>
            </w:tcBorders>
            <w:shd w:val="clear" w:color="000000" w:fill="FFFFFF"/>
            <w:noWrap/>
            <w:vAlign w:val="center"/>
          </w:tcPr>
          <w:p w14:paraId="380D80AC">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2</w:t>
            </w:r>
          </w:p>
        </w:tc>
        <w:tc>
          <w:tcPr>
            <w:tcW w:w="1366" w:type="pct"/>
            <w:tcBorders>
              <w:top w:val="nil"/>
              <w:left w:val="nil"/>
              <w:bottom w:val="single" w:color="auto" w:sz="4" w:space="0"/>
              <w:right w:val="single" w:color="000000" w:sz="4" w:space="0"/>
            </w:tcBorders>
            <w:shd w:val="clear" w:color="000000" w:fill="FFFFFF"/>
            <w:noWrap/>
            <w:vAlign w:val="center"/>
          </w:tcPr>
          <w:p w14:paraId="192975A1">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N₂,Ar各2个气路点</w:t>
            </w:r>
          </w:p>
        </w:tc>
      </w:tr>
      <w:tr w14:paraId="07090C39">
        <w:tblPrEx>
          <w:tblCellMar>
            <w:top w:w="0" w:type="dxa"/>
            <w:left w:w="108" w:type="dxa"/>
            <w:bottom w:w="0" w:type="dxa"/>
            <w:right w:w="108" w:type="dxa"/>
          </w:tblCellMar>
        </w:tblPrEx>
        <w:trPr>
          <w:trHeight w:val="660" w:hRule="atLeast"/>
          <w:jc w:val="center"/>
        </w:trPr>
        <w:tc>
          <w:tcPr>
            <w:tcW w:w="286" w:type="pct"/>
            <w:tcBorders>
              <w:top w:val="nil"/>
              <w:left w:val="single" w:color="auto" w:sz="4" w:space="0"/>
              <w:bottom w:val="single" w:color="auto" w:sz="4" w:space="0"/>
              <w:right w:val="single" w:color="auto" w:sz="4" w:space="0"/>
            </w:tcBorders>
            <w:shd w:val="clear" w:color="000000" w:fill="FFFFFF"/>
            <w:noWrap/>
            <w:vAlign w:val="center"/>
          </w:tcPr>
          <w:p w14:paraId="746E7B3F">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2</w:t>
            </w:r>
          </w:p>
        </w:tc>
        <w:tc>
          <w:tcPr>
            <w:tcW w:w="351" w:type="pct"/>
            <w:tcBorders>
              <w:top w:val="nil"/>
              <w:left w:val="nil"/>
              <w:bottom w:val="single" w:color="auto" w:sz="4" w:space="0"/>
              <w:right w:val="single" w:color="auto" w:sz="4" w:space="0"/>
            </w:tcBorders>
            <w:shd w:val="clear" w:color="000000" w:fill="FFFFFF"/>
            <w:noWrap w:val="0"/>
            <w:vAlign w:val="center"/>
          </w:tcPr>
          <w:p w14:paraId="042F3B2A">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321</w:t>
            </w:r>
          </w:p>
        </w:tc>
        <w:tc>
          <w:tcPr>
            <w:tcW w:w="245" w:type="pct"/>
            <w:tcBorders>
              <w:top w:val="nil"/>
              <w:left w:val="nil"/>
              <w:bottom w:val="single" w:color="auto" w:sz="4" w:space="0"/>
              <w:right w:val="single" w:color="auto" w:sz="4" w:space="0"/>
            </w:tcBorders>
            <w:shd w:val="clear" w:color="000000" w:fill="FFFFFF"/>
            <w:noWrap/>
            <w:vAlign w:val="center"/>
          </w:tcPr>
          <w:p w14:paraId="4780F45A">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N2</w:t>
            </w:r>
          </w:p>
        </w:tc>
        <w:tc>
          <w:tcPr>
            <w:tcW w:w="278" w:type="pct"/>
            <w:tcBorders>
              <w:top w:val="nil"/>
              <w:left w:val="nil"/>
              <w:bottom w:val="single" w:color="auto" w:sz="4" w:space="0"/>
              <w:right w:val="single" w:color="auto" w:sz="4" w:space="0"/>
            </w:tcBorders>
            <w:shd w:val="clear" w:color="000000" w:fill="FFFFFF"/>
            <w:noWrap/>
            <w:vAlign w:val="center"/>
          </w:tcPr>
          <w:p w14:paraId="0159CFAC">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Ar</w:t>
            </w:r>
          </w:p>
        </w:tc>
        <w:tc>
          <w:tcPr>
            <w:tcW w:w="319" w:type="pct"/>
            <w:tcBorders>
              <w:top w:val="nil"/>
              <w:left w:val="nil"/>
              <w:bottom w:val="single" w:color="auto" w:sz="4" w:space="0"/>
              <w:right w:val="single" w:color="auto" w:sz="4" w:space="0"/>
            </w:tcBorders>
            <w:shd w:val="clear" w:color="000000" w:fill="FFFFFF"/>
            <w:noWrap/>
            <w:vAlign w:val="center"/>
          </w:tcPr>
          <w:p w14:paraId="1DCDA94F">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286" w:type="pct"/>
            <w:tcBorders>
              <w:top w:val="nil"/>
              <w:left w:val="nil"/>
              <w:bottom w:val="single" w:color="auto" w:sz="4" w:space="0"/>
              <w:right w:val="single" w:color="auto" w:sz="4" w:space="0"/>
            </w:tcBorders>
            <w:shd w:val="clear" w:color="000000" w:fill="FFFFFF"/>
            <w:noWrap/>
            <w:vAlign w:val="center"/>
          </w:tcPr>
          <w:p w14:paraId="7BA50F55">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294" w:type="pct"/>
            <w:tcBorders>
              <w:top w:val="nil"/>
              <w:left w:val="nil"/>
              <w:bottom w:val="nil"/>
              <w:right w:val="nil"/>
            </w:tcBorders>
            <w:shd w:val="clear" w:color="000000" w:fill="FFFFFF"/>
            <w:noWrap/>
            <w:vAlign w:val="center"/>
          </w:tcPr>
          <w:p w14:paraId="0493C2A0">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H₂</w:t>
            </w:r>
          </w:p>
        </w:tc>
        <w:tc>
          <w:tcPr>
            <w:tcW w:w="360" w:type="pct"/>
            <w:tcBorders>
              <w:top w:val="nil"/>
              <w:left w:val="single" w:color="auto" w:sz="4" w:space="0"/>
              <w:bottom w:val="single" w:color="auto" w:sz="4" w:space="0"/>
              <w:right w:val="single" w:color="auto" w:sz="4" w:space="0"/>
            </w:tcBorders>
            <w:shd w:val="clear" w:color="000000" w:fill="FFFFFF"/>
            <w:noWrap/>
            <w:vAlign w:val="center"/>
          </w:tcPr>
          <w:p w14:paraId="14D987EE">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433" w:type="pct"/>
            <w:tcBorders>
              <w:top w:val="nil"/>
              <w:left w:val="nil"/>
              <w:bottom w:val="single" w:color="auto" w:sz="4" w:space="0"/>
              <w:right w:val="single" w:color="auto" w:sz="4" w:space="0"/>
            </w:tcBorders>
            <w:shd w:val="clear" w:color="000000" w:fill="FFFFFF"/>
            <w:noWrap/>
            <w:vAlign w:val="center"/>
          </w:tcPr>
          <w:p w14:paraId="5BF4E70A">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O₂</w:t>
            </w:r>
          </w:p>
        </w:tc>
        <w:tc>
          <w:tcPr>
            <w:tcW w:w="450" w:type="pct"/>
            <w:tcBorders>
              <w:top w:val="nil"/>
              <w:left w:val="nil"/>
              <w:bottom w:val="single" w:color="auto" w:sz="4" w:space="0"/>
              <w:right w:val="single" w:color="auto" w:sz="4" w:space="0"/>
            </w:tcBorders>
            <w:shd w:val="clear" w:color="000000" w:fill="FFFFFF"/>
            <w:noWrap w:val="0"/>
            <w:vAlign w:val="center"/>
          </w:tcPr>
          <w:p w14:paraId="5D5643FB">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327" w:type="pct"/>
            <w:tcBorders>
              <w:top w:val="nil"/>
              <w:left w:val="nil"/>
              <w:bottom w:val="single" w:color="auto" w:sz="4" w:space="0"/>
              <w:right w:val="single" w:color="auto" w:sz="4" w:space="0"/>
            </w:tcBorders>
            <w:shd w:val="clear" w:color="000000" w:fill="FFFFFF"/>
            <w:noWrap w:val="0"/>
            <w:vAlign w:val="center"/>
          </w:tcPr>
          <w:p w14:paraId="3917C911">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4</w:t>
            </w:r>
          </w:p>
        </w:tc>
        <w:tc>
          <w:tcPr>
            <w:tcW w:w="1366" w:type="pct"/>
            <w:tcBorders>
              <w:top w:val="nil"/>
              <w:left w:val="nil"/>
              <w:bottom w:val="single" w:color="auto" w:sz="4" w:space="0"/>
              <w:right w:val="single" w:color="000000" w:sz="4" w:space="0"/>
            </w:tcBorders>
            <w:shd w:val="clear" w:color="000000" w:fill="FFFFFF"/>
            <w:noWrap/>
            <w:vAlign w:val="center"/>
          </w:tcPr>
          <w:p w14:paraId="648D1B17">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H₂、N₂、Ar、O₂​各1个气路点</w:t>
            </w:r>
          </w:p>
        </w:tc>
      </w:tr>
      <w:tr w14:paraId="1D608B31">
        <w:tblPrEx>
          <w:tblCellMar>
            <w:top w:w="0" w:type="dxa"/>
            <w:left w:w="108" w:type="dxa"/>
            <w:bottom w:w="0" w:type="dxa"/>
            <w:right w:w="108" w:type="dxa"/>
          </w:tblCellMar>
        </w:tblPrEx>
        <w:trPr>
          <w:trHeight w:val="660" w:hRule="atLeast"/>
          <w:jc w:val="center"/>
        </w:trPr>
        <w:tc>
          <w:tcPr>
            <w:tcW w:w="286" w:type="pct"/>
            <w:tcBorders>
              <w:top w:val="nil"/>
              <w:left w:val="single" w:color="auto" w:sz="4" w:space="0"/>
              <w:bottom w:val="single" w:color="auto" w:sz="4" w:space="0"/>
              <w:right w:val="single" w:color="auto" w:sz="4" w:space="0"/>
            </w:tcBorders>
            <w:shd w:val="clear" w:color="000000" w:fill="FFFFFF"/>
            <w:noWrap/>
            <w:vAlign w:val="center"/>
          </w:tcPr>
          <w:p w14:paraId="75209056">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3</w:t>
            </w:r>
          </w:p>
        </w:tc>
        <w:tc>
          <w:tcPr>
            <w:tcW w:w="351" w:type="pct"/>
            <w:tcBorders>
              <w:top w:val="nil"/>
              <w:left w:val="nil"/>
              <w:bottom w:val="single" w:color="auto" w:sz="4" w:space="0"/>
              <w:right w:val="single" w:color="auto" w:sz="4" w:space="0"/>
            </w:tcBorders>
            <w:shd w:val="clear" w:color="000000" w:fill="FFFFFF"/>
            <w:noWrap w:val="0"/>
            <w:vAlign w:val="center"/>
          </w:tcPr>
          <w:p w14:paraId="75EFF64D">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322</w:t>
            </w:r>
          </w:p>
        </w:tc>
        <w:tc>
          <w:tcPr>
            <w:tcW w:w="245" w:type="pct"/>
            <w:tcBorders>
              <w:top w:val="nil"/>
              <w:left w:val="nil"/>
              <w:bottom w:val="single" w:color="auto" w:sz="4" w:space="0"/>
              <w:right w:val="single" w:color="auto" w:sz="4" w:space="0"/>
            </w:tcBorders>
            <w:shd w:val="clear" w:color="000000" w:fill="FFFFFF"/>
            <w:noWrap/>
            <w:vAlign w:val="center"/>
          </w:tcPr>
          <w:p w14:paraId="42578FB8">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N2</w:t>
            </w:r>
          </w:p>
        </w:tc>
        <w:tc>
          <w:tcPr>
            <w:tcW w:w="278" w:type="pct"/>
            <w:tcBorders>
              <w:top w:val="nil"/>
              <w:left w:val="nil"/>
              <w:bottom w:val="single" w:color="auto" w:sz="4" w:space="0"/>
              <w:right w:val="single" w:color="auto" w:sz="4" w:space="0"/>
            </w:tcBorders>
            <w:shd w:val="clear" w:color="000000" w:fill="FFFFFF"/>
            <w:noWrap/>
            <w:vAlign w:val="center"/>
          </w:tcPr>
          <w:p w14:paraId="192EDA51">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Ar</w:t>
            </w:r>
          </w:p>
        </w:tc>
        <w:tc>
          <w:tcPr>
            <w:tcW w:w="319" w:type="pct"/>
            <w:tcBorders>
              <w:top w:val="nil"/>
              <w:left w:val="nil"/>
              <w:bottom w:val="single" w:color="auto" w:sz="4" w:space="0"/>
              <w:right w:val="single" w:color="auto" w:sz="4" w:space="0"/>
            </w:tcBorders>
            <w:shd w:val="clear" w:color="000000" w:fill="FFFFFF"/>
            <w:noWrap/>
            <w:vAlign w:val="center"/>
          </w:tcPr>
          <w:p w14:paraId="6E73E6CE">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286" w:type="pct"/>
            <w:tcBorders>
              <w:top w:val="nil"/>
              <w:left w:val="nil"/>
              <w:bottom w:val="single" w:color="auto" w:sz="4" w:space="0"/>
              <w:right w:val="single" w:color="auto" w:sz="4" w:space="0"/>
            </w:tcBorders>
            <w:shd w:val="clear" w:color="000000" w:fill="FFFFFF"/>
            <w:noWrap/>
            <w:vAlign w:val="center"/>
          </w:tcPr>
          <w:p w14:paraId="67A98335">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He</w:t>
            </w:r>
          </w:p>
        </w:tc>
        <w:tc>
          <w:tcPr>
            <w:tcW w:w="294" w:type="pct"/>
            <w:tcBorders>
              <w:top w:val="single" w:color="auto" w:sz="4" w:space="0"/>
              <w:left w:val="nil"/>
              <w:bottom w:val="single" w:color="auto" w:sz="4" w:space="0"/>
              <w:right w:val="single" w:color="auto" w:sz="4" w:space="0"/>
            </w:tcBorders>
            <w:shd w:val="clear" w:color="000000" w:fill="FFFFFF"/>
            <w:noWrap/>
            <w:vAlign w:val="center"/>
          </w:tcPr>
          <w:p w14:paraId="0D970A71">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360" w:type="pct"/>
            <w:tcBorders>
              <w:top w:val="nil"/>
              <w:left w:val="nil"/>
              <w:bottom w:val="single" w:color="auto" w:sz="4" w:space="0"/>
              <w:right w:val="single" w:color="auto" w:sz="4" w:space="0"/>
            </w:tcBorders>
            <w:shd w:val="clear" w:color="000000" w:fill="FFFFFF"/>
            <w:noWrap/>
            <w:vAlign w:val="center"/>
          </w:tcPr>
          <w:p w14:paraId="4BBF4CA4">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433" w:type="pct"/>
            <w:tcBorders>
              <w:top w:val="nil"/>
              <w:left w:val="nil"/>
              <w:bottom w:val="single" w:color="auto" w:sz="4" w:space="0"/>
              <w:right w:val="single" w:color="auto" w:sz="4" w:space="0"/>
            </w:tcBorders>
            <w:shd w:val="clear" w:color="000000" w:fill="FFFFFF"/>
            <w:noWrap/>
            <w:vAlign w:val="center"/>
          </w:tcPr>
          <w:p w14:paraId="299AA422">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450" w:type="pct"/>
            <w:tcBorders>
              <w:top w:val="nil"/>
              <w:left w:val="nil"/>
              <w:bottom w:val="single" w:color="auto" w:sz="4" w:space="0"/>
              <w:right w:val="single" w:color="auto" w:sz="4" w:space="0"/>
            </w:tcBorders>
            <w:shd w:val="clear" w:color="000000" w:fill="FFFFFF"/>
            <w:noWrap/>
            <w:vAlign w:val="center"/>
          </w:tcPr>
          <w:p w14:paraId="6933FB37">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327" w:type="pct"/>
            <w:tcBorders>
              <w:top w:val="nil"/>
              <w:left w:val="nil"/>
              <w:bottom w:val="single" w:color="auto" w:sz="4" w:space="0"/>
              <w:right w:val="single" w:color="auto" w:sz="4" w:space="0"/>
            </w:tcBorders>
            <w:shd w:val="clear" w:color="000000" w:fill="FFFFFF"/>
            <w:noWrap/>
            <w:vAlign w:val="center"/>
          </w:tcPr>
          <w:p w14:paraId="45C15401">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2</w:t>
            </w:r>
          </w:p>
        </w:tc>
        <w:tc>
          <w:tcPr>
            <w:tcW w:w="1366" w:type="pct"/>
            <w:tcBorders>
              <w:top w:val="nil"/>
              <w:left w:val="nil"/>
              <w:bottom w:val="single" w:color="auto" w:sz="4" w:space="0"/>
              <w:right w:val="single" w:color="000000" w:sz="4" w:space="0"/>
            </w:tcBorders>
            <w:shd w:val="clear" w:color="000000" w:fill="FFFFFF"/>
            <w:noWrap/>
            <w:vAlign w:val="center"/>
          </w:tcPr>
          <w:p w14:paraId="142A4E77">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N₂,Ar，He各2个气路点</w:t>
            </w:r>
          </w:p>
        </w:tc>
      </w:tr>
      <w:tr w14:paraId="2F651707">
        <w:tblPrEx>
          <w:tblCellMar>
            <w:top w:w="0" w:type="dxa"/>
            <w:left w:w="108" w:type="dxa"/>
            <w:bottom w:w="0" w:type="dxa"/>
            <w:right w:w="108" w:type="dxa"/>
          </w:tblCellMar>
        </w:tblPrEx>
        <w:trPr>
          <w:trHeight w:val="660" w:hRule="atLeast"/>
          <w:jc w:val="center"/>
        </w:trPr>
        <w:tc>
          <w:tcPr>
            <w:tcW w:w="286" w:type="pct"/>
            <w:tcBorders>
              <w:top w:val="nil"/>
              <w:left w:val="single" w:color="auto" w:sz="4" w:space="0"/>
              <w:bottom w:val="single" w:color="auto" w:sz="4" w:space="0"/>
              <w:right w:val="single" w:color="auto" w:sz="4" w:space="0"/>
            </w:tcBorders>
            <w:shd w:val="clear" w:color="000000" w:fill="FFFFFF"/>
            <w:noWrap/>
            <w:vAlign w:val="center"/>
          </w:tcPr>
          <w:p w14:paraId="054C8AAE">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4</w:t>
            </w:r>
          </w:p>
        </w:tc>
        <w:tc>
          <w:tcPr>
            <w:tcW w:w="351" w:type="pct"/>
            <w:tcBorders>
              <w:top w:val="nil"/>
              <w:left w:val="nil"/>
              <w:bottom w:val="single" w:color="auto" w:sz="4" w:space="0"/>
              <w:right w:val="single" w:color="auto" w:sz="4" w:space="0"/>
            </w:tcBorders>
            <w:shd w:val="clear" w:color="000000" w:fill="FFFFFF"/>
            <w:noWrap w:val="0"/>
            <w:vAlign w:val="center"/>
          </w:tcPr>
          <w:p w14:paraId="218D0E6F">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314</w:t>
            </w:r>
          </w:p>
        </w:tc>
        <w:tc>
          <w:tcPr>
            <w:tcW w:w="245" w:type="pct"/>
            <w:tcBorders>
              <w:top w:val="nil"/>
              <w:left w:val="nil"/>
              <w:bottom w:val="nil"/>
              <w:right w:val="nil"/>
            </w:tcBorders>
            <w:shd w:val="clear" w:color="000000" w:fill="FFFFFF"/>
            <w:noWrap/>
            <w:vAlign w:val="center"/>
          </w:tcPr>
          <w:p w14:paraId="4679A877">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278" w:type="pct"/>
            <w:tcBorders>
              <w:top w:val="nil"/>
              <w:left w:val="single" w:color="auto" w:sz="4" w:space="0"/>
              <w:bottom w:val="single" w:color="auto" w:sz="4" w:space="0"/>
              <w:right w:val="single" w:color="auto" w:sz="4" w:space="0"/>
            </w:tcBorders>
            <w:shd w:val="clear" w:color="000000" w:fill="FFFFFF"/>
            <w:noWrap/>
            <w:vAlign w:val="center"/>
          </w:tcPr>
          <w:p w14:paraId="4539EC7E">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Ar</w:t>
            </w:r>
          </w:p>
        </w:tc>
        <w:tc>
          <w:tcPr>
            <w:tcW w:w="319" w:type="pct"/>
            <w:tcBorders>
              <w:top w:val="nil"/>
              <w:left w:val="nil"/>
              <w:bottom w:val="single" w:color="auto" w:sz="4" w:space="0"/>
              <w:right w:val="single" w:color="auto" w:sz="4" w:space="0"/>
            </w:tcBorders>
            <w:shd w:val="clear" w:color="000000" w:fill="FFFFFF"/>
            <w:noWrap/>
            <w:vAlign w:val="center"/>
          </w:tcPr>
          <w:p w14:paraId="52851392">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286" w:type="pct"/>
            <w:tcBorders>
              <w:top w:val="nil"/>
              <w:left w:val="nil"/>
              <w:bottom w:val="single" w:color="auto" w:sz="4" w:space="0"/>
              <w:right w:val="single" w:color="auto" w:sz="4" w:space="0"/>
            </w:tcBorders>
            <w:shd w:val="clear" w:color="000000" w:fill="FFFFFF"/>
            <w:noWrap/>
            <w:vAlign w:val="center"/>
          </w:tcPr>
          <w:p w14:paraId="2CEEF2C7">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294" w:type="pct"/>
            <w:tcBorders>
              <w:top w:val="nil"/>
              <w:left w:val="nil"/>
              <w:bottom w:val="single" w:color="auto" w:sz="4" w:space="0"/>
              <w:right w:val="single" w:color="auto" w:sz="4" w:space="0"/>
            </w:tcBorders>
            <w:shd w:val="clear" w:color="000000" w:fill="FFFFFF"/>
            <w:noWrap/>
            <w:vAlign w:val="center"/>
          </w:tcPr>
          <w:p w14:paraId="7CA4AD85">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360" w:type="pct"/>
            <w:tcBorders>
              <w:top w:val="nil"/>
              <w:left w:val="nil"/>
              <w:bottom w:val="single" w:color="auto" w:sz="4" w:space="0"/>
              <w:right w:val="single" w:color="auto" w:sz="4" w:space="0"/>
            </w:tcBorders>
            <w:shd w:val="clear" w:color="000000" w:fill="FFFFFF"/>
            <w:noWrap/>
            <w:vAlign w:val="center"/>
          </w:tcPr>
          <w:p w14:paraId="06395420">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433" w:type="pct"/>
            <w:tcBorders>
              <w:top w:val="nil"/>
              <w:left w:val="nil"/>
              <w:bottom w:val="single" w:color="auto" w:sz="4" w:space="0"/>
              <w:right w:val="single" w:color="auto" w:sz="4" w:space="0"/>
            </w:tcBorders>
            <w:shd w:val="clear" w:color="000000" w:fill="FFFFFF"/>
            <w:noWrap/>
            <w:vAlign w:val="center"/>
          </w:tcPr>
          <w:p w14:paraId="3F72CE34">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450" w:type="pct"/>
            <w:tcBorders>
              <w:top w:val="nil"/>
              <w:left w:val="nil"/>
              <w:bottom w:val="single" w:color="auto" w:sz="4" w:space="0"/>
              <w:right w:val="single" w:color="auto" w:sz="4" w:space="0"/>
            </w:tcBorders>
            <w:shd w:val="clear" w:color="000000" w:fill="FFFFFF"/>
            <w:noWrap/>
            <w:vAlign w:val="center"/>
          </w:tcPr>
          <w:p w14:paraId="613E8E33">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327" w:type="pct"/>
            <w:tcBorders>
              <w:top w:val="nil"/>
              <w:left w:val="nil"/>
              <w:bottom w:val="single" w:color="auto" w:sz="4" w:space="0"/>
              <w:right w:val="single" w:color="auto" w:sz="4" w:space="0"/>
            </w:tcBorders>
            <w:shd w:val="clear" w:color="000000" w:fill="FFFFFF"/>
            <w:noWrap/>
            <w:vAlign w:val="center"/>
          </w:tcPr>
          <w:p w14:paraId="7E8C2449">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1</w:t>
            </w:r>
          </w:p>
        </w:tc>
        <w:tc>
          <w:tcPr>
            <w:tcW w:w="1366" w:type="pct"/>
            <w:tcBorders>
              <w:top w:val="nil"/>
              <w:left w:val="nil"/>
              <w:bottom w:val="single" w:color="auto" w:sz="4" w:space="0"/>
              <w:right w:val="single" w:color="000000" w:sz="4" w:space="0"/>
            </w:tcBorders>
            <w:shd w:val="clear" w:color="000000" w:fill="FFFFFF"/>
            <w:noWrap/>
            <w:vAlign w:val="center"/>
          </w:tcPr>
          <w:p w14:paraId="6EB9A872">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Ar有2个气路点</w:t>
            </w:r>
          </w:p>
        </w:tc>
      </w:tr>
      <w:tr w14:paraId="385FCF25">
        <w:tblPrEx>
          <w:tblCellMar>
            <w:top w:w="0" w:type="dxa"/>
            <w:left w:w="108" w:type="dxa"/>
            <w:bottom w:w="0" w:type="dxa"/>
            <w:right w:w="108" w:type="dxa"/>
          </w:tblCellMar>
        </w:tblPrEx>
        <w:trPr>
          <w:trHeight w:val="660" w:hRule="atLeast"/>
          <w:jc w:val="center"/>
        </w:trPr>
        <w:tc>
          <w:tcPr>
            <w:tcW w:w="2855" w:type="pct"/>
            <w:gridSpan w:val="9"/>
            <w:tcBorders>
              <w:top w:val="single" w:color="auto" w:sz="4" w:space="0"/>
              <w:left w:val="single" w:color="auto" w:sz="4" w:space="0"/>
              <w:bottom w:val="single" w:color="auto" w:sz="4" w:space="0"/>
              <w:right w:val="nil"/>
            </w:tcBorders>
            <w:shd w:val="clear" w:color="000000" w:fill="FFFFFF"/>
            <w:noWrap/>
            <w:vAlign w:val="center"/>
          </w:tcPr>
          <w:p w14:paraId="5399BD49">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四层</w:t>
            </w:r>
          </w:p>
        </w:tc>
        <w:tc>
          <w:tcPr>
            <w:tcW w:w="450" w:type="pct"/>
            <w:tcBorders>
              <w:top w:val="nil"/>
              <w:left w:val="nil"/>
              <w:bottom w:val="single" w:color="auto" w:sz="4" w:space="0"/>
              <w:right w:val="single" w:color="auto" w:sz="4" w:space="0"/>
            </w:tcBorders>
            <w:shd w:val="clear" w:color="000000" w:fill="FFFFFF"/>
            <w:noWrap/>
            <w:vAlign w:val="center"/>
          </w:tcPr>
          <w:p w14:paraId="17817B50">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327" w:type="pct"/>
            <w:tcBorders>
              <w:top w:val="nil"/>
              <w:left w:val="nil"/>
              <w:bottom w:val="single" w:color="auto" w:sz="4" w:space="0"/>
              <w:right w:val="single" w:color="auto" w:sz="4" w:space="0"/>
            </w:tcBorders>
            <w:shd w:val="clear" w:color="000000" w:fill="FFFFFF"/>
            <w:noWrap/>
            <w:vAlign w:val="center"/>
          </w:tcPr>
          <w:p w14:paraId="1F1275BB">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1366" w:type="pct"/>
            <w:tcBorders>
              <w:top w:val="nil"/>
              <w:left w:val="nil"/>
              <w:bottom w:val="single" w:color="auto" w:sz="4" w:space="0"/>
              <w:right w:val="single" w:color="000000" w:sz="4" w:space="0"/>
            </w:tcBorders>
            <w:shd w:val="clear" w:color="000000" w:fill="FFFFFF"/>
            <w:noWrap/>
            <w:vAlign w:val="center"/>
          </w:tcPr>
          <w:p w14:paraId="3BFF9E7A">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r>
      <w:tr w14:paraId="4F14966C">
        <w:tblPrEx>
          <w:tblCellMar>
            <w:top w:w="0" w:type="dxa"/>
            <w:left w:w="108" w:type="dxa"/>
            <w:bottom w:w="0" w:type="dxa"/>
            <w:right w:w="108" w:type="dxa"/>
          </w:tblCellMar>
        </w:tblPrEx>
        <w:trPr>
          <w:trHeight w:val="660" w:hRule="atLeast"/>
          <w:jc w:val="center"/>
        </w:trPr>
        <w:tc>
          <w:tcPr>
            <w:tcW w:w="286" w:type="pct"/>
            <w:tcBorders>
              <w:top w:val="nil"/>
              <w:left w:val="single" w:color="auto" w:sz="4" w:space="0"/>
              <w:bottom w:val="single" w:color="auto" w:sz="4" w:space="0"/>
              <w:right w:val="single" w:color="auto" w:sz="4" w:space="0"/>
            </w:tcBorders>
            <w:shd w:val="clear" w:color="000000" w:fill="FFFFFF"/>
            <w:noWrap/>
            <w:vAlign w:val="center"/>
          </w:tcPr>
          <w:p w14:paraId="3DC6AF07">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1</w:t>
            </w:r>
          </w:p>
        </w:tc>
        <w:tc>
          <w:tcPr>
            <w:tcW w:w="351" w:type="pct"/>
            <w:tcBorders>
              <w:top w:val="nil"/>
              <w:left w:val="nil"/>
              <w:bottom w:val="single" w:color="auto" w:sz="4" w:space="0"/>
              <w:right w:val="single" w:color="auto" w:sz="4" w:space="0"/>
            </w:tcBorders>
            <w:shd w:val="clear" w:color="000000" w:fill="FFFFFF"/>
            <w:noWrap w:val="0"/>
            <w:vAlign w:val="center"/>
          </w:tcPr>
          <w:p w14:paraId="291AE740">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425</w:t>
            </w:r>
          </w:p>
        </w:tc>
        <w:tc>
          <w:tcPr>
            <w:tcW w:w="245" w:type="pct"/>
            <w:tcBorders>
              <w:top w:val="nil"/>
              <w:left w:val="nil"/>
              <w:bottom w:val="single" w:color="auto" w:sz="4" w:space="0"/>
              <w:right w:val="single" w:color="auto" w:sz="4" w:space="0"/>
            </w:tcBorders>
            <w:shd w:val="clear" w:color="000000" w:fill="FFFFFF"/>
            <w:noWrap/>
            <w:vAlign w:val="center"/>
          </w:tcPr>
          <w:p w14:paraId="21F4811B">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N2</w:t>
            </w:r>
          </w:p>
        </w:tc>
        <w:tc>
          <w:tcPr>
            <w:tcW w:w="278" w:type="pct"/>
            <w:tcBorders>
              <w:top w:val="nil"/>
              <w:left w:val="nil"/>
              <w:bottom w:val="single" w:color="auto" w:sz="4" w:space="0"/>
              <w:right w:val="single" w:color="auto" w:sz="4" w:space="0"/>
            </w:tcBorders>
            <w:shd w:val="clear" w:color="000000" w:fill="FFFFFF"/>
            <w:noWrap/>
            <w:vAlign w:val="center"/>
          </w:tcPr>
          <w:p w14:paraId="516A2B32">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Ar</w:t>
            </w:r>
          </w:p>
        </w:tc>
        <w:tc>
          <w:tcPr>
            <w:tcW w:w="319" w:type="pct"/>
            <w:tcBorders>
              <w:top w:val="nil"/>
              <w:left w:val="nil"/>
              <w:bottom w:val="single" w:color="auto" w:sz="4" w:space="0"/>
              <w:right w:val="single" w:color="auto" w:sz="4" w:space="0"/>
            </w:tcBorders>
            <w:shd w:val="clear" w:color="000000" w:fill="FFFFFF"/>
            <w:noWrap/>
            <w:vAlign w:val="center"/>
          </w:tcPr>
          <w:p w14:paraId="1A40451B">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286" w:type="pct"/>
            <w:tcBorders>
              <w:top w:val="nil"/>
              <w:left w:val="nil"/>
              <w:bottom w:val="single" w:color="auto" w:sz="4" w:space="0"/>
              <w:right w:val="single" w:color="auto" w:sz="4" w:space="0"/>
            </w:tcBorders>
            <w:shd w:val="clear" w:color="000000" w:fill="FFFFFF"/>
            <w:noWrap/>
            <w:vAlign w:val="center"/>
          </w:tcPr>
          <w:p w14:paraId="1EF04C93">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294" w:type="pct"/>
            <w:tcBorders>
              <w:top w:val="nil"/>
              <w:left w:val="nil"/>
              <w:bottom w:val="single" w:color="auto" w:sz="4" w:space="0"/>
              <w:right w:val="single" w:color="auto" w:sz="4" w:space="0"/>
            </w:tcBorders>
            <w:shd w:val="clear" w:color="000000" w:fill="FFFFFF"/>
            <w:noWrap/>
            <w:vAlign w:val="center"/>
          </w:tcPr>
          <w:p w14:paraId="1BE2FCBC">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360" w:type="pct"/>
            <w:tcBorders>
              <w:top w:val="nil"/>
              <w:left w:val="nil"/>
              <w:bottom w:val="single" w:color="auto" w:sz="4" w:space="0"/>
              <w:right w:val="single" w:color="auto" w:sz="4" w:space="0"/>
            </w:tcBorders>
            <w:shd w:val="clear" w:color="000000" w:fill="FFFFFF"/>
            <w:noWrap/>
            <w:vAlign w:val="center"/>
          </w:tcPr>
          <w:p w14:paraId="15B8B9F1">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433" w:type="pct"/>
            <w:tcBorders>
              <w:top w:val="nil"/>
              <w:left w:val="nil"/>
              <w:bottom w:val="single" w:color="auto" w:sz="4" w:space="0"/>
              <w:right w:val="single" w:color="auto" w:sz="4" w:space="0"/>
            </w:tcBorders>
            <w:shd w:val="clear" w:color="000000" w:fill="FFFFFF"/>
            <w:noWrap/>
            <w:vAlign w:val="center"/>
          </w:tcPr>
          <w:p w14:paraId="6F1EDBA9">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O₂</w:t>
            </w:r>
          </w:p>
        </w:tc>
        <w:tc>
          <w:tcPr>
            <w:tcW w:w="450" w:type="pct"/>
            <w:tcBorders>
              <w:top w:val="nil"/>
              <w:left w:val="nil"/>
              <w:bottom w:val="single" w:color="auto" w:sz="4" w:space="0"/>
              <w:right w:val="single" w:color="auto" w:sz="4" w:space="0"/>
            </w:tcBorders>
            <w:shd w:val="clear" w:color="000000" w:fill="FFFFFF"/>
            <w:noWrap/>
            <w:vAlign w:val="center"/>
          </w:tcPr>
          <w:p w14:paraId="5FA1D207">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327" w:type="pct"/>
            <w:tcBorders>
              <w:top w:val="nil"/>
              <w:left w:val="nil"/>
              <w:bottom w:val="single" w:color="auto" w:sz="4" w:space="0"/>
              <w:right w:val="single" w:color="auto" w:sz="4" w:space="0"/>
            </w:tcBorders>
            <w:shd w:val="clear" w:color="000000" w:fill="FFFFFF"/>
            <w:noWrap/>
            <w:vAlign w:val="center"/>
          </w:tcPr>
          <w:p w14:paraId="208BE012">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3</w:t>
            </w:r>
          </w:p>
        </w:tc>
        <w:tc>
          <w:tcPr>
            <w:tcW w:w="1366" w:type="pct"/>
            <w:tcBorders>
              <w:top w:val="nil"/>
              <w:left w:val="nil"/>
              <w:bottom w:val="single" w:color="auto" w:sz="4" w:space="0"/>
              <w:right w:val="single" w:color="000000" w:sz="4" w:space="0"/>
            </w:tcBorders>
            <w:shd w:val="clear" w:color="000000" w:fill="FFFFFF"/>
            <w:noWrap/>
            <w:vAlign w:val="center"/>
          </w:tcPr>
          <w:p w14:paraId="1A390CCD">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N₂,Ar，O₂各2个气路点</w:t>
            </w:r>
          </w:p>
        </w:tc>
      </w:tr>
      <w:tr w14:paraId="681190AF">
        <w:tblPrEx>
          <w:tblCellMar>
            <w:top w:w="0" w:type="dxa"/>
            <w:left w:w="108" w:type="dxa"/>
            <w:bottom w:w="0" w:type="dxa"/>
            <w:right w:w="108" w:type="dxa"/>
          </w:tblCellMar>
        </w:tblPrEx>
        <w:trPr>
          <w:trHeight w:val="660" w:hRule="atLeast"/>
          <w:jc w:val="center"/>
        </w:trPr>
        <w:tc>
          <w:tcPr>
            <w:tcW w:w="286" w:type="pct"/>
            <w:tcBorders>
              <w:top w:val="nil"/>
              <w:left w:val="single" w:color="auto" w:sz="4" w:space="0"/>
              <w:bottom w:val="single" w:color="auto" w:sz="4" w:space="0"/>
              <w:right w:val="single" w:color="auto" w:sz="4" w:space="0"/>
            </w:tcBorders>
            <w:shd w:val="clear" w:color="000000" w:fill="FFFFFF"/>
            <w:noWrap/>
            <w:vAlign w:val="center"/>
          </w:tcPr>
          <w:p w14:paraId="11E8270A">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2</w:t>
            </w:r>
          </w:p>
        </w:tc>
        <w:tc>
          <w:tcPr>
            <w:tcW w:w="351" w:type="pct"/>
            <w:tcBorders>
              <w:top w:val="nil"/>
              <w:left w:val="nil"/>
              <w:bottom w:val="single" w:color="auto" w:sz="4" w:space="0"/>
              <w:right w:val="single" w:color="auto" w:sz="4" w:space="0"/>
            </w:tcBorders>
            <w:shd w:val="clear" w:color="000000" w:fill="FFFFFF"/>
            <w:noWrap w:val="0"/>
            <w:vAlign w:val="center"/>
          </w:tcPr>
          <w:p w14:paraId="10BFB925">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422</w:t>
            </w:r>
          </w:p>
        </w:tc>
        <w:tc>
          <w:tcPr>
            <w:tcW w:w="245" w:type="pct"/>
            <w:tcBorders>
              <w:top w:val="nil"/>
              <w:left w:val="nil"/>
              <w:bottom w:val="single" w:color="auto" w:sz="4" w:space="0"/>
              <w:right w:val="single" w:color="auto" w:sz="4" w:space="0"/>
            </w:tcBorders>
            <w:shd w:val="clear" w:color="000000" w:fill="FFFFFF"/>
            <w:noWrap/>
            <w:vAlign w:val="center"/>
          </w:tcPr>
          <w:p w14:paraId="5CB99A9E">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N2</w:t>
            </w:r>
          </w:p>
        </w:tc>
        <w:tc>
          <w:tcPr>
            <w:tcW w:w="278" w:type="pct"/>
            <w:tcBorders>
              <w:top w:val="nil"/>
              <w:left w:val="nil"/>
              <w:bottom w:val="single" w:color="auto" w:sz="4" w:space="0"/>
              <w:right w:val="single" w:color="auto" w:sz="4" w:space="0"/>
            </w:tcBorders>
            <w:shd w:val="clear" w:color="000000" w:fill="FFFFFF"/>
            <w:noWrap/>
            <w:vAlign w:val="center"/>
          </w:tcPr>
          <w:p w14:paraId="705CEB50">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Ar</w:t>
            </w:r>
          </w:p>
        </w:tc>
        <w:tc>
          <w:tcPr>
            <w:tcW w:w="319" w:type="pct"/>
            <w:tcBorders>
              <w:top w:val="nil"/>
              <w:left w:val="nil"/>
              <w:bottom w:val="single" w:color="auto" w:sz="4" w:space="0"/>
              <w:right w:val="single" w:color="auto" w:sz="4" w:space="0"/>
            </w:tcBorders>
            <w:shd w:val="clear" w:color="000000" w:fill="FFFFFF"/>
            <w:noWrap/>
            <w:vAlign w:val="center"/>
          </w:tcPr>
          <w:p w14:paraId="1D9D38CE">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CO₂</w:t>
            </w:r>
          </w:p>
        </w:tc>
        <w:tc>
          <w:tcPr>
            <w:tcW w:w="286" w:type="pct"/>
            <w:tcBorders>
              <w:top w:val="nil"/>
              <w:left w:val="nil"/>
              <w:bottom w:val="single" w:color="auto" w:sz="4" w:space="0"/>
              <w:right w:val="single" w:color="auto" w:sz="4" w:space="0"/>
            </w:tcBorders>
            <w:shd w:val="clear" w:color="000000" w:fill="FFFFFF"/>
            <w:noWrap/>
            <w:vAlign w:val="center"/>
          </w:tcPr>
          <w:p w14:paraId="56FA5364">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294" w:type="pct"/>
            <w:tcBorders>
              <w:top w:val="nil"/>
              <w:left w:val="nil"/>
              <w:bottom w:val="single" w:color="auto" w:sz="4" w:space="0"/>
              <w:right w:val="single" w:color="auto" w:sz="4" w:space="0"/>
            </w:tcBorders>
            <w:shd w:val="clear" w:color="000000" w:fill="FFFFFF"/>
            <w:noWrap/>
            <w:vAlign w:val="center"/>
          </w:tcPr>
          <w:p w14:paraId="6D753A74">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360" w:type="pct"/>
            <w:tcBorders>
              <w:top w:val="nil"/>
              <w:left w:val="nil"/>
              <w:bottom w:val="single" w:color="auto" w:sz="4" w:space="0"/>
              <w:right w:val="single" w:color="auto" w:sz="4" w:space="0"/>
            </w:tcBorders>
            <w:shd w:val="clear" w:color="000000" w:fill="FFFFFF"/>
            <w:noWrap/>
            <w:vAlign w:val="center"/>
          </w:tcPr>
          <w:p w14:paraId="36E3E870">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433" w:type="pct"/>
            <w:tcBorders>
              <w:top w:val="nil"/>
              <w:left w:val="nil"/>
              <w:bottom w:val="single" w:color="auto" w:sz="4" w:space="0"/>
              <w:right w:val="single" w:color="auto" w:sz="4" w:space="0"/>
            </w:tcBorders>
            <w:shd w:val="clear" w:color="000000" w:fill="FFFFFF"/>
            <w:noWrap/>
            <w:vAlign w:val="center"/>
          </w:tcPr>
          <w:p w14:paraId="35B795B3">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O₂</w:t>
            </w:r>
          </w:p>
        </w:tc>
        <w:tc>
          <w:tcPr>
            <w:tcW w:w="450" w:type="pct"/>
            <w:tcBorders>
              <w:top w:val="nil"/>
              <w:left w:val="nil"/>
              <w:bottom w:val="single" w:color="auto" w:sz="4" w:space="0"/>
              <w:right w:val="single" w:color="auto" w:sz="4" w:space="0"/>
            </w:tcBorders>
            <w:shd w:val="clear" w:color="000000" w:fill="FFFFFF"/>
            <w:noWrap/>
            <w:vAlign w:val="center"/>
          </w:tcPr>
          <w:p w14:paraId="04E570C6">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327" w:type="pct"/>
            <w:tcBorders>
              <w:top w:val="nil"/>
              <w:left w:val="nil"/>
              <w:bottom w:val="single" w:color="auto" w:sz="4" w:space="0"/>
              <w:right w:val="single" w:color="auto" w:sz="4" w:space="0"/>
            </w:tcBorders>
            <w:shd w:val="clear" w:color="000000" w:fill="FFFFFF"/>
            <w:noWrap/>
            <w:vAlign w:val="center"/>
          </w:tcPr>
          <w:p w14:paraId="1E0A087D">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4</w:t>
            </w:r>
          </w:p>
        </w:tc>
        <w:tc>
          <w:tcPr>
            <w:tcW w:w="1366" w:type="pct"/>
            <w:tcBorders>
              <w:top w:val="nil"/>
              <w:left w:val="nil"/>
              <w:bottom w:val="single" w:color="auto" w:sz="4" w:space="0"/>
              <w:right w:val="single" w:color="000000" w:sz="4" w:space="0"/>
            </w:tcBorders>
            <w:shd w:val="clear" w:color="000000" w:fill="FFFFFF"/>
            <w:noWrap/>
            <w:vAlign w:val="center"/>
          </w:tcPr>
          <w:p w14:paraId="424407FC">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N₂,Ar，CO₂,O₂各1个气路点</w:t>
            </w:r>
          </w:p>
        </w:tc>
      </w:tr>
      <w:tr w14:paraId="2266B860">
        <w:tblPrEx>
          <w:tblCellMar>
            <w:top w:w="0" w:type="dxa"/>
            <w:left w:w="108" w:type="dxa"/>
            <w:bottom w:w="0" w:type="dxa"/>
            <w:right w:w="108" w:type="dxa"/>
          </w:tblCellMar>
        </w:tblPrEx>
        <w:trPr>
          <w:trHeight w:val="660" w:hRule="atLeast"/>
          <w:jc w:val="center"/>
        </w:trPr>
        <w:tc>
          <w:tcPr>
            <w:tcW w:w="286" w:type="pct"/>
            <w:tcBorders>
              <w:top w:val="nil"/>
              <w:left w:val="single" w:color="auto" w:sz="4" w:space="0"/>
              <w:bottom w:val="single" w:color="auto" w:sz="4" w:space="0"/>
              <w:right w:val="single" w:color="auto" w:sz="4" w:space="0"/>
            </w:tcBorders>
            <w:shd w:val="clear" w:color="000000" w:fill="FFFFFF"/>
            <w:noWrap/>
            <w:vAlign w:val="center"/>
          </w:tcPr>
          <w:p w14:paraId="39DBAB7B">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3</w:t>
            </w:r>
          </w:p>
        </w:tc>
        <w:tc>
          <w:tcPr>
            <w:tcW w:w="351" w:type="pct"/>
            <w:tcBorders>
              <w:top w:val="nil"/>
              <w:left w:val="nil"/>
              <w:bottom w:val="single" w:color="auto" w:sz="4" w:space="0"/>
              <w:right w:val="single" w:color="auto" w:sz="4" w:space="0"/>
            </w:tcBorders>
            <w:shd w:val="clear" w:color="000000" w:fill="FFFFFF"/>
            <w:noWrap w:val="0"/>
            <w:vAlign w:val="center"/>
          </w:tcPr>
          <w:p w14:paraId="405246CD">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420</w:t>
            </w:r>
          </w:p>
        </w:tc>
        <w:tc>
          <w:tcPr>
            <w:tcW w:w="245" w:type="pct"/>
            <w:tcBorders>
              <w:top w:val="nil"/>
              <w:left w:val="nil"/>
              <w:bottom w:val="single" w:color="auto" w:sz="4" w:space="0"/>
              <w:right w:val="single" w:color="auto" w:sz="4" w:space="0"/>
            </w:tcBorders>
            <w:shd w:val="clear" w:color="000000" w:fill="FFFFFF"/>
            <w:noWrap/>
            <w:vAlign w:val="center"/>
          </w:tcPr>
          <w:p w14:paraId="31CE2E27">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N2</w:t>
            </w:r>
          </w:p>
        </w:tc>
        <w:tc>
          <w:tcPr>
            <w:tcW w:w="278" w:type="pct"/>
            <w:tcBorders>
              <w:top w:val="nil"/>
              <w:left w:val="nil"/>
              <w:bottom w:val="single" w:color="auto" w:sz="4" w:space="0"/>
              <w:right w:val="single" w:color="auto" w:sz="4" w:space="0"/>
            </w:tcBorders>
            <w:shd w:val="clear" w:color="000000" w:fill="FFFFFF"/>
            <w:noWrap/>
            <w:vAlign w:val="center"/>
          </w:tcPr>
          <w:p w14:paraId="751F47A7">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Ar</w:t>
            </w:r>
          </w:p>
        </w:tc>
        <w:tc>
          <w:tcPr>
            <w:tcW w:w="319" w:type="pct"/>
            <w:tcBorders>
              <w:top w:val="nil"/>
              <w:left w:val="nil"/>
              <w:bottom w:val="single" w:color="auto" w:sz="4" w:space="0"/>
              <w:right w:val="single" w:color="auto" w:sz="4" w:space="0"/>
            </w:tcBorders>
            <w:shd w:val="clear" w:color="000000" w:fill="FFFFFF"/>
            <w:noWrap/>
            <w:vAlign w:val="center"/>
          </w:tcPr>
          <w:p w14:paraId="1890833C">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286" w:type="pct"/>
            <w:tcBorders>
              <w:top w:val="nil"/>
              <w:left w:val="nil"/>
              <w:bottom w:val="single" w:color="auto" w:sz="4" w:space="0"/>
              <w:right w:val="single" w:color="auto" w:sz="4" w:space="0"/>
            </w:tcBorders>
            <w:shd w:val="clear" w:color="000000" w:fill="FFFFFF"/>
            <w:noWrap/>
            <w:vAlign w:val="center"/>
          </w:tcPr>
          <w:p w14:paraId="485FA09F">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294" w:type="pct"/>
            <w:tcBorders>
              <w:top w:val="nil"/>
              <w:left w:val="nil"/>
              <w:bottom w:val="single" w:color="auto" w:sz="4" w:space="0"/>
              <w:right w:val="single" w:color="auto" w:sz="4" w:space="0"/>
            </w:tcBorders>
            <w:shd w:val="clear" w:color="000000" w:fill="FFFFFF"/>
            <w:noWrap/>
            <w:vAlign w:val="center"/>
          </w:tcPr>
          <w:p w14:paraId="7C289CA5">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360" w:type="pct"/>
            <w:tcBorders>
              <w:top w:val="nil"/>
              <w:left w:val="nil"/>
              <w:bottom w:val="single" w:color="auto" w:sz="4" w:space="0"/>
              <w:right w:val="single" w:color="auto" w:sz="4" w:space="0"/>
            </w:tcBorders>
            <w:shd w:val="clear" w:color="000000" w:fill="FFFFFF"/>
            <w:noWrap/>
            <w:vAlign w:val="center"/>
          </w:tcPr>
          <w:p w14:paraId="5EE97292">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433" w:type="pct"/>
            <w:tcBorders>
              <w:top w:val="nil"/>
              <w:left w:val="nil"/>
              <w:bottom w:val="single" w:color="auto" w:sz="4" w:space="0"/>
              <w:right w:val="single" w:color="auto" w:sz="4" w:space="0"/>
            </w:tcBorders>
            <w:shd w:val="clear" w:color="000000" w:fill="FFFFFF"/>
            <w:noWrap/>
            <w:vAlign w:val="center"/>
          </w:tcPr>
          <w:p w14:paraId="75A5D594">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450" w:type="pct"/>
            <w:tcBorders>
              <w:top w:val="nil"/>
              <w:left w:val="nil"/>
              <w:bottom w:val="single" w:color="auto" w:sz="4" w:space="0"/>
              <w:right w:val="single" w:color="auto" w:sz="4" w:space="0"/>
            </w:tcBorders>
            <w:shd w:val="clear" w:color="000000" w:fill="FFFFFF"/>
            <w:noWrap/>
            <w:vAlign w:val="center"/>
          </w:tcPr>
          <w:p w14:paraId="1DA3F939">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327" w:type="pct"/>
            <w:tcBorders>
              <w:top w:val="nil"/>
              <w:left w:val="nil"/>
              <w:bottom w:val="single" w:color="auto" w:sz="4" w:space="0"/>
              <w:right w:val="single" w:color="auto" w:sz="4" w:space="0"/>
            </w:tcBorders>
            <w:shd w:val="clear" w:color="000000" w:fill="FFFFFF"/>
            <w:noWrap/>
            <w:vAlign w:val="center"/>
          </w:tcPr>
          <w:p w14:paraId="29836B3A">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2</w:t>
            </w:r>
          </w:p>
        </w:tc>
        <w:tc>
          <w:tcPr>
            <w:tcW w:w="1366" w:type="pct"/>
            <w:tcBorders>
              <w:top w:val="nil"/>
              <w:left w:val="nil"/>
              <w:bottom w:val="single" w:color="auto" w:sz="4" w:space="0"/>
              <w:right w:val="single" w:color="000000" w:sz="4" w:space="0"/>
            </w:tcBorders>
            <w:shd w:val="clear" w:color="000000" w:fill="FFFFFF"/>
            <w:noWrap/>
            <w:vAlign w:val="center"/>
          </w:tcPr>
          <w:p w14:paraId="2EF7342A">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N₂,Ar各2个气路点</w:t>
            </w:r>
          </w:p>
        </w:tc>
      </w:tr>
      <w:tr w14:paraId="1BCBC639">
        <w:tblPrEx>
          <w:tblCellMar>
            <w:top w:w="0" w:type="dxa"/>
            <w:left w:w="108" w:type="dxa"/>
            <w:bottom w:w="0" w:type="dxa"/>
            <w:right w:w="108" w:type="dxa"/>
          </w:tblCellMar>
        </w:tblPrEx>
        <w:trPr>
          <w:trHeight w:val="660" w:hRule="atLeast"/>
          <w:jc w:val="center"/>
        </w:trPr>
        <w:tc>
          <w:tcPr>
            <w:tcW w:w="28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C029B8B">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4</w:t>
            </w:r>
          </w:p>
        </w:tc>
        <w:tc>
          <w:tcPr>
            <w:tcW w:w="351" w:type="pct"/>
            <w:tcBorders>
              <w:top w:val="single" w:color="auto" w:sz="4" w:space="0"/>
              <w:left w:val="nil"/>
              <w:bottom w:val="single" w:color="auto" w:sz="4" w:space="0"/>
              <w:right w:val="single" w:color="auto" w:sz="4" w:space="0"/>
            </w:tcBorders>
            <w:shd w:val="clear" w:color="000000" w:fill="FFFFFF"/>
            <w:noWrap w:val="0"/>
            <w:vAlign w:val="center"/>
          </w:tcPr>
          <w:p w14:paraId="3BAA0235">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418</w:t>
            </w:r>
          </w:p>
        </w:tc>
        <w:tc>
          <w:tcPr>
            <w:tcW w:w="245" w:type="pct"/>
            <w:tcBorders>
              <w:top w:val="single" w:color="auto" w:sz="4" w:space="0"/>
              <w:left w:val="nil"/>
              <w:bottom w:val="single" w:color="auto" w:sz="4" w:space="0"/>
              <w:right w:val="single" w:color="auto" w:sz="4" w:space="0"/>
            </w:tcBorders>
            <w:shd w:val="clear" w:color="000000" w:fill="FFFFFF"/>
            <w:noWrap/>
            <w:vAlign w:val="center"/>
          </w:tcPr>
          <w:p w14:paraId="0B730345">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N2</w:t>
            </w:r>
          </w:p>
        </w:tc>
        <w:tc>
          <w:tcPr>
            <w:tcW w:w="278" w:type="pct"/>
            <w:tcBorders>
              <w:top w:val="single" w:color="auto" w:sz="4" w:space="0"/>
              <w:left w:val="nil"/>
              <w:bottom w:val="single" w:color="auto" w:sz="4" w:space="0"/>
              <w:right w:val="single" w:color="auto" w:sz="4" w:space="0"/>
            </w:tcBorders>
            <w:shd w:val="clear" w:color="000000" w:fill="FFFFFF"/>
            <w:noWrap/>
            <w:vAlign w:val="center"/>
          </w:tcPr>
          <w:p w14:paraId="2D9E73F7">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319" w:type="pct"/>
            <w:tcBorders>
              <w:top w:val="single" w:color="auto" w:sz="4" w:space="0"/>
              <w:left w:val="nil"/>
              <w:bottom w:val="single" w:color="auto" w:sz="4" w:space="0"/>
              <w:right w:val="single" w:color="auto" w:sz="4" w:space="0"/>
            </w:tcBorders>
            <w:shd w:val="clear" w:color="000000" w:fill="FFFFFF"/>
            <w:noWrap/>
            <w:vAlign w:val="center"/>
          </w:tcPr>
          <w:p w14:paraId="0BB7B439">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286" w:type="pct"/>
            <w:tcBorders>
              <w:top w:val="single" w:color="auto" w:sz="4" w:space="0"/>
              <w:left w:val="nil"/>
              <w:bottom w:val="single" w:color="auto" w:sz="4" w:space="0"/>
              <w:right w:val="single" w:color="auto" w:sz="4" w:space="0"/>
            </w:tcBorders>
            <w:shd w:val="clear" w:color="000000" w:fill="FFFFFF"/>
            <w:noWrap/>
            <w:vAlign w:val="center"/>
          </w:tcPr>
          <w:p w14:paraId="5C260019">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294" w:type="pct"/>
            <w:tcBorders>
              <w:top w:val="single" w:color="auto" w:sz="4" w:space="0"/>
              <w:left w:val="nil"/>
              <w:bottom w:val="single" w:color="auto" w:sz="4" w:space="0"/>
              <w:right w:val="single" w:color="auto" w:sz="4" w:space="0"/>
            </w:tcBorders>
            <w:shd w:val="clear" w:color="000000" w:fill="FFFFFF"/>
            <w:noWrap/>
            <w:vAlign w:val="center"/>
          </w:tcPr>
          <w:p w14:paraId="42711C68">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360" w:type="pct"/>
            <w:tcBorders>
              <w:top w:val="single" w:color="auto" w:sz="4" w:space="0"/>
              <w:left w:val="nil"/>
              <w:bottom w:val="single" w:color="auto" w:sz="4" w:space="0"/>
              <w:right w:val="single" w:color="auto" w:sz="4" w:space="0"/>
            </w:tcBorders>
            <w:shd w:val="clear" w:color="000000" w:fill="FFFFFF"/>
            <w:noWrap/>
            <w:vAlign w:val="center"/>
          </w:tcPr>
          <w:p w14:paraId="12D4BD59">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433" w:type="pct"/>
            <w:tcBorders>
              <w:top w:val="single" w:color="auto" w:sz="4" w:space="0"/>
              <w:left w:val="nil"/>
              <w:bottom w:val="single" w:color="auto" w:sz="4" w:space="0"/>
              <w:right w:val="single" w:color="auto" w:sz="4" w:space="0"/>
            </w:tcBorders>
            <w:shd w:val="clear" w:color="000000" w:fill="FFFFFF"/>
            <w:noWrap/>
            <w:vAlign w:val="center"/>
          </w:tcPr>
          <w:p w14:paraId="078BBBF7">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450" w:type="pct"/>
            <w:tcBorders>
              <w:top w:val="single" w:color="auto" w:sz="4" w:space="0"/>
              <w:left w:val="nil"/>
              <w:bottom w:val="single" w:color="auto" w:sz="4" w:space="0"/>
              <w:right w:val="single" w:color="auto" w:sz="4" w:space="0"/>
            </w:tcBorders>
            <w:shd w:val="clear" w:color="000000" w:fill="FFFFFF"/>
            <w:noWrap/>
            <w:vAlign w:val="center"/>
          </w:tcPr>
          <w:p w14:paraId="5CEDE28C">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327" w:type="pct"/>
            <w:tcBorders>
              <w:top w:val="single" w:color="auto" w:sz="4" w:space="0"/>
              <w:left w:val="nil"/>
              <w:bottom w:val="single" w:color="auto" w:sz="4" w:space="0"/>
              <w:right w:val="single" w:color="auto" w:sz="4" w:space="0"/>
            </w:tcBorders>
            <w:shd w:val="clear" w:color="000000" w:fill="FFFFFF"/>
            <w:noWrap/>
            <w:vAlign w:val="center"/>
          </w:tcPr>
          <w:p w14:paraId="0974AD08">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1</w:t>
            </w:r>
          </w:p>
        </w:tc>
        <w:tc>
          <w:tcPr>
            <w:tcW w:w="1366" w:type="pct"/>
            <w:tcBorders>
              <w:top w:val="single" w:color="auto" w:sz="4" w:space="0"/>
              <w:left w:val="nil"/>
              <w:bottom w:val="single" w:color="auto" w:sz="4" w:space="0"/>
              <w:right w:val="single" w:color="000000" w:sz="4" w:space="0"/>
            </w:tcBorders>
            <w:shd w:val="clear" w:color="000000" w:fill="FFFFFF"/>
            <w:noWrap/>
            <w:vAlign w:val="center"/>
          </w:tcPr>
          <w:p w14:paraId="64131ACE">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N₂有2个气路点</w:t>
            </w:r>
          </w:p>
        </w:tc>
      </w:tr>
      <w:tr w14:paraId="0D72BD0B">
        <w:tblPrEx>
          <w:tblCellMar>
            <w:top w:w="0" w:type="dxa"/>
            <w:left w:w="108" w:type="dxa"/>
            <w:bottom w:w="0" w:type="dxa"/>
            <w:right w:w="108" w:type="dxa"/>
          </w:tblCellMar>
        </w:tblPrEx>
        <w:trPr>
          <w:trHeight w:val="660" w:hRule="atLeast"/>
          <w:jc w:val="center"/>
        </w:trPr>
        <w:tc>
          <w:tcPr>
            <w:tcW w:w="286" w:type="pct"/>
            <w:tcBorders>
              <w:top w:val="nil"/>
              <w:left w:val="single" w:color="auto" w:sz="4" w:space="0"/>
              <w:bottom w:val="single" w:color="auto" w:sz="4" w:space="0"/>
              <w:right w:val="single" w:color="auto" w:sz="4" w:space="0"/>
            </w:tcBorders>
            <w:shd w:val="clear" w:color="000000" w:fill="FFFFFF"/>
            <w:noWrap/>
            <w:vAlign w:val="center"/>
          </w:tcPr>
          <w:p w14:paraId="30CA8867">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5</w:t>
            </w:r>
          </w:p>
        </w:tc>
        <w:tc>
          <w:tcPr>
            <w:tcW w:w="351" w:type="pct"/>
            <w:tcBorders>
              <w:top w:val="nil"/>
              <w:left w:val="nil"/>
              <w:bottom w:val="single" w:color="auto" w:sz="4" w:space="0"/>
              <w:right w:val="single" w:color="auto" w:sz="4" w:space="0"/>
            </w:tcBorders>
            <w:shd w:val="clear" w:color="000000" w:fill="FFFFFF"/>
            <w:noWrap w:val="0"/>
            <w:vAlign w:val="center"/>
          </w:tcPr>
          <w:p w14:paraId="0D9CA0E1">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416</w:t>
            </w:r>
          </w:p>
        </w:tc>
        <w:tc>
          <w:tcPr>
            <w:tcW w:w="245" w:type="pct"/>
            <w:tcBorders>
              <w:top w:val="nil"/>
              <w:left w:val="nil"/>
              <w:bottom w:val="single" w:color="auto" w:sz="4" w:space="0"/>
              <w:right w:val="single" w:color="auto" w:sz="4" w:space="0"/>
            </w:tcBorders>
            <w:shd w:val="clear" w:color="000000" w:fill="FFFFFF"/>
            <w:noWrap/>
            <w:vAlign w:val="center"/>
          </w:tcPr>
          <w:p w14:paraId="1C845C7A">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N2</w:t>
            </w:r>
          </w:p>
        </w:tc>
        <w:tc>
          <w:tcPr>
            <w:tcW w:w="278" w:type="pct"/>
            <w:tcBorders>
              <w:top w:val="nil"/>
              <w:left w:val="nil"/>
              <w:bottom w:val="single" w:color="auto" w:sz="4" w:space="0"/>
              <w:right w:val="single" w:color="auto" w:sz="4" w:space="0"/>
            </w:tcBorders>
            <w:shd w:val="clear" w:color="000000" w:fill="FFFFFF"/>
            <w:noWrap/>
            <w:vAlign w:val="center"/>
          </w:tcPr>
          <w:p w14:paraId="44EDABFC">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Ar</w:t>
            </w:r>
          </w:p>
        </w:tc>
        <w:tc>
          <w:tcPr>
            <w:tcW w:w="319" w:type="pct"/>
            <w:tcBorders>
              <w:top w:val="nil"/>
              <w:left w:val="nil"/>
              <w:bottom w:val="single" w:color="auto" w:sz="4" w:space="0"/>
              <w:right w:val="single" w:color="auto" w:sz="4" w:space="0"/>
            </w:tcBorders>
            <w:shd w:val="clear" w:color="000000" w:fill="FFFFFF"/>
            <w:noWrap/>
            <w:vAlign w:val="center"/>
          </w:tcPr>
          <w:p w14:paraId="385BFD2B">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286" w:type="pct"/>
            <w:tcBorders>
              <w:top w:val="nil"/>
              <w:left w:val="nil"/>
              <w:bottom w:val="single" w:color="auto" w:sz="4" w:space="0"/>
              <w:right w:val="single" w:color="auto" w:sz="4" w:space="0"/>
            </w:tcBorders>
            <w:shd w:val="clear" w:color="000000" w:fill="FFFFFF"/>
            <w:noWrap/>
            <w:vAlign w:val="center"/>
          </w:tcPr>
          <w:p w14:paraId="1DA5615B">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294" w:type="pct"/>
            <w:tcBorders>
              <w:top w:val="nil"/>
              <w:left w:val="nil"/>
              <w:bottom w:val="single" w:color="auto" w:sz="4" w:space="0"/>
              <w:right w:val="single" w:color="auto" w:sz="4" w:space="0"/>
            </w:tcBorders>
            <w:shd w:val="clear" w:color="000000" w:fill="FFFFFF"/>
            <w:noWrap/>
            <w:vAlign w:val="center"/>
          </w:tcPr>
          <w:p w14:paraId="4F3404CF">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360" w:type="pct"/>
            <w:tcBorders>
              <w:top w:val="nil"/>
              <w:left w:val="nil"/>
              <w:bottom w:val="single" w:color="auto" w:sz="4" w:space="0"/>
              <w:right w:val="single" w:color="auto" w:sz="4" w:space="0"/>
            </w:tcBorders>
            <w:shd w:val="clear" w:color="000000" w:fill="FFFFFF"/>
            <w:noWrap/>
            <w:vAlign w:val="center"/>
          </w:tcPr>
          <w:p w14:paraId="45835C20">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433" w:type="pct"/>
            <w:tcBorders>
              <w:top w:val="nil"/>
              <w:left w:val="nil"/>
              <w:bottom w:val="single" w:color="auto" w:sz="4" w:space="0"/>
              <w:right w:val="single" w:color="auto" w:sz="4" w:space="0"/>
            </w:tcBorders>
            <w:shd w:val="clear" w:color="000000" w:fill="FFFFFF"/>
            <w:noWrap/>
            <w:vAlign w:val="center"/>
          </w:tcPr>
          <w:p w14:paraId="0A347E06">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450" w:type="pct"/>
            <w:tcBorders>
              <w:top w:val="nil"/>
              <w:left w:val="nil"/>
              <w:bottom w:val="single" w:color="auto" w:sz="4" w:space="0"/>
              <w:right w:val="single" w:color="auto" w:sz="4" w:space="0"/>
            </w:tcBorders>
            <w:shd w:val="clear" w:color="000000" w:fill="FFFFFF"/>
            <w:noWrap/>
            <w:vAlign w:val="center"/>
          </w:tcPr>
          <w:p w14:paraId="5CBF3A82">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327" w:type="pct"/>
            <w:tcBorders>
              <w:top w:val="nil"/>
              <w:left w:val="nil"/>
              <w:bottom w:val="single" w:color="auto" w:sz="4" w:space="0"/>
              <w:right w:val="single" w:color="auto" w:sz="4" w:space="0"/>
            </w:tcBorders>
            <w:shd w:val="clear" w:color="000000" w:fill="FFFFFF"/>
            <w:noWrap/>
            <w:vAlign w:val="center"/>
          </w:tcPr>
          <w:p w14:paraId="48C2FA31">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2</w:t>
            </w:r>
          </w:p>
        </w:tc>
        <w:tc>
          <w:tcPr>
            <w:tcW w:w="1366" w:type="pct"/>
            <w:tcBorders>
              <w:top w:val="nil"/>
              <w:left w:val="nil"/>
              <w:bottom w:val="single" w:color="auto" w:sz="4" w:space="0"/>
              <w:right w:val="single" w:color="000000" w:sz="4" w:space="0"/>
            </w:tcBorders>
            <w:shd w:val="clear" w:color="000000" w:fill="FFFFFF"/>
            <w:noWrap/>
            <w:vAlign w:val="center"/>
          </w:tcPr>
          <w:p w14:paraId="6E879DFB">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N₂,Ar各2个气路点</w:t>
            </w:r>
          </w:p>
        </w:tc>
      </w:tr>
      <w:tr w14:paraId="6DE01835">
        <w:tblPrEx>
          <w:tblCellMar>
            <w:top w:w="0" w:type="dxa"/>
            <w:left w:w="108" w:type="dxa"/>
            <w:bottom w:w="0" w:type="dxa"/>
            <w:right w:w="108" w:type="dxa"/>
          </w:tblCellMar>
        </w:tblPrEx>
        <w:trPr>
          <w:trHeight w:val="660" w:hRule="atLeast"/>
          <w:jc w:val="center"/>
        </w:trPr>
        <w:tc>
          <w:tcPr>
            <w:tcW w:w="286" w:type="pct"/>
            <w:tcBorders>
              <w:top w:val="nil"/>
              <w:left w:val="single" w:color="auto" w:sz="4" w:space="0"/>
              <w:bottom w:val="single" w:color="auto" w:sz="4" w:space="0"/>
              <w:right w:val="single" w:color="auto" w:sz="4" w:space="0"/>
            </w:tcBorders>
            <w:shd w:val="clear" w:color="000000" w:fill="FFFFFF"/>
            <w:noWrap/>
            <w:vAlign w:val="center"/>
          </w:tcPr>
          <w:p w14:paraId="3D631560">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6</w:t>
            </w:r>
          </w:p>
        </w:tc>
        <w:tc>
          <w:tcPr>
            <w:tcW w:w="351" w:type="pct"/>
            <w:tcBorders>
              <w:top w:val="nil"/>
              <w:left w:val="nil"/>
              <w:bottom w:val="single" w:color="auto" w:sz="4" w:space="0"/>
              <w:right w:val="single" w:color="auto" w:sz="4" w:space="0"/>
            </w:tcBorders>
            <w:shd w:val="clear" w:color="000000" w:fill="FFFFFF"/>
            <w:noWrap/>
            <w:vAlign w:val="center"/>
          </w:tcPr>
          <w:p w14:paraId="00593A34">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415</w:t>
            </w:r>
          </w:p>
        </w:tc>
        <w:tc>
          <w:tcPr>
            <w:tcW w:w="245" w:type="pct"/>
            <w:tcBorders>
              <w:top w:val="nil"/>
              <w:left w:val="nil"/>
              <w:bottom w:val="single" w:color="auto" w:sz="4" w:space="0"/>
              <w:right w:val="single" w:color="auto" w:sz="4" w:space="0"/>
            </w:tcBorders>
            <w:shd w:val="clear" w:color="000000" w:fill="FFFFFF"/>
            <w:noWrap/>
            <w:vAlign w:val="center"/>
          </w:tcPr>
          <w:p w14:paraId="3D4954E7">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278" w:type="pct"/>
            <w:tcBorders>
              <w:top w:val="nil"/>
              <w:left w:val="nil"/>
              <w:bottom w:val="single" w:color="auto" w:sz="4" w:space="0"/>
              <w:right w:val="single" w:color="auto" w:sz="4" w:space="0"/>
            </w:tcBorders>
            <w:shd w:val="clear" w:color="000000" w:fill="FFFFFF"/>
            <w:noWrap/>
            <w:vAlign w:val="center"/>
          </w:tcPr>
          <w:p w14:paraId="31F2909F">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Ar</w:t>
            </w:r>
          </w:p>
        </w:tc>
        <w:tc>
          <w:tcPr>
            <w:tcW w:w="319" w:type="pct"/>
            <w:tcBorders>
              <w:top w:val="nil"/>
              <w:left w:val="nil"/>
              <w:bottom w:val="single" w:color="auto" w:sz="4" w:space="0"/>
              <w:right w:val="single" w:color="auto" w:sz="4" w:space="0"/>
            </w:tcBorders>
            <w:shd w:val="clear" w:color="000000" w:fill="FFFFFF"/>
            <w:noWrap/>
            <w:vAlign w:val="center"/>
          </w:tcPr>
          <w:p w14:paraId="34E20DE4">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286" w:type="pct"/>
            <w:tcBorders>
              <w:top w:val="nil"/>
              <w:left w:val="nil"/>
              <w:bottom w:val="single" w:color="auto" w:sz="4" w:space="0"/>
              <w:right w:val="single" w:color="auto" w:sz="4" w:space="0"/>
            </w:tcBorders>
            <w:shd w:val="clear" w:color="000000" w:fill="FFFFFF"/>
            <w:noWrap/>
            <w:vAlign w:val="center"/>
          </w:tcPr>
          <w:p w14:paraId="6B41D26D">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294" w:type="pct"/>
            <w:tcBorders>
              <w:top w:val="nil"/>
              <w:left w:val="nil"/>
              <w:bottom w:val="single" w:color="auto" w:sz="4" w:space="0"/>
              <w:right w:val="single" w:color="auto" w:sz="4" w:space="0"/>
            </w:tcBorders>
            <w:shd w:val="clear" w:color="000000" w:fill="FFFFFF"/>
            <w:noWrap/>
            <w:vAlign w:val="center"/>
          </w:tcPr>
          <w:p w14:paraId="1D9F86A5">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360" w:type="pct"/>
            <w:tcBorders>
              <w:top w:val="nil"/>
              <w:left w:val="nil"/>
              <w:bottom w:val="single" w:color="auto" w:sz="4" w:space="0"/>
              <w:right w:val="single" w:color="auto" w:sz="4" w:space="0"/>
            </w:tcBorders>
            <w:shd w:val="clear" w:color="000000" w:fill="FFFFFF"/>
            <w:noWrap/>
            <w:vAlign w:val="center"/>
          </w:tcPr>
          <w:p w14:paraId="4E6B90DA">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433" w:type="pct"/>
            <w:tcBorders>
              <w:top w:val="nil"/>
              <w:left w:val="nil"/>
              <w:bottom w:val="single" w:color="auto" w:sz="4" w:space="0"/>
              <w:right w:val="single" w:color="auto" w:sz="4" w:space="0"/>
            </w:tcBorders>
            <w:shd w:val="clear" w:color="000000" w:fill="FFFFFF"/>
            <w:noWrap/>
            <w:vAlign w:val="center"/>
          </w:tcPr>
          <w:p w14:paraId="268DD2E9">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450" w:type="pct"/>
            <w:tcBorders>
              <w:top w:val="nil"/>
              <w:left w:val="nil"/>
              <w:bottom w:val="single" w:color="auto" w:sz="4" w:space="0"/>
              <w:right w:val="single" w:color="auto" w:sz="4" w:space="0"/>
            </w:tcBorders>
            <w:shd w:val="clear" w:color="000000" w:fill="FFFFFF"/>
            <w:noWrap/>
            <w:vAlign w:val="center"/>
          </w:tcPr>
          <w:p w14:paraId="59BCBD21">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327" w:type="pct"/>
            <w:tcBorders>
              <w:top w:val="nil"/>
              <w:left w:val="nil"/>
              <w:bottom w:val="single" w:color="auto" w:sz="4" w:space="0"/>
              <w:right w:val="single" w:color="auto" w:sz="4" w:space="0"/>
            </w:tcBorders>
            <w:shd w:val="clear" w:color="000000" w:fill="FFFFFF"/>
            <w:noWrap/>
            <w:vAlign w:val="center"/>
          </w:tcPr>
          <w:p w14:paraId="74549F88">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1</w:t>
            </w:r>
          </w:p>
        </w:tc>
        <w:tc>
          <w:tcPr>
            <w:tcW w:w="1366" w:type="pct"/>
            <w:tcBorders>
              <w:top w:val="nil"/>
              <w:left w:val="nil"/>
              <w:bottom w:val="single" w:color="auto" w:sz="4" w:space="0"/>
              <w:right w:val="single" w:color="000000" w:sz="4" w:space="0"/>
            </w:tcBorders>
            <w:shd w:val="clear" w:color="000000" w:fill="FFFFFF"/>
            <w:noWrap/>
            <w:vAlign w:val="center"/>
          </w:tcPr>
          <w:p w14:paraId="3E077F9A">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Ar有2个气路点</w:t>
            </w:r>
          </w:p>
        </w:tc>
      </w:tr>
      <w:tr w14:paraId="4741520A">
        <w:tblPrEx>
          <w:tblCellMar>
            <w:top w:w="0" w:type="dxa"/>
            <w:left w:w="108" w:type="dxa"/>
            <w:bottom w:w="0" w:type="dxa"/>
            <w:right w:w="108" w:type="dxa"/>
          </w:tblCellMar>
        </w:tblPrEx>
        <w:trPr>
          <w:trHeight w:val="510" w:hRule="atLeast"/>
          <w:jc w:val="center"/>
        </w:trPr>
        <w:tc>
          <w:tcPr>
            <w:tcW w:w="2855" w:type="pct"/>
            <w:gridSpan w:val="9"/>
            <w:tcBorders>
              <w:top w:val="single" w:color="auto" w:sz="4" w:space="0"/>
              <w:left w:val="single" w:color="auto" w:sz="4" w:space="0"/>
              <w:bottom w:val="single" w:color="auto" w:sz="4" w:space="0"/>
              <w:right w:val="nil"/>
            </w:tcBorders>
            <w:shd w:val="clear" w:color="000000" w:fill="FFFFFF"/>
            <w:noWrap/>
            <w:vAlign w:val="center"/>
          </w:tcPr>
          <w:p w14:paraId="1654EC5A">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五层</w:t>
            </w:r>
          </w:p>
        </w:tc>
        <w:tc>
          <w:tcPr>
            <w:tcW w:w="450" w:type="pct"/>
            <w:tcBorders>
              <w:top w:val="nil"/>
              <w:left w:val="nil"/>
              <w:bottom w:val="single" w:color="auto" w:sz="4" w:space="0"/>
              <w:right w:val="single" w:color="auto" w:sz="4" w:space="0"/>
            </w:tcBorders>
            <w:shd w:val="clear" w:color="000000" w:fill="FFFFFF"/>
            <w:noWrap/>
            <w:vAlign w:val="center"/>
          </w:tcPr>
          <w:p w14:paraId="745C4042">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327" w:type="pct"/>
            <w:tcBorders>
              <w:top w:val="nil"/>
              <w:left w:val="nil"/>
              <w:bottom w:val="single" w:color="auto" w:sz="4" w:space="0"/>
              <w:right w:val="single" w:color="auto" w:sz="4" w:space="0"/>
            </w:tcBorders>
            <w:shd w:val="clear" w:color="000000" w:fill="FFFFFF"/>
            <w:noWrap/>
            <w:vAlign w:val="center"/>
          </w:tcPr>
          <w:p w14:paraId="7D38047D">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1366" w:type="pct"/>
            <w:tcBorders>
              <w:top w:val="nil"/>
              <w:left w:val="nil"/>
              <w:bottom w:val="single" w:color="auto" w:sz="4" w:space="0"/>
              <w:right w:val="single" w:color="000000" w:sz="4" w:space="0"/>
            </w:tcBorders>
            <w:shd w:val="clear" w:color="000000" w:fill="FFFFFF"/>
            <w:noWrap/>
            <w:vAlign w:val="center"/>
          </w:tcPr>
          <w:p w14:paraId="1C52AC60">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r>
      <w:tr w14:paraId="09F2370C">
        <w:tblPrEx>
          <w:tblCellMar>
            <w:top w:w="0" w:type="dxa"/>
            <w:left w:w="108" w:type="dxa"/>
            <w:bottom w:w="0" w:type="dxa"/>
            <w:right w:w="108" w:type="dxa"/>
          </w:tblCellMar>
        </w:tblPrEx>
        <w:trPr>
          <w:trHeight w:val="660" w:hRule="atLeast"/>
          <w:jc w:val="center"/>
        </w:trPr>
        <w:tc>
          <w:tcPr>
            <w:tcW w:w="286" w:type="pct"/>
            <w:tcBorders>
              <w:top w:val="nil"/>
              <w:left w:val="single" w:color="auto" w:sz="4" w:space="0"/>
              <w:bottom w:val="single" w:color="auto" w:sz="4" w:space="0"/>
              <w:right w:val="single" w:color="auto" w:sz="4" w:space="0"/>
            </w:tcBorders>
            <w:shd w:val="clear" w:color="000000" w:fill="FFFFFF"/>
            <w:noWrap/>
            <w:vAlign w:val="center"/>
          </w:tcPr>
          <w:p w14:paraId="6872C7D5">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1</w:t>
            </w:r>
          </w:p>
        </w:tc>
        <w:tc>
          <w:tcPr>
            <w:tcW w:w="351" w:type="pct"/>
            <w:tcBorders>
              <w:top w:val="nil"/>
              <w:left w:val="nil"/>
              <w:bottom w:val="single" w:color="auto" w:sz="4" w:space="0"/>
              <w:right w:val="single" w:color="auto" w:sz="4" w:space="0"/>
            </w:tcBorders>
            <w:shd w:val="clear" w:color="000000" w:fill="FFFFFF"/>
            <w:noWrap w:val="0"/>
            <w:vAlign w:val="center"/>
          </w:tcPr>
          <w:p w14:paraId="00777361">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516</w:t>
            </w:r>
          </w:p>
        </w:tc>
        <w:tc>
          <w:tcPr>
            <w:tcW w:w="245" w:type="pct"/>
            <w:tcBorders>
              <w:top w:val="nil"/>
              <w:left w:val="nil"/>
              <w:bottom w:val="single" w:color="auto" w:sz="4" w:space="0"/>
              <w:right w:val="single" w:color="auto" w:sz="4" w:space="0"/>
            </w:tcBorders>
            <w:shd w:val="clear" w:color="000000" w:fill="FFFFFF"/>
            <w:noWrap/>
            <w:vAlign w:val="center"/>
          </w:tcPr>
          <w:p w14:paraId="4340A73A">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N2</w:t>
            </w:r>
          </w:p>
        </w:tc>
        <w:tc>
          <w:tcPr>
            <w:tcW w:w="278" w:type="pct"/>
            <w:tcBorders>
              <w:top w:val="nil"/>
              <w:left w:val="nil"/>
              <w:bottom w:val="single" w:color="auto" w:sz="4" w:space="0"/>
              <w:right w:val="single" w:color="auto" w:sz="4" w:space="0"/>
            </w:tcBorders>
            <w:shd w:val="clear" w:color="000000" w:fill="FFFFFF"/>
            <w:noWrap/>
            <w:vAlign w:val="center"/>
          </w:tcPr>
          <w:p w14:paraId="4852E100">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Ar</w:t>
            </w:r>
          </w:p>
        </w:tc>
        <w:tc>
          <w:tcPr>
            <w:tcW w:w="319" w:type="pct"/>
            <w:tcBorders>
              <w:top w:val="nil"/>
              <w:left w:val="nil"/>
              <w:bottom w:val="single" w:color="auto" w:sz="4" w:space="0"/>
              <w:right w:val="single" w:color="auto" w:sz="4" w:space="0"/>
            </w:tcBorders>
            <w:shd w:val="clear" w:color="000000" w:fill="FFFFFF"/>
            <w:noWrap/>
            <w:vAlign w:val="center"/>
          </w:tcPr>
          <w:p w14:paraId="3992B2DE">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CO2</w:t>
            </w:r>
          </w:p>
        </w:tc>
        <w:tc>
          <w:tcPr>
            <w:tcW w:w="286" w:type="pct"/>
            <w:tcBorders>
              <w:top w:val="nil"/>
              <w:left w:val="nil"/>
              <w:bottom w:val="single" w:color="auto" w:sz="4" w:space="0"/>
              <w:right w:val="single" w:color="auto" w:sz="4" w:space="0"/>
            </w:tcBorders>
            <w:shd w:val="clear" w:color="000000" w:fill="FFFFFF"/>
            <w:noWrap/>
            <w:vAlign w:val="center"/>
          </w:tcPr>
          <w:p w14:paraId="76CBE25A">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294" w:type="pct"/>
            <w:tcBorders>
              <w:top w:val="nil"/>
              <w:left w:val="nil"/>
              <w:bottom w:val="single" w:color="auto" w:sz="4" w:space="0"/>
              <w:right w:val="single" w:color="auto" w:sz="4" w:space="0"/>
            </w:tcBorders>
            <w:shd w:val="clear" w:color="000000" w:fill="FFFFFF"/>
            <w:noWrap/>
            <w:vAlign w:val="center"/>
          </w:tcPr>
          <w:p w14:paraId="6EBA76BA">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360" w:type="pct"/>
            <w:tcBorders>
              <w:top w:val="nil"/>
              <w:left w:val="nil"/>
              <w:bottom w:val="single" w:color="auto" w:sz="4" w:space="0"/>
              <w:right w:val="single" w:color="auto" w:sz="4" w:space="0"/>
            </w:tcBorders>
            <w:shd w:val="clear" w:color="000000" w:fill="FFFFFF"/>
            <w:noWrap/>
            <w:vAlign w:val="center"/>
          </w:tcPr>
          <w:p w14:paraId="6586B0EE">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433" w:type="pct"/>
            <w:tcBorders>
              <w:top w:val="nil"/>
              <w:left w:val="nil"/>
              <w:bottom w:val="single" w:color="auto" w:sz="4" w:space="0"/>
              <w:right w:val="single" w:color="auto" w:sz="4" w:space="0"/>
            </w:tcBorders>
            <w:shd w:val="clear" w:color="000000" w:fill="FFFFFF"/>
            <w:noWrap/>
            <w:vAlign w:val="center"/>
          </w:tcPr>
          <w:p w14:paraId="351F63B0">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450" w:type="pct"/>
            <w:tcBorders>
              <w:top w:val="nil"/>
              <w:left w:val="nil"/>
              <w:bottom w:val="single" w:color="auto" w:sz="4" w:space="0"/>
              <w:right w:val="single" w:color="auto" w:sz="4" w:space="0"/>
            </w:tcBorders>
            <w:shd w:val="clear" w:color="000000" w:fill="FFFFFF"/>
            <w:noWrap/>
            <w:vAlign w:val="center"/>
          </w:tcPr>
          <w:p w14:paraId="4797C605">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327" w:type="pct"/>
            <w:tcBorders>
              <w:top w:val="nil"/>
              <w:left w:val="nil"/>
              <w:bottom w:val="single" w:color="auto" w:sz="4" w:space="0"/>
              <w:right w:val="single" w:color="auto" w:sz="4" w:space="0"/>
            </w:tcBorders>
            <w:shd w:val="clear" w:color="000000" w:fill="FFFFFF"/>
            <w:noWrap/>
            <w:vAlign w:val="center"/>
          </w:tcPr>
          <w:p w14:paraId="7E88BF4B">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3</w:t>
            </w:r>
          </w:p>
        </w:tc>
        <w:tc>
          <w:tcPr>
            <w:tcW w:w="1366" w:type="pct"/>
            <w:tcBorders>
              <w:top w:val="nil"/>
              <w:left w:val="nil"/>
              <w:bottom w:val="single" w:color="auto" w:sz="4" w:space="0"/>
              <w:right w:val="single" w:color="000000" w:sz="4" w:space="0"/>
            </w:tcBorders>
            <w:shd w:val="clear" w:color="000000" w:fill="FFFFFF"/>
            <w:noWrap/>
            <w:vAlign w:val="center"/>
          </w:tcPr>
          <w:p w14:paraId="33F191BF">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N₂,Ar，CO₂各2个气路点</w:t>
            </w:r>
          </w:p>
        </w:tc>
      </w:tr>
      <w:tr w14:paraId="4E1DD840">
        <w:tblPrEx>
          <w:tblCellMar>
            <w:top w:w="0" w:type="dxa"/>
            <w:left w:w="108" w:type="dxa"/>
            <w:bottom w:w="0" w:type="dxa"/>
            <w:right w:w="108" w:type="dxa"/>
          </w:tblCellMar>
        </w:tblPrEx>
        <w:trPr>
          <w:trHeight w:val="660" w:hRule="atLeast"/>
          <w:jc w:val="center"/>
        </w:trPr>
        <w:tc>
          <w:tcPr>
            <w:tcW w:w="286" w:type="pct"/>
            <w:tcBorders>
              <w:top w:val="nil"/>
              <w:left w:val="single" w:color="auto" w:sz="4" w:space="0"/>
              <w:bottom w:val="single" w:color="auto" w:sz="4" w:space="0"/>
              <w:right w:val="single" w:color="auto" w:sz="4" w:space="0"/>
            </w:tcBorders>
            <w:shd w:val="clear" w:color="000000" w:fill="FFFFFF"/>
            <w:noWrap/>
            <w:vAlign w:val="center"/>
          </w:tcPr>
          <w:p w14:paraId="74214FC8">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2</w:t>
            </w:r>
          </w:p>
        </w:tc>
        <w:tc>
          <w:tcPr>
            <w:tcW w:w="351" w:type="pct"/>
            <w:tcBorders>
              <w:top w:val="nil"/>
              <w:left w:val="nil"/>
              <w:bottom w:val="single" w:color="auto" w:sz="4" w:space="0"/>
              <w:right w:val="single" w:color="auto" w:sz="4" w:space="0"/>
            </w:tcBorders>
            <w:shd w:val="clear" w:color="000000" w:fill="FFFFFF"/>
            <w:noWrap w:val="0"/>
            <w:vAlign w:val="center"/>
          </w:tcPr>
          <w:p w14:paraId="451D8DFC">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518</w:t>
            </w:r>
          </w:p>
        </w:tc>
        <w:tc>
          <w:tcPr>
            <w:tcW w:w="245" w:type="pct"/>
            <w:tcBorders>
              <w:top w:val="nil"/>
              <w:left w:val="nil"/>
              <w:bottom w:val="single" w:color="auto" w:sz="4" w:space="0"/>
              <w:right w:val="single" w:color="auto" w:sz="4" w:space="0"/>
            </w:tcBorders>
            <w:shd w:val="clear" w:color="000000" w:fill="FFFFFF"/>
            <w:noWrap/>
            <w:vAlign w:val="center"/>
          </w:tcPr>
          <w:p w14:paraId="67957395">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N2</w:t>
            </w:r>
          </w:p>
        </w:tc>
        <w:tc>
          <w:tcPr>
            <w:tcW w:w="278" w:type="pct"/>
            <w:tcBorders>
              <w:top w:val="nil"/>
              <w:left w:val="nil"/>
              <w:bottom w:val="single" w:color="auto" w:sz="4" w:space="0"/>
              <w:right w:val="single" w:color="auto" w:sz="4" w:space="0"/>
            </w:tcBorders>
            <w:shd w:val="clear" w:color="000000" w:fill="FFFFFF"/>
            <w:noWrap/>
            <w:vAlign w:val="center"/>
          </w:tcPr>
          <w:p w14:paraId="0B1F9788">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319" w:type="pct"/>
            <w:tcBorders>
              <w:top w:val="nil"/>
              <w:left w:val="nil"/>
              <w:bottom w:val="single" w:color="auto" w:sz="4" w:space="0"/>
              <w:right w:val="single" w:color="auto" w:sz="4" w:space="0"/>
            </w:tcBorders>
            <w:shd w:val="clear" w:color="000000" w:fill="FFFFFF"/>
            <w:noWrap/>
            <w:vAlign w:val="center"/>
          </w:tcPr>
          <w:p w14:paraId="5F636851">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CO2</w:t>
            </w:r>
          </w:p>
        </w:tc>
        <w:tc>
          <w:tcPr>
            <w:tcW w:w="286" w:type="pct"/>
            <w:tcBorders>
              <w:top w:val="nil"/>
              <w:left w:val="nil"/>
              <w:bottom w:val="single" w:color="auto" w:sz="4" w:space="0"/>
              <w:right w:val="single" w:color="auto" w:sz="4" w:space="0"/>
            </w:tcBorders>
            <w:shd w:val="clear" w:color="000000" w:fill="FFFFFF"/>
            <w:noWrap/>
            <w:vAlign w:val="center"/>
          </w:tcPr>
          <w:p w14:paraId="37949E71">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294" w:type="pct"/>
            <w:tcBorders>
              <w:top w:val="nil"/>
              <w:left w:val="nil"/>
              <w:bottom w:val="single" w:color="auto" w:sz="4" w:space="0"/>
              <w:right w:val="single" w:color="auto" w:sz="4" w:space="0"/>
            </w:tcBorders>
            <w:shd w:val="clear" w:color="000000" w:fill="FFFFFF"/>
            <w:noWrap/>
            <w:vAlign w:val="center"/>
          </w:tcPr>
          <w:p w14:paraId="320DA0CF">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360" w:type="pct"/>
            <w:tcBorders>
              <w:top w:val="nil"/>
              <w:left w:val="nil"/>
              <w:bottom w:val="single" w:color="auto" w:sz="4" w:space="0"/>
              <w:right w:val="single" w:color="auto" w:sz="4" w:space="0"/>
            </w:tcBorders>
            <w:shd w:val="clear" w:color="000000" w:fill="FFFFFF"/>
            <w:noWrap/>
            <w:vAlign w:val="center"/>
          </w:tcPr>
          <w:p w14:paraId="37EC6F90">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433" w:type="pct"/>
            <w:tcBorders>
              <w:top w:val="nil"/>
              <w:left w:val="nil"/>
              <w:bottom w:val="single" w:color="auto" w:sz="4" w:space="0"/>
              <w:right w:val="single" w:color="auto" w:sz="4" w:space="0"/>
            </w:tcBorders>
            <w:shd w:val="clear" w:color="000000" w:fill="FFFFFF"/>
            <w:noWrap/>
            <w:vAlign w:val="center"/>
          </w:tcPr>
          <w:p w14:paraId="07E13A39">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450" w:type="pct"/>
            <w:tcBorders>
              <w:top w:val="nil"/>
              <w:left w:val="nil"/>
              <w:bottom w:val="single" w:color="auto" w:sz="4" w:space="0"/>
              <w:right w:val="single" w:color="auto" w:sz="4" w:space="0"/>
            </w:tcBorders>
            <w:shd w:val="clear" w:color="000000" w:fill="FFFFFF"/>
            <w:noWrap/>
            <w:vAlign w:val="center"/>
          </w:tcPr>
          <w:p w14:paraId="15CEEE80">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327" w:type="pct"/>
            <w:tcBorders>
              <w:top w:val="nil"/>
              <w:left w:val="nil"/>
              <w:bottom w:val="single" w:color="auto" w:sz="4" w:space="0"/>
              <w:right w:val="single" w:color="auto" w:sz="4" w:space="0"/>
            </w:tcBorders>
            <w:shd w:val="clear" w:color="000000" w:fill="FFFFFF"/>
            <w:noWrap/>
            <w:vAlign w:val="center"/>
          </w:tcPr>
          <w:p w14:paraId="4E7460C5">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2</w:t>
            </w:r>
          </w:p>
        </w:tc>
        <w:tc>
          <w:tcPr>
            <w:tcW w:w="1366" w:type="pct"/>
            <w:tcBorders>
              <w:top w:val="nil"/>
              <w:left w:val="nil"/>
              <w:bottom w:val="single" w:color="auto" w:sz="4" w:space="0"/>
              <w:right w:val="single" w:color="000000" w:sz="4" w:space="0"/>
            </w:tcBorders>
            <w:shd w:val="clear" w:color="000000" w:fill="FFFFFF"/>
            <w:noWrap/>
            <w:vAlign w:val="center"/>
          </w:tcPr>
          <w:p w14:paraId="483EAC72">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N₂,CO₂各2个气路点</w:t>
            </w:r>
          </w:p>
        </w:tc>
      </w:tr>
      <w:tr w14:paraId="7552B331">
        <w:tblPrEx>
          <w:tblCellMar>
            <w:top w:w="0" w:type="dxa"/>
            <w:left w:w="108" w:type="dxa"/>
            <w:bottom w:w="0" w:type="dxa"/>
            <w:right w:w="108" w:type="dxa"/>
          </w:tblCellMar>
        </w:tblPrEx>
        <w:trPr>
          <w:trHeight w:val="660" w:hRule="atLeast"/>
          <w:jc w:val="center"/>
        </w:trPr>
        <w:tc>
          <w:tcPr>
            <w:tcW w:w="28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D980FE1">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3</w:t>
            </w:r>
          </w:p>
        </w:tc>
        <w:tc>
          <w:tcPr>
            <w:tcW w:w="351" w:type="pct"/>
            <w:tcBorders>
              <w:top w:val="single" w:color="auto" w:sz="4" w:space="0"/>
              <w:left w:val="nil"/>
              <w:bottom w:val="single" w:color="auto" w:sz="4" w:space="0"/>
              <w:right w:val="single" w:color="auto" w:sz="4" w:space="0"/>
            </w:tcBorders>
            <w:shd w:val="clear" w:color="000000" w:fill="FFFFFF"/>
            <w:noWrap w:val="0"/>
            <w:vAlign w:val="center"/>
          </w:tcPr>
          <w:p w14:paraId="76EFF4CD">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520</w:t>
            </w:r>
          </w:p>
        </w:tc>
        <w:tc>
          <w:tcPr>
            <w:tcW w:w="245" w:type="pct"/>
            <w:tcBorders>
              <w:top w:val="single" w:color="auto" w:sz="4" w:space="0"/>
              <w:left w:val="nil"/>
              <w:bottom w:val="single" w:color="auto" w:sz="4" w:space="0"/>
              <w:right w:val="single" w:color="auto" w:sz="4" w:space="0"/>
            </w:tcBorders>
            <w:shd w:val="clear" w:color="000000" w:fill="FFFFFF"/>
            <w:noWrap/>
            <w:vAlign w:val="center"/>
          </w:tcPr>
          <w:p w14:paraId="3781A31E">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N2</w:t>
            </w:r>
          </w:p>
        </w:tc>
        <w:tc>
          <w:tcPr>
            <w:tcW w:w="278" w:type="pct"/>
            <w:tcBorders>
              <w:top w:val="single" w:color="auto" w:sz="4" w:space="0"/>
              <w:left w:val="nil"/>
              <w:bottom w:val="single" w:color="auto" w:sz="4" w:space="0"/>
              <w:right w:val="single" w:color="auto" w:sz="4" w:space="0"/>
            </w:tcBorders>
            <w:shd w:val="clear" w:color="000000" w:fill="FFFFFF"/>
            <w:noWrap/>
            <w:vAlign w:val="center"/>
          </w:tcPr>
          <w:p w14:paraId="6361731B">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319" w:type="pct"/>
            <w:tcBorders>
              <w:top w:val="single" w:color="auto" w:sz="4" w:space="0"/>
              <w:left w:val="nil"/>
              <w:bottom w:val="single" w:color="auto" w:sz="4" w:space="0"/>
              <w:right w:val="single" w:color="auto" w:sz="4" w:space="0"/>
            </w:tcBorders>
            <w:shd w:val="clear" w:color="000000" w:fill="FFFFFF"/>
            <w:noWrap/>
            <w:vAlign w:val="center"/>
          </w:tcPr>
          <w:p w14:paraId="635D67A5">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286" w:type="pct"/>
            <w:tcBorders>
              <w:top w:val="single" w:color="auto" w:sz="4" w:space="0"/>
              <w:left w:val="nil"/>
              <w:bottom w:val="single" w:color="auto" w:sz="4" w:space="0"/>
              <w:right w:val="single" w:color="auto" w:sz="4" w:space="0"/>
            </w:tcBorders>
            <w:shd w:val="clear" w:color="000000" w:fill="FFFFFF"/>
            <w:noWrap/>
            <w:vAlign w:val="center"/>
          </w:tcPr>
          <w:p w14:paraId="7AA3709B">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294" w:type="pct"/>
            <w:tcBorders>
              <w:top w:val="single" w:color="auto" w:sz="4" w:space="0"/>
              <w:left w:val="nil"/>
              <w:bottom w:val="single" w:color="auto" w:sz="4" w:space="0"/>
              <w:right w:val="single" w:color="auto" w:sz="4" w:space="0"/>
            </w:tcBorders>
            <w:shd w:val="clear" w:color="000000" w:fill="FFFFFF"/>
            <w:noWrap/>
            <w:vAlign w:val="center"/>
          </w:tcPr>
          <w:p w14:paraId="3467C65E">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360" w:type="pct"/>
            <w:tcBorders>
              <w:top w:val="single" w:color="auto" w:sz="4" w:space="0"/>
              <w:left w:val="nil"/>
              <w:bottom w:val="single" w:color="auto" w:sz="4" w:space="0"/>
              <w:right w:val="single" w:color="auto" w:sz="4" w:space="0"/>
            </w:tcBorders>
            <w:shd w:val="clear" w:color="000000" w:fill="FFFFFF"/>
            <w:noWrap/>
            <w:vAlign w:val="center"/>
          </w:tcPr>
          <w:p w14:paraId="695E3F0C">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433" w:type="pct"/>
            <w:tcBorders>
              <w:top w:val="single" w:color="auto" w:sz="4" w:space="0"/>
              <w:left w:val="nil"/>
              <w:bottom w:val="single" w:color="auto" w:sz="4" w:space="0"/>
              <w:right w:val="single" w:color="auto" w:sz="4" w:space="0"/>
            </w:tcBorders>
            <w:shd w:val="clear" w:color="000000" w:fill="FFFFFF"/>
            <w:noWrap/>
            <w:vAlign w:val="center"/>
          </w:tcPr>
          <w:p w14:paraId="35A239D4">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450" w:type="pct"/>
            <w:tcBorders>
              <w:top w:val="single" w:color="auto" w:sz="4" w:space="0"/>
              <w:left w:val="nil"/>
              <w:bottom w:val="single" w:color="auto" w:sz="4" w:space="0"/>
              <w:right w:val="single" w:color="auto" w:sz="4" w:space="0"/>
            </w:tcBorders>
            <w:shd w:val="clear" w:color="000000" w:fill="FFFFFF"/>
            <w:noWrap/>
            <w:vAlign w:val="center"/>
          </w:tcPr>
          <w:p w14:paraId="71165FEA">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327" w:type="pct"/>
            <w:tcBorders>
              <w:top w:val="single" w:color="auto" w:sz="4" w:space="0"/>
              <w:left w:val="nil"/>
              <w:bottom w:val="single" w:color="auto" w:sz="4" w:space="0"/>
              <w:right w:val="single" w:color="auto" w:sz="4" w:space="0"/>
            </w:tcBorders>
            <w:shd w:val="clear" w:color="000000" w:fill="FFFFFF"/>
            <w:noWrap/>
            <w:vAlign w:val="center"/>
          </w:tcPr>
          <w:p w14:paraId="539AE640">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1</w:t>
            </w:r>
          </w:p>
        </w:tc>
        <w:tc>
          <w:tcPr>
            <w:tcW w:w="1366" w:type="pct"/>
            <w:tcBorders>
              <w:top w:val="single" w:color="auto" w:sz="4" w:space="0"/>
              <w:left w:val="nil"/>
              <w:bottom w:val="single" w:color="auto" w:sz="4" w:space="0"/>
              <w:right w:val="single" w:color="000000" w:sz="4" w:space="0"/>
            </w:tcBorders>
            <w:shd w:val="clear" w:color="000000" w:fill="FFFFFF"/>
            <w:noWrap/>
            <w:vAlign w:val="center"/>
          </w:tcPr>
          <w:p w14:paraId="68B02927">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N₂有2个气路点</w:t>
            </w:r>
          </w:p>
        </w:tc>
      </w:tr>
      <w:tr w14:paraId="6729C5DA">
        <w:tblPrEx>
          <w:tblCellMar>
            <w:top w:w="0" w:type="dxa"/>
            <w:left w:w="108" w:type="dxa"/>
            <w:bottom w:w="0" w:type="dxa"/>
            <w:right w:w="108" w:type="dxa"/>
          </w:tblCellMar>
        </w:tblPrEx>
        <w:trPr>
          <w:trHeight w:val="660" w:hRule="atLeast"/>
          <w:jc w:val="center"/>
        </w:trPr>
        <w:tc>
          <w:tcPr>
            <w:tcW w:w="286" w:type="pct"/>
            <w:tcBorders>
              <w:top w:val="nil"/>
              <w:left w:val="single" w:color="auto" w:sz="4" w:space="0"/>
              <w:bottom w:val="single" w:color="auto" w:sz="4" w:space="0"/>
              <w:right w:val="single" w:color="auto" w:sz="4" w:space="0"/>
            </w:tcBorders>
            <w:shd w:val="clear" w:color="000000" w:fill="FFFFFF"/>
            <w:noWrap/>
            <w:vAlign w:val="center"/>
          </w:tcPr>
          <w:p w14:paraId="77266385">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4</w:t>
            </w:r>
          </w:p>
        </w:tc>
        <w:tc>
          <w:tcPr>
            <w:tcW w:w="351" w:type="pct"/>
            <w:tcBorders>
              <w:top w:val="nil"/>
              <w:left w:val="nil"/>
              <w:bottom w:val="single" w:color="auto" w:sz="4" w:space="0"/>
              <w:right w:val="single" w:color="auto" w:sz="4" w:space="0"/>
            </w:tcBorders>
            <w:shd w:val="clear" w:color="000000" w:fill="FFFFFF"/>
            <w:noWrap w:val="0"/>
            <w:vAlign w:val="center"/>
          </w:tcPr>
          <w:p w14:paraId="19459AA8">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522</w:t>
            </w:r>
          </w:p>
        </w:tc>
        <w:tc>
          <w:tcPr>
            <w:tcW w:w="245" w:type="pct"/>
            <w:tcBorders>
              <w:top w:val="nil"/>
              <w:left w:val="nil"/>
              <w:bottom w:val="single" w:color="auto" w:sz="4" w:space="0"/>
              <w:right w:val="single" w:color="auto" w:sz="4" w:space="0"/>
            </w:tcBorders>
            <w:shd w:val="clear" w:color="000000" w:fill="FFFFFF"/>
            <w:noWrap/>
            <w:vAlign w:val="center"/>
          </w:tcPr>
          <w:p w14:paraId="18740B44">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N2</w:t>
            </w:r>
          </w:p>
        </w:tc>
        <w:tc>
          <w:tcPr>
            <w:tcW w:w="278" w:type="pct"/>
            <w:tcBorders>
              <w:top w:val="nil"/>
              <w:left w:val="nil"/>
              <w:bottom w:val="single" w:color="auto" w:sz="4" w:space="0"/>
              <w:right w:val="single" w:color="auto" w:sz="4" w:space="0"/>
            </w:tcBorders>
            <w:shd w:val="clear" w:color="000000" w:fill="FFFFFF"/>
            <w:noWrap/>
            <w:vAlign w:val="center"/>
          </w:tcPr>
          <w:p w14:paraId="01AABFED">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319" w:type="pct"/>
            <w:tcBorders>
              <w:top w:val="nil"/>
              <w:left w:val="nil"/>
              <w:bottom w:val="single" w:color="auto" w:sz="4" w:space="0"/>
              <w:right w:val="single" w:color="auto" w:sz="4" w:space="0"/>
            </w:tcBorders>
            <w:shd w:val="clear" w:color="000000" w:fill="FFFFFF"/>
            <w:noWrap/>
            <w:vAlign w:val="center"/>
          </w:tcPr>
          <w:p w14:paraId="72F6B008">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286" w:type="pct"/>
            <w:tcBorders>
              <w:top w:val="nil"/>
              <w:left w:val="nil"/>
              <w:bottom w:val="single" w:color="auto" w:sz="4" w:space="0"/>
              <w:right w:val="single" w:color="auto" w:sz="4" w:space="0"/>
            </w:tcBorders>
            <w:shd w:val="clear" w:color="000000" w:fill="FFFFFF"/>
            <w:noWrap/>
            <w:vAlign w:val="center"/>
          </w:tcPr>
          <w:p w14:paraId="7C76BD50">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294" w:type="pct"/>
            <w:tcBorders>
              <w:top w:val="nil"/>
              <w:left w:val="nil"/>
              <w:bottom w:val="single" w:color="auto" w:sz="4" w:space="0"/>
              <w:right w:val="single" w:color="auto" w:sz="4" w:space="0"/>
            </w:tcBorders>
            <w:shd w:val="clear" w:color="000000" w:fill="FFFFFF"/>
            <w:noWrap/>
            <w:vAlign w:val="center"/>
          </w:tcPr>
          <w:p w14:paraId="5F767937">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360" w:type="pct"/>
            <w:tcBorders>
              <w:top w:val="nil"/>
              <w:left w:val="nil"/>
              <w:bottom w:val="single" w:color="auto" w:sz="4" w:space="0"/>
              <w:right w:val="single" w:color="auto" w:sz="4" w:space="0"/>
            </w:tcBorders>
            <w:shd w:val="clear" w:color="000000" w:fill="FFFFFF"/>
            <w:noWrap/>
            <w:vAlign w:val="center"/>
          </w:tcPr>
          <w:p w14:paraId="5A1D7206">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433" w:type="pct"/>
            <w:tcBorders>
              <w:top w:val="nil"/>
              <w:left w:val="nil"/>
              <w:bottom w:val="single" w:color="auto" w:sz="4" w:space="0"/>
              <w:right w:val="single" w:color="auto" w:sz="4" w:space="0"/>
            </w:tcBorders>
            <w:shd w:val="clear" w:color="000000" w:fill="FFFFFF"/>
            <w:noWrap/>
            <w:vAlign w:val="center"/>
          </w:tcPr>
          <w:p w14:paraId="5AED65BE">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450" w:type="pct"/>
            <w:tcBorders>
              <w:top w:val="nil"/>
              <w:left w:val="nil"/>
              <w:bottom w:val="single" w:color="auto" w:sz="4" w:space="0"/>
              <w:right w:val="single" w:color="auto" w:sz="4" w:space="0"/>
            </w:tcBorders>
            <w:shd w:val="clear" w:color="000000" w:fill="FFFFFF"/>
            <w:noWrap/>
            <w:vAlign w:val="center"/>
          </w:tcPr>
          <w:p w14:paraId="3B1358B9">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327" w:type="pct"/>
            <w:tcBorders>
              <w:top w:val="nil"/>
              <w:left w:val="nil"/>
              <w:bottom w:val="single" w:color="auto" w:sz="4" w:space="0"/>
              <w:right w:val="single" w:color="auto" w:sz="4" w:space="0"/>
            </w:tcBorders>
            <w:shd w:val="clear" w:color="000000" w:fill="FFFFFF"/>
            <w:noWrap/>
            <w:vAlign w:val="center"/>
          </w:tcPr>
          <w:p w14:paraId="4B550348">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1</w:t>
            </w:r>
          </w:p>
        </w:tc>
        <w:tc>
          <w:tcPr>
            <w:tcW w:w="1366" w:type="pct"/>
            <w:tcBorders>
              <w:top w:val="nil"/>
              <w:left w:val="nil"/>
              <w:bottom w:val="single" w:color="auto" w:sz="4" w:space="0"/>
              <w:right w:val="single" w:color="000000" w:sz="4" w:space="0"/>
            </w:tcBorders>
            <w:shd w:val="clear" w:color="000000" w:fill="FFFFFF"/>
            <w:noWrap/>
            <w:vAlign w:val="center"/>
          </w:tcPr>
          <w:p w14:paraId="36EF4494">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N₂有2个气路点</w:t>
            </w:r>
          </w:p>
        </w:tc>
      </w:tr>
      <w:tr w14:paraId="1EC1F9EC">
        <w:tblPrEx>
          <w:tblCellMar>
            <w:top w:w="0" w:type="dxa"/>
            <w:left w:w="108" w:type="dxa"/>
            <w:bottom w:w="0" w:type="dxa"/>
            <w:right w:w="108" w:type="dxa"/>
          </w:tblCellMar>
        </w:tblPrEx>
        <w:trPr>
          <w:trHeight w:val="660" w:hRule="atLeast"/>
          <w:jc w:val="center"/>
        </w:trPr>
        <w:tc>
          <w:tcPr>
            <w:tcW w:w="28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77B6F07">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5</w:t>
            </w:r>
          </w:p>
        </w:tc>
        <w:tc>
          <w:tcPr>
            <w:tcW w:w="351" w:type="pct"/>
            <w:tcBorders>
              <w:top w:val="single" w:color="auto" w:sz="4" w:space="0"/>
              <w:left w:val="nil"/>
              <w:bottom w:val="single" w:color="auto" w:sz="4" w:space="0"/>
              <w:right w:val="single" w:color="auto" w:sz="4" w:space="0"/>
            </w:tcBorders>
            <w:shd w:val="clear" w:color="000000" w:fill="FFFFFF"/>
            <w:noWrap w:val="0"/>
            <w:vAlign w:val="center"/>
          </w:tcPr>
          <w:p w14:paraId="52D78DE2">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524</w:t>
            </w:r>
          </w:p>
        </w:tc>
        <w:tc>
          <w:tcPr>
            <w:tcW w:w="245" w:type="pct"/>
            <w:tcBorders>
              <w:top w:val="single" w:color="auto" w:sz="4" w:space="0"/>
              <w:left w:val="nil"/>
              <w:bottom w:val="single" w:color="auto" w:sz="4" w:space="0"/>
              <w:right w:val="single" w:color="auto" w:sz="4" w:space="0"/>
            </w:tcBorders>
            <w:shd w:val="clear" w:color="000000" w:fill="FFFFFF"/>
            <w:noWrap/>
            <w:vAlign w:val="center"/>
          </w:tcPr>
          <w:p w14:paraId="6C4413E0">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N2</w:t>
            </w:r>
          </w:p>
        </w:tc>
        <w:tc>
          <w:tcPr>
            <w:tcW w:w="278" w:type="pct"/>
            <w:tcBorders>
              <w:top w:val="single" w:color="auto" w:sz="4" w:space="0"/>
              <w:left w:val="nil"/>
              <w:bottom w:val="single" w:color="auto" w:sz="4" w:space="0"/>
              <w:right w:val="single" w:color="auto" w:sz="4" w:space="0"/>
            </w:tcBorders>
            <w:shd w:val="clear" w:color="000000" w:fill="FFFFFF"/>
            <w:noWrap/>
            <w:vAlign w:val="center"/>
          </w:tcPr>
          <w:p w14:paraId="4AD93B96">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Ar</w:t>
            </w:r>
          </w:p>
        </w:tc>
        <w:tc>
          <w:tcPr>
            <w:tcW w:w="319" w:type="pct"/>
            <w:tcBorders>
              <w:top w:val="single" w:color="auto" w:sz="4" w:space="0"/>
              <w:left w:val="nil"/>
              <w:bottom w:val="single" w:color="auto" w:sz="4" w:space="0"/>
              <w:right w:val="single" w:color="auto" w:sz="4" w:space="0"/>
            </w:tcBorders>
            <w:shd w:val="clear" w:color="000000" w:fill="FFFFFF"/>
            <w:noWrap/>
            <w:vAlign w:val="center"/>
          </w:tcPr>
          <w:p w14:paraId="48B393A4">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CO2</w:t>
            </w:r>
          </w:p>
        </w:tc>
        <w:tc>
          <w:tcPr>
            <w:tcW w:w="286" w:type="pct"/>
            <w:tcBorders>
              <w:top w:val="single" w:color="auto" w:sz="4" w:space="0"/>
              <w:left w:val="nil"/>
              <w:bottom w:val="single" w:color="auto" w:sz="4" w:space="0"/>
              <w:right w:val="single" w:color="auto" w:sz="4" w:space="0"/>
            </w:tcBorders>
            <w:shd w:val="clear" w:color="000000" w:fill="FFFFFF"/>
            <w:noWrap/>
            <w:vAlign w:val="center"/>
          </w:tcPr>
          <w:p w14:paraId="6B329FDE">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294" w:type="pct"/>
            <w:tcBorders>
              <w:top w:val="single" w:color="auto" w:sz="4" w:space="0"/>
              <w:left w:val="nil"/>
              <w:bottom w:val="single" w:color="auto" w:sz="4" w:space="0"/>
              <w:right w:val="nil"/>
            </w:tcBorders>
            <w:shd w:val="clear" w:color="000000" w:fill="FFFFFF"/>
            <w:noWrap/>
            <w:vAlign w:val="center"/>
          </w:tcPr>
          <w:p w14:paraId="0856CDDB">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H₂</w:t>
            </w:r>
          </w:p>
        </w:tc>
        <w:tc>
          <w:tcPr>
            <w:tcW w:w="36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8B59C4B">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433" w:type="pct"/>
            <w:tcBorders>
              <w:top w:val="single" w:color="auto" w:sz="4" w:space="0"/>
              <w:left w:val="nil"/>
              <w:bottom w:val="single" w:color="auto" w:sz="4" w:space="0"/>
              <w:right w:val="single" w:color="auto" w:sz="4" w:space="0"/>
            </w:tcBorders>
            <w:shd w:val="clear" w:color="000000" w:fill="FFFFFF"/>
            <w:noWrap/>
            <w:vAlign w:val="center"/>
          </w:tcPr>
          <w:p w14:paraId="264FECFB">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450" w:type="pct"/>
            <w:tcBorders>
              <w:top w:val="single" w:color="auto" w:sz="4" w:space="0"/>
              <w:left w:val="nil"/>
              <w:bottom w:val="single" w:color="auto" w:sz="4" w:space="0"/>
              <w:right w:val="single" w:color="auto" w:sz="4" w:space="0"/>
            </w:tcBorders>
            <w:shd w:val="clear" w:color="000000" w:fill="FFFFFF"/>
            <w:noWrap/>
            <w:vAlign w:val="center"/>
          </w:tcPr>
          <w:p w14:paraId="2F3056C2">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327" w:type="pct"/>
            <w:tcBorders>
              <w:top w:val="single" w:color="auto" w:sz="4" w:space="0"/>
              <w:left w:val="nil"/>
              <w:bottom w:val="single" w:color="auto" w:sz="4" w:space="0"/>
              <w:right w:val="single" w:color="auto" w:sz="4" w:space="0"/>
            </w:tcBorders>
            <w:shd w:val="clear" w:color="000000" w:fill="FFFFFF"/>
            <w:noWrap/>
            <w:vAlign w:val="center"/>
          </w:tcPr>
          <w:p w14:paraId="299C2C9C">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4</w:t>
            </w:r>
          </w:p>
        </w:tc>
        <w:tc>
          <w:tcPr>
            <w:tcW w:w="1366" w:type="pct"/>
            <w:tcBorders>
              <w:top w:val="single" w:color="auto" w:sz="4" w:space="0"/>
              <w:left w:val="nil"/>
              <w:bottom w:val="single" w:color="auto" w:sz="4" w:space="0"/>
              <w:right w:val="single" w:color="000000" w:sz="4" w:space="0"/>
            </w:tcBorders>
            <w:shd w:val="clear" w:color="000000" w:fill="FFFFFF"/>
            <w:noWrap/>
            <w:vAlign w:val="center"/>
          </w:tcPr>
          <w:p w14:paraId="20FB4EA5">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N₂,Ar，CO₂,H₂各2个气路点</w:t>
            </w:r>
          </w:p>
        </w:tc>
      </w:tr>
      <w:tr w14:paraId="22CE2AC9">
        <w:tblPrEx>
          <w:tblCellMar>
            <w:top w:w="0" w:type="dxa"/>
            <w:left w:w="108" w:type="dxa"/>
            <w:bottom w:w="0" w:type="dxa"/>
            <w:right w:w="108" w:type="dxa"/>
          </w:tblCellMar>
        </w:tblPrEx>
        <w:trPr>
          <w:trHeight w:val="535" w:hRule="atLeast"/>
          <w:jc w:val="center"/>
        </w:trPr>
        <w:tc>
          <w:tcPr>
            <w:tcW w:w="2855" w:type="pct"/>
            <w:gridSpan w:val="9"/>
            <w:tcBorders>
              <w:top w:val="single" w:color="auto" w:sz="4" w:space="0"/>
              <w:left w:val="single" w:color="auto" w:sz="4" w:space="0"/>
              <w:bottom w:val="single" w:color="auto" w:sz="4" w:space="0"/>
              <w:right w:val="single" w:color="auto" w:sz="4" w:space="0"/>
            </w:tcBorders>
            <w:shd w:val="clear" w:color="000000" w:fill="FFFFFF"/>
            <w:noWrap/>
            <w:vAlign w:val="center"/>
          </w:tcPr>
          <w:p w14:paraId="7B5D5CB2">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六楼</w:t>
            </w:r>
          </w:p>
        </w:tc>
        <w:tc>
          <w:tcPr>
            <w:tcW w:w="45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69CD700">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32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6EBC53B">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136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23CF1D2">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r>
      <w:tr w14:paraId="4825D3F1">
        <w:tblPrEx>
          <w:tblCellMar>
            <w:top w:w="0" w:type="dxa"/>
            <w:left w:w="108" w:type="dxa"/>
            <w:bottom w:w="0" w:type="dxa"/>
            <w:right w:w="108" w:type="dxa"/>
          </w:tblCellMar>
        </w:tblPrEx>
        <w:trPr>
          <w:trHeight w:val="660" w:hRule="atLeast"/>
          <w:jc w:val="center"/>
        </w:trPr>
        <w:tc>
          <w:tcPr>
            <w:tcW w:w="28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2A245B0">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1</w:t>
            </w:r>
          </w:p>
        </w:tc>
        <w:tc>
          <w:tcPr>
            <w:tcW w:w="351" w:type="pct"/>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07091E1E">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631</w:t>
            </w:r>
          </w:p>
        </w:tc>
        <w:tc>
          <w:tcPr>
            <w:tcW w:w="245"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4808439">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N₂</w:t>
            </w:r>
          </w:p>
        </w:tc>
        <w:tc>
          <w:tcPr>
            <w:tcW w:w="27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A171DE4">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Ar</w:t>
            </w:r>
          </w:p>
        </w:tc>
        <w:tc>
          <w:tcPr>
            <w:tcW w:w="31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1D64631">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28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9AFC6BA">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29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2C379C7">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36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7804433">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43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E439C05">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45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046C4CC">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32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318E999">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2</w:t>
            </w:r>
          </w:p>
        </w:tc>
        <w:tc>
          <w:tcPr>
            <w:tcW w:w="136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453E05B">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N₂,Ar各2个气路点</w:t>
            </w:r>
          </w:p>
        </w:tc>
      </w:tr>
      <w:tr w14:paraId="798B0A72">
        <w:tblPrEx>
          <w:tblCellMar>
            <w:top w:w="0" w:type="dxa"/>
            <w:left w:w="108" w:type="dxa"/>
            <w:bottom w:w="0" w:type="dxa"/>
            <w:right w:w="108" w:type="dxa"/>
          </w:tblCellMar>
        </w:tblPrEx>
        <w:trPr>
          <w:trHeight w:val="660" w:hRule="atLeast"/>
          <w:jc w:val="center"/>
        </w:trPr>
        <w:tc>
          <w:tcPr>
            <w:tcW w:w="5000" w:type="pct"/>
            <w:gridSpan w:val="12"/>
            <w:tcBorders>
              <w:top w:val="single" w:color="auto" w:sz="4" w:space="0"/>
              <w:left w:val="single" w:color="auto" w:sz="4" w:space="0"/>
              <w:bottom w:val="single" w:color="auto" w:sz="4" w:space="0"/>
              <w:right w:val="single" w:color="auto" w:sz="4" w:space="0"/>
            </w:tcBorders>
            <w:shd w:val="clear" w:color="000000" w:fill="FFFFFF"/>
            <w:noWrap/>
            <w:vAlign w:val="center"/>
          </w:tcPr>
          <w:p w14:paraId="7D869593">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气体纯度要求：99.999</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rPr>
              <w:t>，用气终端压力：0-1.6MPa，气体流量：0-50L/min。</w:t>
            </w:r>
          </w:p>
          <w:p w14:paraId="1A22D357">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投标商应结合现场情况，按照国家法律法规提出科学的管路敷设方案。</w:t>
            </w:r>
          </w:p>
        </w:tc>
      </w:tr>
    </w:tbl>
    <w:p w14:paraId="4B5A958D">
      <w:pP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eastAsia="zh-CN"/>
        </w:rPr>
        <w:br w:type="page"/>
      </w:r>
      <w:r>
        <w:rPr>
          <w:rFonts w:hint="default" w:ascii="Times New Roman" w:hAnsi="Times New Roman" w:cs="Times New Roman"/>
          <w:color w:val="auto"/>
          <w:highlight w:val="none"/>
          <w:lang w:val="en-US" w:eastAsia="zh-CN"/>
        </w:rPr>
        <w:t>图纸：</w:t>
      </w:r>
    </w:p>
    <w:p w14:paraId="76F4064F">
      <w:pPr>
        <w:rPr>
          <w:rFonts w:hint="default" w:ascii="Times New Roman" w:hAnsi="Times New Roman" w:cs="Times New Roman"/>
          <w:color w:val="auto"/>
          <w:highlight w:val="none"/>
          <w:lang w:eastAsia="zh-CN"/>
        </w:rPr>
      </w:pPr>
    </w:p>
    <w:p w14:paraId="5F4E164C">
      <w:pPr>
        <w:numPr>
          <w:ilvl w:val="0"/>
          <w:numId w:val="0"/>
        </w:numPr>
        <w:jc w:val="center"/>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drawing>
          <wp:inline distT="0" distB="0" distL="114300" distR="114300">
            <wp:extent cx="5273040" cy="3323590"/>
            <wp:effectExtent l="0" t="0" r="3810" b="10160"/>
            <wp:docPr id="15" name="图片 1" descr="8f8cec61-ed57-4725-8082-8941d5ce65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 descr="8f8cec61-ed57-4725-8082-8941d5ce65ab"/>
                    <pic:cNvPicPr>
                      <a:picLocks noChangeAspect="1"/>
                    </pic:cNvPicPr>
                  </pic:nvPicPr>
                  <pic:blipFill>
                    <a:blip r:embed="rId10"/>
                    <a:stretch>
                      <a:fillRect/>
                    </a:stretch>
                  </pic:blipFill>
                  <pic:spPr>
                    <a:xfrm>
                      <a:off x="0" y="0"/>
                      <a:ext cx="5273040" cy="3323590"/>
                    </a:xfrm>
                    <a:prstGeom prst="rect">
                      <a:avLst/>
                    </a:prstGeom>
                    <a:noFill/>
                    <a:ln>
                      <a:noFill/>
                    </a:ln>
                  </pic:spPr>
                </pic:pic>
              </a:graphicData>
            </a:graphic>
          </wp:inline>
        </w:drawing>
      </w:r>
    </w:p>
    <w:p w14:paraId="2A50EEDF">
      <w:pPr>
        <w:numPr>
          <w:ilvl w:val="0"/>
          <w:numId w:val="0"/>
        </w:numPr>
        <w:rPr>
          <w:rFonts w:hint="default" w:ascii="Times New Roman" w:hAnsi="Times New Roman" w:cs="Times New Roman"/>
          <w:color w:val="auto"/>
          <w:highlight w:val="none"/>
          <w:lang w:eastAsia="zh-CN"/>
        </w:rPr>
      </w:pPr>
    </w:p>
    <w:p w14:paraId="7909B491">
      <w:pPr>
        <w:numPr>
          <w:ilvl w:val="0"/>
          <w:numId w:val="0"/>
        </w:numPr>
        <w:rPr>
          <w:rFonts w:hint="default" w:ascii="Times New Roman" w:hAnsi="Times New Roman" w:cs="Times New Roman"/>
          <w:color w:val="auto"/>
          <w:highlight w:val="none"/>
          <w:lang w:eastAsia="zh-CN"/>
        </w:rPr>
      </w:pPr>
    </w:p>
    <w:p w14:paraId="542D0258">
      <w:pPr>
        <w:numPr>
          <w:ilvl w:val="0"/>
          <w:numId w:val="0"/>
        </w:numPr>
        <w:jc w:val="center"/>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drawing>
          <wp:inline distT="0" distB="0" distL="114300" distR="114300">
            <wp:extent cx="5273675" cy="2472690"/>
            <wp:effectExtent l="0" t="0" r="3175" b="3810"/>
            <wp:docPr id="20" name="图片 2" descr="093bdb38-8df7-48da-a8cc-3e87fccd78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 descr="093bdb38-8df7-48da-a8cc-3e87fccd784c"/>
                    <pic:cNvPicPr>
                      <a:picLocks noChangeAspect="1"/>
                    </pic:cNvPicPr>
                  </pic:nvPicPr>
                  <pic:blipFill>
                    <a:blip r:embed="rId11"/>
                    <a:stretch>
                      <a:fillRect/>
                    </a:stretch>
                  </pic:blipFill>
                  <pic:spPr>
                    <a:xfrm>
                      <a:off x="0" y="0"/>
                      <a:ext cx="5273675" cy="2472690"/>
                    </a:xfrm>
                    <a:prstGeom prst="rect">
                      <a:avLst/>
                    </a:prstGeom>
                    <a:noFill/>
                    <a:ln>
                      <a:noFill/>
                    </a:ln>
                  </pic:spPr>
                </pic:pic>
              </a:graphicData>
            </a:graphic>
          </wp:inline>
        </w:drawing>
      </w:r>
    </w:p>
    <w:p w14:paraId="10FDFBEA">
      <w:pPr>
        <w:numPr>
          <w:ilvl w:val="0"/>
          <w:numId w:val="0"/>
        </w:numPr>
        <w:rPr>
          <w:rFonts w:hint="default" w:ascii="Times New Roman" w:hAnsi="Times New Roman" w:cs="Times New Roman"/>
          <w:color w:val="auto"/>
          <w:highlight w:val="none"/>
          <w:lang w:eastAsia="zh-CN"/>
        </w:rPr>
      </w:pPr>
    </w:p>
    <w:p w14:paraId="25F6967A">
      <w:pPr>
        <w:numPr>
          <w:ilvl w:val="0"/>
          <w:numId w:val="0"/>
        </w:numPr>
        <w:jc w:val="center"/>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drawing>
          <wp:inline distT="0" distB="0" distL="114300" distR="114300">
            <wp:extent cx="5269865" cy="2459990"/>
            <wp:effectExtent l="0" t="0" r="6985" b="16510"/>
            <wp:docPr id="13" name="图片 3" descr="649b8655-c49d-46bd-a7b7-fabc7a0d6bf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 descr="649b8655-c49d-46bd-a7b7-fabc7a0d6bf1"/>
                    <pic:cNvPicPr>
                      <a:picLocks noChangeAspect="1"/>
                    </pic:cNvPicPr>
                  </pic:nvPicPr>
                  <pic:blipFill>
                    <a:blip r:embed="rId12"/>
                    <a:stretch>
                      <a:fillRect/>
                    </a:stretch>
                  </pic:blipFill>
                  <pic:spPr>
                    <a:xfrm>
                      <a:off x="0" y="0"/>
                      <a:ext cx="5269865" cy="2459990"/>
                    </a:xfrm>
                    <a:prstGeom prst="rect">
                      <a:avLst/>
                    </a:prstGeom>
                    <a:noFill/>
                    <a:ln>
                      <a:noFill/>
                    </a:ln>
                  </pic:spPr>
                </pic:pic>
              </a:graphicData>
            </a:graphic>
          </wp:inline>
        </w:drawing>
      </w:r>
    </w:p>
    <w:p w14:paraId="03805CC0">
      <w:pPr>
        <w:numPr>
          <w:ilvl w:val="0"/>
          <w:numId w:val="0"/>
        </w:numPr>
        <w:jc w:val="center"/>
        <w:rPr>
          <w:rFonts w:hint="default" w:ascii="Times New Roman" w:hAnsi="Times New Roman" w:cs="Times New Roman"/>
          <w:color w:val="auto"/>
          <w:highlight w:val="none"/>
          <w:lang w:eastAsia="zh-CN"/>
        </w:rPr>
      </w:pPr>
    </w:p>
    <w:p w14:paraId="39EFF81F">
      <w:pPr>
        <w:numPr>
          <w:ilvl w:val="0"/>
          <w:numId w:val="0"/>
        </w:numPr>
        <w:jc w:val="center"/>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drawing>
          <wp:inline distT="0" distB="0" distL="114300" distR="114300">
            <wp:extent cx="5264150" cy="2451735"/>
            <wp:effectExtent l="0" t="0" r="12700" b="5715"/>
            <wp:docPr id="17" name="图片 4" descr="75349eb2-29b3-44a0-9363-0e8b59a55a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4" descr="75349eb2-29b3-44a0-9363-0e8b59a55a45"/>
                    <pic:cNvPicPr>
                      <a:picLocks noChangeAspect="1"/>
                    </pic:cNvPicPr>
                  </pic:nvPicPr>
                  <pic:blipFill>
                    <a:blip r:embed="rId13"/>
                    <a:stretch>
                      <a:fillRect/>
                    </a:stretch>
                  </pic:blipFill>
                  <pic:spPr>
                    <a:xfrm>
                      <a:off x="0" y="0"/>
                      <a:ext cx="5264150" cy="2451735"/>
                    </a:xfrm>
                    <a:prstGeom prst="rect">
                      <a:avLst/>
                    </a:prstGeom>
                    <a:noFill/>
                    <a:ln>
                      <a:noFill/>
                    </a:ln>
                  </pic:spPr>
                </pic:pic>
              </a:graphicData>
            </a:graphic>
          </wp:inline>
        </w:drawing>
      </w:r>
    </w:p>
    <w:p w14:paraId="14164D9E">
      <w:pPr>
        <w:numPr>
          <w:ilvl w:val="0"/>
          <w:numId w:val="0"/>
        </w:numPr>
        <w:jc w:val="center"/>
        <w:rPr>
          <w:rFonts w:hint="default" w:ascii="Times New Roman" w:hAnsi="Times New Roman" w:cs="Times New Roman"/>
          <w:color w:val="auto"/>
          <w:highlight w:val="none"/>
          <w:lang w:eastAsia="zh-CN"/>
        </w:rPr>
      </w:pPr>
    </w:p>
    <w:p w14:paraId="5969580E">
      <w:pPr>
        <w:numPr>
          <w:ilvl w:val="0"/>
          <w:numId w:val="0"/>
        </w:numPr>
        <w:jc w:val="center"/>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drawing>
          <wp:inline distT="0" distB="0" distL="114300" distR="114300">
            <wp:extent cx="5260340" cy="2465070"/>
            <wp:effectExtent l="0" t="0" r="16510" b="11430"/>
            <wp:docPr id="8" name="图片 5" descr="d42178dd-0ade-404b-98b9-5330f6a394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 descr="d42178dd-0ade-404b-98b9-5330f6a394a5"/>
                    <pic:cNvPicPr>
                      <a:picLocks noChangeAspect="1"/>
                    </pic:cNvPicPr>
                  </pic:nvPicPr>
                  <pic:blipFill>
                    <a:blip r:embed="rId14"/>
                    <a:stretch>
                      <a:fillRect/>
                    </a:stretch>
                  </pic:blipFill>
                  <pic:spPr>
                    <a:xfrm>
                      <a:off x="0" y="0"/>
                      <a:ext cx="5260340" cy="2465070"/>
                    </a:xfrm>
                    <a:prstGeom prst="rect">
                      <a:avLst/>
                    </a:prstGeom>
                    <a:noFill/>
                    <a:ln>
                      <a:noFill/>
                    </a:ln>
                  </pic:spPr>
                </pic:pic>
              </a:graphicData>
            </a:graphic>
          </wp:inline>
        </w:drawing>
      </w:r>
    </w:p>
    <w:p w14:paraId="0D35D610">
      <w:pPr>
        <w:numPr>
          <w:ilvl w:val="0"/>
          <w:numId w:val="0"/>
        </w:numPr>
        <w:jc w:val="center"/>
        <w:rPr>
          <w:rFonts w:hint="default" w:ascii="Times New Roman" w:hAnsi="Times New Roman" w:cs="Times New Roman"/>
          <w:color w:val="auto"/>
          <w:highlight w:val="none"/>
          <w:lang w:eastAsia="zh-CN"/>
        </w:rPr>
      </w:pPr>
    </w:p>
    <w:p w14:paraId="7AB86B59">
      <w:pPr>
        <w:numPr>
          <w:ilvl w:val="0"/>
          <w:numId w:val="0"/>
        </w:numPr>
        <w:jc w:val="center"/>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drawing>
          <wp:inline distT="0" distB="0" distL="114300" distR="114300">
            <wp:extent cx="5262880" cy="2461895"/>
            <wp:effectExtent l="0" t="0" r="13970" b="14605"/>
            <wp:docPr id="11" name="图片 6" descr="f47522bf-63e0-4fab-b246-85d45a2614f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6" descr="f47522bf-63e0-4fab-b246-85d45a2614f4"/>
                    <pic:cNvPicPr>
                      <a:picLocks noChangeAspect="1"/>
                    </pic:cNvPicPr>
                  </pic:nvPicPr>
                  <pic:blipFill>
                    <a:blip r:embed="rId15"/>
                    <a:stretch>
                      <a:fillRect/>
                    </a:stretch>
                  </pic:blipFill>
                  <pic:spPr>
                    <a:xfrm>
                      <a:off x="0" y="0"/>
                      <a:ext cx="5262880" cy="2461895"/>
                    </a:xfrm>
                    <a:prstGeom prst="rect">
                      <a:avLst/>
                    </a:prstGeom>
                    <a:noFill/>
                    <a:ln>
                      <a:noFill/>
                    </a:ln>
                  </pic:spPr>
                </pic:pic>
              </a:graphicData>
            </a:graphic>
          </wp:inline>
        </w:drawing>
      </w:r>
    </w:p>
    <w:p w14:paraId="485DB2C9">
      <w:pPr>
        <w:numPr>
          <w:ilvl w:val="0"/>
          <w:numId w:val="0"/>
        </w:numPr>
        <w:jc w:val="center"/>
        <w:rPr>
          <w:rFonts w:hint="default" w:ascii="Times New Roman" w:hAnsi="Times New Roman" w:cs="Times New Roman"/>
          <w:color w:val="auto"/>
          <w:highlight w:val="none"/>
          <w:lang w:eastAsia="zh-CN"/>
        </w:rPr>
      </w:pPr>
    </w:p>
    <w:p w14:paraId="37EE3C99">
      <w:pPr>
        <w:numPr>
          <w:ilvl w:val="0"/>
          <w:numId w:val="0"/>
        </w:numPr>
        <w:jc w:val="center"/>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drawing>
          <wp:inline distT="0" distB="0" distL="114300" distR="114300">
            <wp:extent cx="5273040" cy="3296285"/>
            <wp:effectExtent l="0" t="0" r="3810" b="18415"/>
            <wp:docPr id="3" name="图片 7" descr="928e8ad9-8b7f-405e-9eb8-a8ca4928b11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7" descr="928e8ad9-8b7f-405e-9eb8-a8ca4928b11f"/>
                    <pic:cNvPicPr>
                      <a:picLocks noChangeAspect="1"/>
                    </pic:cNvPicPr>
                  </pic:nvPicPr>
                  <pic:blipFill>
                    <a:blip r:embed="rId16"/>
                    <a:stretch>
                      <a:fillRect/>
                    </a:stretch>
                  </pic:blipFill>
                  <pic:spPr>
                    <a:xfrm>
                      <a:off x="0" y="0"/>
                      <a:ext cx="5273040" cy="3296285"/>
                    </a:xfrm>
                    <a:prstGeom prst="rect">
                      <a:avLst/>
                    </a:prstGeom>
                    <a:noFill/>
                    <a:ln>
                      <a:noFill/>
                    </a:ln>
                  </pic:spPr>
                </pic:pic>
              </a:graphicData>
            </a:graphic>
          </wp:inline>
        </w:drawing>
      </w:r>
    </w:p>
    <w:p w14:paraId="640FE220">
      <w:pPr>
        <w:numPr>
          <w:ilvl w:val="0"/>
          <w:numId w:val="0"/>
        </w:numPr>
        <w:jc w:val="center"/>
        <w:rPr>
          <w:rFonts w:hint="default" w:ascii="Times New Roman" w:hAnsi="Times New Roman" w:cs="Times New Roman"/>
          <w:color w:val="auto"/>
          <w:highlight w:val="none"/>
        </w:rPr>
      </w:pPr>
    </w:p>
    <w:p w14:paraId="4D157ADC">
      <w:pPr>
        <w:numPr>
          <w:ilvl w:val="0"/>
          <w:numId w:val="0"/>
        </w:numPr>
        <w:jc w:val="center"/>
        <w:rPr>
          <w:rFonts w:hint="default" w:ascii="Times New Roman" w:hAnsi="Times New Roman" w:cs="Times New Roman"/>
          <w:color w:val="auto"/>
          <w:highlight w:val="none"/>
        </w:rPr>
      </w:pPr>
    </w:p>
    <w:p w14:paraId="310F04C6">
      <w:pPr>
        <w:numPr>
          <w:ilvl w:val="0"/>
          <w:numId w:val="0"/>
        </w:numPr>
        <w:jc w:val="center"/>
        <w:rPr>
          <w:rFonts w:hint="default" w:ascii="Times New Roman" w:hAnsi="Times New Roman" w:cs="Times New Roman"/>
          <w:color w:val="auto"/>
          <w:highlight w:val="none"/>
        </w:rPr>
      </w:pPr>
    </w:p>
    <w:p w14:paraId="5AFDB922">
      <w:pPr>
        <w:numPr>
          <w:ilvl w:val="0"/>
          <w:numId w:val="0"/>
        </w:numPr>
        <w:jc w:val="center"/>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drawing>
          <wp:inline distT="0" distB="0" distL="114300" distR="114300">
            <wp:extent cx="5269230" cy="2461260"/>
            <wp:effectExtent l="0" t="0" r="7620" b="15240"/>
            <wp:docPr id="4" name="图片 8" descr="553fdb78-1fa2-4b2e-904e-486ce052c1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8" descr="553fdb78-1fa2-4b2e-904e-486ce052c1d2"/>
                    <pic:cNvPicPr>
                      <a:picLocks noChangeAspect="1"/>
                    </pic:cNvPicPr>
                  </pic:nvPicPr>
                  <pic:blipFill>
                    <a:blip r:embed="rId17"/>
                    <a:stretch>
                      <a:fillRect/>
                    </a:stretch>
                  </pic:blipFill>
                  <pic:spPr>
                    <a:xfrm>
                      <a:off x="0" y="0"/>
                      <a:ext cx="5269230" cy="2461260"/>
                    </a:xfrm>
                    <a:prstGeom prst="rect">
                      <a:avLst/>
                    </a:prstGeom>
                    <a:noFill/>
                    <a:ln>
                      <a:noFill/>
                    </a:ln>
                  </pic:spPr>
                </pic:pic>
              </a:graphicData>
            </a:graphic>
          </wp:inline>
        </w:drawing>
      </w:r>
    </w:p>
    <w:p w14:paraId="7D4E62F7">
      <w:pPr>
        <w:numPr>
          <w:ilvl w:val="0"/>
          <w:numId w:val="0"/>
        </w:numPr>
        <w:jc w:val="center"/>
        <w:rPr>
          <w:rFonts w:hint="default" w:ascii="Times New Roman" w:hAnsi="Times New Roman" w:cs="Times New Roman"/>
          <w:color w:val="auto"/>
          <w:highlight w:val="none"/>
        </w:rPr>
      </w:pPr>
    </w:p>
    <w:p w14:paraId="5B0386E3">
      <w:pPr>
        <w:numPr>
          <w:ilvl w:val="0"/>
          <w:numId w:val="0"/>
        </w:numPr>
        <w:jc w:val="center"/>
        <w:rPr>
          <w:rFonts w:hint="default" w:ascii="Times New Roman" w:hAnsi="Times New Roman" w:cs="Times New Roman"/>
          <w:color w:val="auto"/>
          <w:highlight w:val="none"/>
        </w:rPr>
      </w:pPr>
    </w:p>
    <w:p w14:paraId="65A4B006">
      <w:pPr>
        <w:numPr>
          <w:ilvl w:val="0"/>
          <w:numId w:val="0"/>
        </w:numPr>
        <w:jc w:val="center"/>
        <w:rPr>
          <w:rFonts w:hint="default" w:ascii="Times New Roman" w:hAnsi="Times New Roman" w:cs="Times New Roman"/>
          <w:color w:val="auto"/>
          <w:highlight w:val="none"/>
        </w:rPr>
      </w:pPr>
    </w:p>
    <w:p w14:paraId="3E1A2738">
      <w:pPr>
        <w:numPr>
          <w:ilvl w:val="0"/>
          <w:numId w:val="0"/>
        </w:numPr>
        <w:jc w:val="center"/>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drawing>
          <wp:inline distT="0" distB="0" distL="114300" distR="114300">
            <wp:extent cx="5273675" cy="2472690"/>
            <wp:effectExtent l="0" t="0" r="3175" b="3810"/>
            <wp:docPr id="19" name="图片 9" descr="10ce771a-f3ce-412c-8ded-ee6a9797298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9" descr="10ce771a-f3ce-412c-8ded-ee6a9797298c"/>
                    <pic:cNvPicPr>
                      <a:picLocks noChangeAspect="1"/>
                    </pic:cNvPicPr>
                  </pic:nvPicPr>
                  <pic:blipFill>
                    <a:blip r:embed="rId18"/>
                    <a:stretch>
                      <a:fillRect/>
                    </a:stretch>
                  </pic:blipFill>
                  <pic:spPr>
                    <a:xfrm>
                      <a:off x="0" y="0"/>
                      <a:ext cx="5273675" cy="2472690"/>
                    </a:xfrm>
                    <a:prstGeom prst="rect">
                      <a:avLst/>
                    </a:prstGeom>
                    <a:noFill/>
                    <a:ln>
                      <a:noFill/>
                    </a:ln>
                  </pic:spPr>
                </pic:pic>
              </a:graphicData>
            </a:graphic>
          </wp:inline>
        </w:drawing>
      </w:r>
    </w:p>
    <w:p w14:paraId="05D1E0FA">
      <w:pPr>
        <w:numPr>
          <w:ilvl w:val="0"/>
          <w:numId w:val="0"/>
        </w:numPr>
        <w:jc w:val="center"/>
        <w:rPr>
          <w:rFonts w:hint="default" w:ascii="Times New Roman" w:hAnsi="Times New Roman" w:cs="Times New Roman"/>
          <w:color w:val="auto"/>
          <w:highlight w:val="none"/>
        </w:rPr>
      </w:pPr>
    </w:p>
    <w:p w14:paraId="4CD88D30">
      <w:pPr>
        <w:numPr>
          <w:ilvl w:val="0"/>
          <w:numId w:val="0"/>
        </w:numPr>
        <w:jc w:val="center"/>
        <w:rPr>
          <w:rFonts w:hint="default" w:ascii="Times New Roman" w:hAnsi="Times New Roman" w:cs="Times New Roman"/>
          <w:color w:val="auto"/>
          <w:highlight w:val="none"/>
        </w:rPr>
      </w:pPr>
    </w:p>
    <w:p w14:paraId="58010456">
      <w:pPr>
        <w:numPr>
          <w:ilvl w:val="0"/>
          <w:numId w:val="0"/>
        </w:numPr>
        <w:jc w:val="center"/>
        <w:rPr>
          <w:rFonts w:hint="default" w:ascii="Times New Roman" w:hAnsi="Times New Roman" w:cs="Times New Roman"/>
          <w:color w:val="auto"/>
          <w:highlight w:val="none"/>
        </w:rPr>
      </w:pPr>
    </w:p>
    <w:p w14:paraId="76EEE694">
      <w:pPr>
        <w:numPr>
          <w:ilvl w:val="0"/>
          <w:numId w:val="0"/>
        </w:numPr>
        <w:jc w:val="center"/>
        <w:rPr>
          <w:rFonts w:hint="default" w:ascii="Times New Roman" w:hAnsi="Times New Roman" w:cs="Times New Roman"/>
          <w:color w:val="auto"/>
          <w:highlight w:val="none"/>
        </w:rPr>
      </w:pPr>
    </w:p>
    <w:p w14:paraId="206A107A">
      <w:pPr>
        <w:numPr>
          <w:ilvl w:val="0"/>
          <w:numId w:val="0"/>
        </w:numPr>
        <w:jc w:val="center"/>
        <w:rPr>
          <w:rFonts w:hint="default" w:ascii="Times New Roman" w:hAnsi="Times New Roman" w:cs="Times New Roman"/>
          <w:color w:val="auto"/>
          <w:highlight w:val="none"/>
        </w:rPr>
      </w:pPr>
    </w:p>
    <w:p w14:paraId="6208675A">
      <w:pPr>
        <w:numPr>
          <w:ilvl w:val="0"/>
          <w:numId w:val="0"/>
        </w:numPr>
        <w:jc w:val="center"/>
        <w:rPr>
          <w:rFonts w:hint="default" w:ascii="Times New Roman" w:hAnsi="Times New Roman" w:cs="Times New Roman"/>
          <w:color w:val="auto"/>
          <w:highlight w:val="none"/>
        </w:rPr>
      </w:pPr>
    </w:p>
    <w:p w14:paraId="007BB445">
      <w:pPr>
        <w:numPr>
          <w:ilvl w:val="0"/>
          <w:numId w:val="0"/>
        </w:numPr>
        <w:jc w:val="center"/>
        <w:rPr>
          <w:rFonts w:hint="default" w:ascii="Times New Roman" w:hAnsi="Times New Roman" w:cs="Times New Roman"/>
          <w:color w:val="auto"/>
          <w:highlight w:val="none"/>
        </w:rPr>
      </w:pPr>
    </w:p>
    <w:p w14:paraId="7862517F">
      <w:pPr>
        <w:numPr>
          <w:ilvl w:val="0"/>
          <w:numId w:val="0"/>
        </w:numPr>
        <w:jc w:val="center"/>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drawing>
          <wp:inline distT="0" distB="0" distL="114300" distR="114300">
            <wp:extent cx="5269230" cy="2461260"/>
            <wp:effectExtent l="0" t="0" r="7620" b="15240"/>
            <wp:docPr id="18" name="图片 10" descr="df490c9d-81c0-4938-83fb-926077c772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0" descr="df490c9d-81c0-4938-83fb-926077c772e4"/>
                    <pic:cNvPicPr>
                      <a:picLocks noChangeAspect="1"/>
                    </pic:cNvPicPr>
                  </pic:nvPicPr>
                  <pic:blipFill>
                    <a:blip r:embed="rId19"/>
                    <a:stretch>
                      <a:fillRect/>
                    </a:stretch>
                  </pic:blipFill>
                  <pic:spPr>
                    <a:xfrm>
                      <a:off x="0" y="0"/>
                      <a:ext cx="5269230" cy="2461260"/>
                    </a:xfrm>
                    <a:prstGeom prst="rect">
                      <a:avLst/>
                    </a:prstGeom>
                    <a:noFill/>
                    <a:ln>
                      <a:noFill/>
                    </a:ln>
                  </pic:spPr>
                </pic:pic>
              </a:graphicData>
            </a:graphic>
          </wp:inline>
        </w:drawing>
      </w:r>
    </w:p>
    <w:p w14:paraId="61D07595">
      <w:pPr>
        <w:numPr>
          <w:ilvl w:val="0"/>
          <w:numId w:val="0"/>
        </w:numPr>
        <w:jc w:val="center"/>
        <w:rPr>
          <w:rFonts w:hint="default" w:ascii="Times New Roman" w:hAnsi="Times New Roman" w:cs="Times New Roman"/>
          <w:color w:val="auto"/>
          <w:highlight w:val="none"/>
        </w:rPr>
      </w:pPr>
    </w:p>
    <w:p w14:paraId="4A739547">
      <w:pPr>
        <w:numPr>
          <w:ilvl w:val="0"/>
          <w:numId w:val="0"/>
        </w:numPr>
        <w:jc w:val="center"/>
        <w:rPr>
          <w:rFonts w:hint="default" w:ascii="Times New Roman" w:hAnsi="Times New Roman" w:cs="Times New Roman"/>
          <w:color w:val="auto"/>
          <w:highlight w:val="none"/>
        </w:rPr>
      </w:pPr>
    </w:p>
    <w:p w14:paraId="62047794">
      <w:pPr>
        <w:numPr>
          <w:ilvl w:val="0"/>
          <w:numId w:val="0"/>
        </w:numPr>
        <w:jc w:val="center"/>
        <w:rPr>
          <w:rFonts w:hint="default" w:ascii="Times New Roman" w:hAnsi="Times New Roman" w:cs="Times New Roman"/>
          <w:color w:val="auto"/>
          <w:highlight w:val="none"/>
        </w:rPr>
      </w:pPr>
    </w:p>
    <w:p w14:paraId="4B865D73">
      <w:pPr>
        <w:numPr>
          <w:ilvl w:val="0"/>
          <w:numId w:val="0"/>
        </w:numPr>
        <w:jc w:val="center"/>
        <w:rPr>
          <w:rFonts w:hint="default" w:ascii="Times New Roman" w:hAnsi="Times New Roman" w:cs="Times New Roman"/>
          <w:color w:val="auto"/>
          <w:highlight w:val="none"/>
        </w:rPr>
      </w:pPr>
    </w:p>
    <w:p w14:paraId="42849091">
      <w:pPr>
        <w:numPr>
          <w:ilvl w:val="0"/>
          <w:numId w:val="0"/>
        </w:num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114300" distR="114300">
            <wp:extent cx="5271770" cy="2465705"/>
            <wp:effectExtent l="0" t="0" r="5080" b="10795"/>
            <wp:docPr id="25"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1"/>
                    <pic:cNvPicPr>
                      <a:picLocks noChangeAspect="1"/>
                    </pic:cNvPicPr>
                  </pic:nvPicPr>
                  <pic:blipFill>
                    <a:blip r:embed="rId20"/>
                    <a:stretch>
                      <a:fillRect/>
                    </a:stretch>
                  </pic:blipFill>
                  <pic:spPr>
                    <a:xfrm>
                      <a:off x="0" y="0"/>
                      <a:ext cx="5271770" cy="2465705"/>
                    </a:xfrm>
                    <a:prstGeom prst="rect">
                      <a:avLst/>
                    </a:prstGeom>
                    <a:noFill/>
                    <a:ln>
                      <a:noFill/>
                    </a:ln>
                  </pic:spPr>
                </pic:pic>
              </a:graphicData>
            </a:graphic>
          </wp:inline>
        </w:drawing>
      </w:r>
    </w:p>
    <w:p w14:paraId="7CD9FFDC">
      <w:pPr>
        <w:numPr>
          <w:ilvl w:val="0"/>
          <w:numId w:val="0"/>
        </w:numPr>
        <w:jc w:val="center"/>
        <w:rPr>
          <w:rFonts w:hint="default" w:ascii="Times New Roman" w:hAnsi="Times New Roman" w:cs="Times New Roman"/>
          <w:color w:val="auto"/>
          <w:highlight w:val="none"/>
        </w:rPr>
      </w:pPr>
    </w:p>
    <w:p w14:paraId="3D635D54">
      <w:pPr>
        <w:numPr>
          <w:ilvl w:val="0"/>
          <w:numId w:val="0"/>
        </w:numPr>
        <w:jc w:val="center"/>
        <w:rPr>
          <w:rFonts w:hint="default" w:ascii="Times New Roman" w:hAnsi="Times New Roman" w:cs="Times New Roman"/>
          <w:color w:val="auto"/>
          <w:highlight w:val="none"/>
        </w:rPr>
      </w:pPr>
    </w:p>
    <w:p w14:paraId="1EB9DDAA">
      <w:pPr>
        <w:numPr>
          <w:ilvl w:val="0"/>
          <w:numId w:val="0"/>
        </w:numPr>
        <w:jc w:val="center"/>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drawing>
          <wp:inline distT="0" distB="0" distL="114300" distR="114300">
            <wp:extent cx="5273675" cy="2439035"/>
            <wp:effectExtent l="0" t="0" r="3175" b="18415"/>
            <wp:docPr id="21" name="图片 12" descr="50729fcc-39a8-4a97-9b86-69e1065fd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2" descr="50729fcc-39a8-4a97-9b86-69e1065fd583"/>
                    <pic:cNvPicPr>
                      <a:picLocks noChangeAspect="1"/>
                    </pic:cNvPicPr>
                  </pic:nvPicPr>
                  <pic:blipFill>
                    <a:blip r:embed="rId21"/>
                    <a:stretch>
                      <a:fillRect/>
                    </a:stretch>
                  </pic:blipFill>
                  <pic:spPr>
                    <a:xfrm>
                      <a:off x="0" y="0"/>
                      <a:ext cx="5273675" cy="2439035"/>
                    </a:xfrm>
                    <a:prstGeom prst="rect">
                      <a:avLst/>
                    </a:prstGeom>
                    <a:noFill/>
                    <a:ln>
                      <a:noFill/>
                    </a:ln>
                  </pic:spPr>
                </pic:pic>
              </a:graphicData>
            </a:graphic>
          </wp:inline>
        </w:drawing>
      </w:r>
    </w:p>
    <w:p w14:paraId="6B38CA20">
      <w:pPr>
        <w:numPr>
          <w:ilvl w:val="0"/>
          <w:numId w:val="0"/>
        </w:numPr>
        <w:rPr>
          <w:rFonts w:hint="default" w:ascii="Times New Roman" w:hAnsi="Times New Roman" w:cs="Times New Roman"/>
          <w:color w:val="auto"/>
          <w:highlight w:val="none"/>
        </w:rPr>
      </w:pPr>
    </w:p>
    <w:p w14:paraId="5F8BF6BC">
      <w:pPr>
        <w:numPr>
          <w:ilvl w:val="0"/>
          <w:numId w:val="0"/>
        </w:numPr>
        <w:rPr>
          <w:rFonts w:hint="default" w:ascii="Times New Roman" w:hAnsi="Times New Roman" w:cs="Times New Roman"/>
          <w:color w:val="auto"/>
          <w:highlight w:val="none"/>
        </w:rPr>
      </w:pPr>
    </w:p>
    <w:p w14:paraId="47916428">
      <w:pPr>
        <w:numPr>
          <w:ilvl w:val="0"/>
          <w:numId w:val="0"/>
        </w:numPr>
        <w:rPr>
          <w:rFonts w:hint="default" w:ascii="Times New Roman" w:hAnsi="Times New Roman" w:cs="Times New Roman"/>
          <w:color w:val="auto"/>
          <w:highlight w:val="none"/>
        </w:rPr>
      </w:pPr>
    </w:p>
    <w:p w14:paraId="13980E67">
      <w:pPr>
        <w:keepNext/>
        <w:keepLines/>
        <w:pageBreakBefore w:val="0"/>
        <w:widowControl w:val="0"/>
        <w:numPr>
          <w:ilvl w:val="0"/>
          <w:numId w:val="0"/>
        </w:numPr>
        <w:kinsoku/>
        <w:wordWrap/>
        <w:overflowPunct/>
        <w:topLinePunct w:val="0"/>
        <w:autoSpaceDE/>
        <w:autoSpaceDN/>
        <w:bidi w:val="0"/>
        <w:adjustRightInd w:val="0"/>
        <w:snapToGrid w:val="0"/>
        <w:ind w:left="0" w:leftChars="0" w:firstLine="0" w:firstLineChars="0"/>
        <w:jc w:val="center"/>
        <w:textAlignment w:val="auto"/>
        <w:outlineLvl w:val="9"/>
        <w:rPr>
          <w:rFonts w:hint="default" w:ascii="Times New Roman" w:hAnsi="Times New Roman" w:cs="Times New Roman"/>
          <w:color w:val="auto"/>
          <w:highlight w:val="none"/>
          <w:lang w:eastAsia="zh-CN"/>
        </w:rPr>
      </w:pPr>
      <w:r>
        <w:rPr>
          <w:rFonts w:hint="default" w:ascii="Times New Roman" w:hAnsi="Times New Roman" w:eastAsia="仿宋" w:cs="Times New Roman"/>
          <w:color w:val="auto"/>
          <w:sz w:val="22"/>
          <w:szCs w:val="22"/>
          <w:highlight w:val="none"/>
          <w:lang w:val="en-US" w:eastAsia="zh-CN" w:bidi="ar-SA"/>
        </w:rPr>
        <w:t>（2）</w:t>
      </w:r>
      <w:r>
        <w:rPr>
          <w:rFonts w:hint="default" w:ascii="Times New Roman" w:hAnsi="Times New Roman" w:cs="Times New Roman"/>
          <w:color w:val="auto"/>
          <w:highlight w:val="none"/>
          <w:lang w:eastAsia="zh-CN"/>
        </w:rPr>
        <w:t>：控制阀门布置图</w:t>
      </w:r>
    </w:p>
    <w:p w14:paraId="764DB001">
      <w:pPr>
        <w:jc w:val="center"/>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drawing>
          <wp:inline distT="0" distB="0" distL="114300" distR="114300">
            <wp:extent cx="5265420" cy="3303905"/>
            <wp:effectExtent l="0" t="0" r="11430" b="10795"/>
            <wp:docPr id="14" name="图片 13" descr="9e0253af-900d-4c8b-b579-a9c11200a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3" descr="9e0253af-900d-4c8b-b579-a9c11200a861"/>
                    <pic:cNvPicPr>
                      <a:picLocks noChangeAspect="1"/>
                    </pic:cNvPicPr>
                  </pic:nvPicPr>
                  <pic:blipFill>
                    <a:blip r:embed="rId22"/>
                    <a:stretch>
                      <a:fillRect/>
                    </a:stretch>
                  </pic:blipFill>
                  <pic:spPr>
                    <a:xfrm>
                      <a:off x="0" y="0"/>
                      <a:ext cx="5265420" cy="3303905"/>
                    </a:xfrm>
                    <a:prstGeom prst="rect">
                      <a:avLst/>
                    </a:prstGeom>
                    <a:noFill/>
                    <a:ln>
                      <a:noFill/>
                    </a:ln>
                  </pic:spPr>
                </pic:pic>
              </a:graphicData>
            </a:graphic>
          </wp:inline>
        </w:drawing>
      </w:r>
    </w:p>
    <w:p w14:paraId="549ACFA3">
      <w:pPr>
        <w:jc w:val="center"/>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drawing>
          <wp:inline distT="0" distB="0" distL="114300" distR="114300">
            <wp:extent cx="5262880" cy="2444750"/>
            <wp:effectExtent l="0" t="0" r="13970" b="12700"/>
            <wp:docPr id="9" name="图片 14" descr="51a25591-1880-4db9-9d67-da887624f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4" descr="51a25591-1880-4db9-9d67-da887624f750"/>
                    <pic:cNvPicPr>
                      <a:picLocks noChangeAspect="1"/>
                    </pic:cNvPicPr>
                  </pic:nvPicPr>
                  <pic:blipFill>
                    <a:blip r:embed="rId23"/>
                    <a:stretch>
                      <a:fillRect/>
                    </a:stretch>
                  </pic:blipFill>
                  <pic:spPr>
                    <a:xfrm>
                      <a:off x="0" y="0"/>
                      <a:ext cx="5262880" cy="2444750"/>
                    </a:xfrm>
                    <a:prstGeom prst="rect">
                      <a:avLst/>
                    </a:prstGeom>
                    <a:noFill/>
                    <a:ln>
                      <a:noFill/>
                    </a:ln>
                  </pic:spPr>
                </pic:pic>
              </a:graphicData>
            </a:graphic>
          </wp:inline>
        </w:drawing>
      </w:r>
      <w:r>
        <w:rPr>
          <w:rFonts w:hint="default" w:ascii="Times New Roman" w:hAnsi="Times New Roman" w:cs="Times New Roman"/>
          <w:color w:val="auto"/>
          <w:highlight w:val="none"/>
          <w:lang w:eastAsia="zh-CN"/>
        </w:rPr>
        <w:drawing>
          <wp:inline distT="0" distB="0" distL="114300" distR="114300">
            <wp:extent cx="5260340" cy="2465070"/>
            <wp:effectExtent l="0" t="0" r="16510" b="11430"/>
            <wp:docPr id="22" name="图片 15" descr="b9b2a0e8-5b26-413d-b8f8-57b348b0ce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5" descr="b9b2a0e8-5b26-413d-b8f8-57b348b0cea0"/>
                    <pic:cNvPicPr>
                      <a:picLocks noChangeAspect="1"/>
                    </pic:cNvPicPr>
                  </pic:nvPicPr>
                  <pic:blipFill>
                    <a:blip r:embed="rId24"/>
                    <a:stretch>
                      <a:fillRect/>
                    </a:stretch>
                  </pic:blipFill>
                  <pic:spPr>
                    <a:xfrm>
                      <a:off x="0" y="0"/>
                      <a:ext cx="5260340" cy="2465070"/>
                    </a:xfrm>
                    <a:prstGeom prst="rect">
                      <a:avLst/>
                    </a:prstGeom>
                    <a:noFill/>
                    <a:ln>
                      <a:noFill/>
                    </a:ln>
                  </pic:spPr>
                </pic:pic>
              </a:graphicData>
            </a:graphic>
          </wp:inline>
        </w:drawing>
      </w:r>
    </w:p>
    <w:p w14:paraId="78728706">
      <w:pPr>
        <w:jc w:val="center"/>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drawing>
          <wp:inline distT="0" distB="0" distL="114300" distR="114300">
            <wp:extent cx="5270500" cy="2461895"/>
            <wp:effectExtent l="0" t="0" r="6350" b="14605"/>
            <wp:docPr id="16" name="图片 16" descr="6fb4b7c9-731f-4037-b88b-326a0b2d32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6fb4b7c9-731f-4037-b88b-326a0b2d32bd"/>
                    <pic:cNvPicPr>
                      <a:picLocks noChangeAspect="1"/>
                    </pic:cNvPicPr>
                  </pic:nvPicPr>
                  <pic:blipFill>
                    <a:blip r:embed="rId25"/>
                    <a:stretch>
                      <a:fillRect/>
                    </a:stretch>
                  </pic:blipFill>
                  <pic:spPr>
                    <a:xfrm>
                      <a:off x="0" y="0"/>
                      <a:ext cx="5270500" cy="2461895"/>
                    </a:xfrm>
                    <a:prstGeom prst="rect">
                      <a:avLst/>
                    </a:prstGeom>
                    <a:noFill/>
                    <a:ln>
                      <a:noFill/>
                    </a:ln>
                  </pic:spPr>
                </pic:pic>
              </a:graphicData>
            </a:graphic>
          </wp:inline>
        </w:drawing>
      </w:r>
    </w:p>
    <w:p w14:paraId="5998C343">
      <w:pPr>
        <w:jc w:val="center"/>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drawing>
          <wp:inline distT="0" distB="0" distL="114300" distR="114300">
            <wp:extent cx="5267325" cy="2465070"/>
            <wp:effectExtent l="0" t="0" r="9525" b="11430"/>
            <wp:docPr id="10" name="图片 17" descr="1e805e21-862f-4093-a5e5-b295f29056b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7" descr="1e805e21-862f-4093-a5e5-b295f29056b8"/>
                    <pic:cNvPicPr>
                      <a:picLocks noChangeAspect="1"/>
                    </pic:cNvPicPr>
                  </pic:nvPicPr>
                  <pic:blipFill>
                    <a:blip r:embed="rId26"/>
                    <a:stretch>
                      <a:fillRect/>
                    </a:stretch>
                  </pic:blipFill>
                  <pic:spPr>
                    <a:xfrm>
                      <a:off x="0" y="0"/>
                      <a:ext cx="5267325" cy="2465070"/>
                    </a:xfrm>
                    <a:prstGeom prst="rect">
                      <a:avLst/>
                    </a:prstGeom>
                    <a:noFill/>
                    <a:ln>
                      <a:noFill/>
                    </a:ln>
                  </pic:spPr>
                </pic:pic>
              </a:graphicData>
            </a:graphic>
          </wp:inline>
        </w:drawing>
      </w:r>
    </w:p>
    <w:p w14:paraId="1F883322">
      <w:pPr>
        <w:jc w:val="center"/>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drawing>
          <wp:inline distT="0" distB="0" distL="114300" distR="114300">
            <wp:extent cx="5267325" cy="2472055"/>
            <wp:effectExtent l="0" t="0" r="9525" b="4445"/>
            <wp:docPr id="7" name="图片 18" descr="2042730e-ab70-4218-b259-72856cb11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8" descr="2042730e-ab70-4218-b259-72856cb11800"/>
                    <pic:cNvPicPr>
                      <a:picLocks noChangeAspect="1"/>
                    </pic:cNvPicPr>
                  </pic:nvPicPr>
                  <pic:blipFill>
                    <a:blip r:embed="rId27"/>
                    <a:stretch>
                      <a:fillRect/>
                    </a:stretch>
                  </pic:blipFill>
                  <pic:spPr>
                    <a:xfrm>
                      <a:off x="0" y="0"/>
                      <a:ext cx="5267325" cy="2472055"/>
                    </a:xfrm>
                    <a:prstGeom prst="rect">
                      <a:avLst/>
                    </a:prstGeom>
                    <a:noFill/>
                    <a:ln>
                      <a:noFill/>
                    </a:ln>
                  </pic:spPr>
                </pic:pic>
              </a:graphicData>
            </a:graphic>
          </wp:inline>
        </w:drawing>
      </w:r>
    </w:p>
    <w:p w14:paraId="2FEBABC6">
      <w:pPr>
        <w:numPr>
          <w:ilvl w:val="0"/>
          <w:numId w:val="0"/>
        </w:numPr>
        <w:rPr>
          <w:rFonts w:hint="default" w:ascii="Times New Roman" w:hAnsi="Times New Roman" w:cs="Times New Roman"/>
          <w:color w:val="auto"/>
          <w:highlight w:val="none"/>
          <w:lang w:eastAsia="zh-CN"/>
        </w:rPr>
      </w:pPr>
    </w:p>
    <w:p w14:paraId="637194F8">
      <w:pPr>
        <w:keepNext/>
        <w:keepLines/>
        <w:pageBreakBefore w:val="0"/>
        <w:widowControl w:val="0"/>
        <w:kinsoku/>
        <w:wordWrap/>
        <w:overflowPunct/>
        <w:topLinePunct w:val="0"/>
        <w:autoSpaceDE/>
        <w:autoSpaceDN/>
        <w:bidi w:val="0"/>
        <w:adjustRightInd w:val="0"/>
        <w:snapToGrid w:val="0"/>
        <w:jc w:val="center"/>
        <w:textAlignment w:val="auto"/>
        <w:outlineLvl w:val="9"/>
        <w:rPr>
          <w:rFonts w:hint="default" w:ascii="Times New Roman" w:hAnsi="Times New Roman" w:cs="Times New Roman"/>
          <w:color w:val="auto"/>
          <w:sz w:val="28"/>
          <w:szCs w:val="28"/>
          <w:highlight w:val="none"/>
          <w:lang w:eastAsia="zh-CN"/>
        </w:rPr>
      </w:pPr>
      <w:r>
        <w:rPr>
          <w:rFonts w:hint="default" w:ascii="Times New Roman" w:hAnsi="Times New Roman" w:cs="Times New Roman"/>
          <w:color w:val="auto"/>
          <w:sz w:val="28"/>
          <w:szCs w:val="28"/>
          <w:highlight w:val="none"/>
          <w:lang w:eastAsia="zh-CN"/>
        </w:rPr>
        <w:t>流量监测设计图</w:t>
      </w:r>
    </w:p>
    <w:p w14:paraId="51578053">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114300" distR="114300">
            <wp:extent cx="5272405" cy="3709035"/>
            <wp:effectExtent l="0" t="0" r="4445" b="5715"/>
            <wp:docPr id="12"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9"/>
                    <pic:cNvPicPr>
                      <a:picLocks noChangeAspect="1"/>
                    </pic:cNvPicPr>
                  </pic:nvPicPr>
                  <pic:blipFill>
                    <a:blip r:embed="rId28"/>
                    <a:stretch>
                      <a:fillRect/>
                    </a:stretch>
                  </pic:blipFill>
                  <pic:spPr>
                    <a:xfrm>
                      <a:off x="0" y="0"/>
                      <a:ext cx="5272405" cy="3709035"/>
                    </a:xfrm>
                    <a:prstGeom prst="rect">
                      <a:avLst/>
                    </a:prstGeom>
                    <a:noFill/>
                    <a:ln>
                      <a:noFill/>
                    </a:ln>
                  </pic:spPr>
                </pic:pic>
              </a:graphicData>
            </a:graphic>
          </wp:inline>
        </w:drawing>
      </w:r>
    </w:p>
    <w:p w14:paraId="35CD6A50">
      <w:pPr>
        <w:numPr>
          <w:ilvl w:val="0"/>
          <w:numId w:val="0"/>
        </w:numPr>
        <w:jc w:val="center"/>
        <w:rPr>
          <w:rFonts w:hint="default" w:ascii="Times New Roman" w:hAnsi="Times New Roman" w:eastAsia="宋体" w:cs="Times New Roman"/>
          <w:color w:val="auto"/>
          <w:highlight w:val="none"/>
          <w:lang w:val="en-US" w:eastAsia="zh-CN"/>
        </w:rPr>
      </w:pPr>
      <w:r>
        <w:rPr>
          <w:rFonts w:hint="default" w:ascii="Times New Roman" w:hAnsi="Times New Roman" w:eastAsia="仿宋" w:cs="Times New Roman"/>
          <w:i w:val="0"/>
          <w:iCs w:val="0"/>
          <w:color w:val="auto"/>
          <w:kern w:val="0"/>
          <w:sz w:val="28"/>
          <w:szCs w:val="28"/>
          <w:highlight w:val="none"/>
          <w:u w:val="none"/>
          <w:lang w:val="en-US" w:eastAsia="zh-CN" w:bidi="ar"/>
        </w:rPr>
        <w:t>供气柜内部分区规划图</w:t>
      </w:r>
    </w:p>
    <w:p w14:paraId="0AC2D894">
      <w:pPr>
        <w:numPr>
          <w:ilvl w:val="0"/>
          <w:numId w:val="0"/>
        </w:numPr>
        <w:jc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drawing>
          <wp:inline distT="0" distB="0" distL="114300" distR="114300">
            <wp:extent cx="5264150" cy="3747770"/>
            <wp:effectExtent l="0" t="0" r="12700" b="5080"/>
            <wp:docPr id="24"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0"/>
                    <pic:cNvPicPr>
                      <a:picLocks noChangeAspect="1"/>
                    </pic:cNvPicPr>
                  </pic:nvPicPr>
                  <pic:blipFill>
                    <a:blip r:embed="rId29"/>
                    <a:stretch>
                      <a:fillRect/>
                    </a:stretch>
                  </pic:blipFill>
                  <pic:spPr>
                    <a:xfrm>
                      <a:off x="0" y="0"/>
                      <a:ext cx="5264150" cy="3747770"/>
                    </a:xfrm>
                    <a:prstGeom prst="rect">
                      <a:avLst/>
                    </a:prstGeom>
                    <a:noFill/>
                    <a:ln>
                      <a:noFill/>
                    </a:ln>
                  </pic:spPr>
                </pic:pic>
              </a:graphicData>
            </a:graphic>
          </wp:inline>
        </w:drawing>
      </w:r>
      <w:r>
        <w:rPr>
          <w:rFonts w:hint="default" w:ascii="Times New Roman" w:hAnsi="Times New Roman" w:cs="Times New Roman"/>
          <w:color w:val="auto"/>
          <w:highlight w:val="none"/>
        </w:rPr>
        <w:drawing>
          <wp:inline distT="0" distB="0" distL="114300" distR="114300">
            <wp:extent cx="5273040" cy="3797300"/>
            <wp:effectExtent l="0" t="0" r="3810" b="12700"/>
            <wp:docPr id="23"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1"/>
                    <pic:cNvPicPr>
                      <a:picLocks noChangeAspect="1"/>
                    </pic:cNvPicPr>
                  </pic:nvPicPr>
                  <pic:blipFill>
                    <a:blip r:embed="rId30"/>
                    <a:stretch>
                      <a:fillRect/>
                    </a:stretch>
                  </pic:blipFill>
                  <pic:spPr>
                    <a:xfrm>
                      <a:off x="0" y="0"/>
                      <a:ext cx="5273040" cy="3797300"/>
                    </a:xfrm>
                    <a:prstGeom prst="rect">
                      <a:avLst/>
                    </a:prstGeom>
                    <a:noFill/>
                    <a:ln>
                      <a:noFill/>
                    </a:ln>
                  </pic:spPr>
                </pic:pic>
              </a:graphicData>
            </a:graphic>
          </wp:inline>
        </w:drawing>
      </w:r>
      <w:r>
        <w:rPr>
          <w:rFonts w:hint="default" w:ascii="Times New Roman" w:hAnsi="Times New Roman" w:eastAsia="宋体" w:cs="Times New Roman"/>
          <w:color w:val="auto"/>
          <w:highlight w:val="none"/>
          <w:lang w:eastAsia="zh-CN"/>
        </w:rPr>
        <w:drawing>
          <wp:inline distT="0" distB="0" distL="114300" distR="114300">
            <wp:extent cx="5273040" cy="3764280"/>
            <wp:effectExtent l="0" t="0" r="3810" b="7620"/>
            <wp:docPr id="5" name="图片 22" descr="03482c8a-2fdd-49c0-961a-e98f8086f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2" descr="03482c8a-2fdd-49c0-961a-e98f8086f068"/>
                    <pic:cNvPicPr>
                      <a:picLocks noChangeAspect="1"/>
                    </pic:cNvPicPr>
                  </pic:nvPicPr>
                  <pic:blipFill>
                    <a:blip r:embed="rId31"/>
                    <a:stretch>
                      <a:fillRect/>
                    </a:stretch>
                  </pic:blipFill>
                  <pic:spPr>
                    <a:xfrm>
                      <a:off x="0" y="0"/>
                      <a:ext cx="5273040" cy="3764280"/>
                    </a:xfrm>
                    <a:prstGeom prst="rect">
                      <a:avLst/>
                    </a:prstGeom>
                    <a:noFill/>
                    <a:ln>
                      <a:noFill/>
                    </a:ln>
                  </pic:spPr>
                </pic:pic>
              </a:graphicData>
            </a:graphic>
          </wp:inline>
        </w:drawing>
      </w:r>
    </w:p>
    <w:p w14:paraId="79B7D93B">
      <w:pPr>
        <w:rPr>
          <w:rFonts w:hint="default" w:ascii="Times New Roman" w:hAnsi="Times New Roman" w:cs="Times New Roman"/>
          <w:color w:val="auto"/>
          <w:highlight w:val="none"/>
          <w:lang w:val="en-US" w:eastAsia="zh-CN"/>
        </w:rPr>
      </w:pPr>
      <w:r>
        <w:rPr>
          <w:rFonts w:hint="default" w:ascii="Times New Roman" w:hAnsi="Times New Roman" w:cs="Times New Roman"/>
          <w:b/>
          <w:bCs/>
          <w:color w:val="auto"/>
          <w:sz w:val="28"/>
          <w:szCs w:val="28"/>
          <w:highlight w:val="none"/>
          <w:lang w:val="en-US" w:eastAsia="zh-CN"/>
        </w:rPr>
        <w:t>注：本图纸仅供参考，安装各类辅材由供应商依据图纸自行考虑，不再另行列入本次招标清单，此次报价为图纸范围内无额外调整的情况含税总报价。</w:t>
      </w:r>
    </w:p>
    <w:p w14:paraId="31DB8E3D">
      <w:pPr>
        <w:rPr>
          <w:rFonts w:hint="eastAsia" w:ascii="仿宋" w:hAnsi="仿宋" w:eastAsia="仿宋" w:cs="仿宋"/>
          <w:color w:val="auto"/>
          <w:highlight w:val="none"/>
        </w:rPr>
      </w:pPr>
    </w:p>
    <w:p w14:paraId="43BD3627">
      <w:pPr>
        <w:rPr>
          <w:rFonts w:hint="eastAsia" w:ascii="仿宋" w:hAnsi="仿宋" w:eastAsia="仿宋" w:cs="仿宋"/>
          <w:color w:val="auto"/>
          <w:highlight w:val="none"/>
        </w:rPr>
      </w:pPr>
      <w:r>
        <w:rPr>
          <w:rFonts w:hint="eastAsia" w:ascii="仿宋" w:hAnsi="仿宋" w:eastAsia="仿宋" w:cs="仿宋"/>
          <w:color w:val="auto"/>
          <w:highlight w:val="none"/>
        </w:rPr>
        <w:br w:type="page"/>
      </w:r>
    </w:p>
    <w:p w14:paraId="017CEE9D">
      <w:pPr>
        <w:pStyle w:val="2"/>
        <w:spacing w:line="360" w:lineRule="auto"/>
        <w:ind w:firstLine="723" w:firstLineChars="200"/>
        <w:rPr>
          <w:color w:val="auto"/>
          <w:highlight w:val="none"/>
        </w:rPr>
      </w:pPr>
      <w:r>
        <w:rPr>
          <w:rFonts w:hint="eastAsia" w:ascii="仿宋" w:hAnsi="仿宋" w:eastAsia="仿宋" w:cs="仿宋"/>
          <w:color w:val="auto"/>
          <w:highlight w:val="none"/>
        </w:rPr>
        <w:t>第七章 评标方法和标准</w:t>
      </w:r>
      <w:bookmarkEnd w:id="73"/>
    </w:p>
    <w:p w14:paraId="30DAA3B3">
      <w:pPr>
        <w:spacing w:line="360" w:lineRule="auto"/>
        <w:ind w:firstLine="562" w:firstLineChars="200"/>
        <w:jc w:val="both"/>
        <w:rPr>
          <w:b/>
          <w:bCs/>
          <w:color w:val="auto"/>
          <w:sz w:val="28"/>
          <w:szCs w:val="28"/>
          <w:highlight w:val="none"/>
        </w:rPr>
      </w:pPr>
    </w:p>
    <w:p w14:paraId="4EC6D961">
      <w:pPr>
        <w:spacing w:line="360" w:lineRule="auto"/>
        <w:ind w:firstLine="562" w:firstLineChars="200"/>
        <w:jc w:val="both"/>
        <w:rPr>
          <w:b/>
          <w:bCs/>
          <w:color w:val="auto"/>
          <w:sz w:val="28"/>
          <w:szCs w:val="28"/>
          <w:highlight w:val="none"/>
        </w:rPr>
      </w:pPr>
      <w:r>
        <w:rPr>
          <w:b/>
          <w:bCs/>
          <w:color w:val="auto"/>
          <w:sz w:val="28"/>
          <w:szCs w:val="28"/>
          <w:highlight w:val="none"/>
        </w:rPr>
        <w:t>一、评标方法</w:t>
      </w:r>
    </w:p>
    <w:p w14:paraId="3D8E2AEE">
      <w:pPr>
        <w:spacing w:line="360" w:lineRule="auto"/>
        <w:ind w:firstLine="560" w:firstLineChars="200"/>
        <w:jc w:val="both"/>
        <w:rPr>
          <w:color w:val="auto"/>
          <w:sz w:val="28"/>
          <w:szCs w:val="28"/>
          <w:highlight w:val="none"/>
        </w:rPr>
      </w:pPr>
      <w:r>
        <w:rPr>
          <w:color w:val="auto"/>
          <w:sz w:val="28"/>
          <w:szCs w:val="28"/>
          <w:highlight w:val="none"/>
        </w:rPr>
        <w:t>采用综合评分法。总分值100分，评标委员会对各投标人的投标文件进行符合性审查、详细评审后，按评审得分由高到低顺序推荐排名。如评审得分相同的，按投标报价由低到高顺序推荐排列；评审得分且投标报价相同的并列。</w:t>
      </w:r>
    </w:p>
    <w:p w14:paraId="1211AF9A">
      <w:pPr>
        <w:spacing w:line="360" w:lineRule="auto"/>
        <w:ind w:firstLine="562" w:firstLineChars="200"/>
        <w:jc w:val="both"/>
        <w:rPr>
          <w:b/>
          <w:bCs/>
          <w:color w:val="auto"/>
          <w:sz w:val="28"/>
          <w:szCs w:val="28"/>
          <w:highlight w:val="none"/>
        </w:rPr>
      </w:pPr>
      <w:r>
        <w:rPr>
          <w:b/>
          <w:bCs/>
          <w:color w:val="auto"/>
          <w:sz w:val="28"/>
          <w:szCs w:val="28"/>
          <w:highlight w:val="none"/>
        </w:rPr>
        <w:t>（一）符合性审查</w:t>
      </w:r>
    </w:p>
    <w:p w14:paraId="4B8A50D4">
      <w:pPr>
        <w:spacing w:line="360" w:lineRule="auto"/>
        <w:ind w:firstLine="560" w:firstLineChars="200"/>
        <w:jc w:val="both"/>
        <w:rPr>
          <w:color w:val="auto"/>
          <w:sz w:val="28"/>
          <w:szCs w:val="28"/>
          <w:highlight w:val="none"/>
        </w:rPr>
      </w:pPr>
      <w:r>
        <w:rPr>
          <w:color w:val="auto"/>
          <w:sz w:val="28"/>
          <w:szCs w:val="28"/>
          <w:highlight w:val="none"/>
        </w:rPr>
        <w:t>评标委员会对资格性审查合格的投标人的投标文件进行符合性审查，以确定其是否满足招标文件的实质性要求。</w:t>
      </w:r>
    </w:p>
    <w:p w14:paraId="144BC377">
      <w:pPr>
        <w:spacing w:line="360" w:lineRule="auto"/>
        <w:ind w:firstLine="560" w:firstLineChars="200"/>
        <w:jc w:val="both"/>
        <w:rPr>
          <w:color w:val="auto"/>
          <w:sz w:val="28"/>
          <w:szCs w:val="28"/>
          <w:highlight w:val="none"/>
        </w:rPr>
      </w:pPr>
      <w:r>
        <w:rPr>
          <w:rFonts w:hint="eastAsia"/>
          <w:color w:val="auto"/>
          <w:sz w:val="28"/>
          <w:szCs w:val="28"/>
          <w:highlight w:val="none"/>
        </w:rPr>
        <w:t>1.</w:t>
      </w:r>
      <w:r>
        <w:rPr>
          <w:color w:val="auto"/>
          <w:sz w:val="28"/>
          <w:szCs w:val="28"/>
          <w:highlight w:val="none"/>
        </w:rPr>
        <w:t>投标文件不存在雷同性（评标系统内标书雷同性分析，包括文件制作机器码或文件创建标识码）；</w:t>
      </w:r>
    </w:p>
    <w:p w14:paraId="399655AB">
      <w:pPr>
        <w:spacing w:line="360" w:lineRule="auto"/>
        <w:ind w:firstLine="560" w:firstLineChars="200"/>
        <w:jc w:val="both"/>
        <w:rPr>
          <w:color w:val="auto"/>
          <w:sz w:val="28"/>
          <w:szCs w:val="28"/>
          <w:highlight w:val="none"/>
        </w:rPr>
      </w:pPr>
      <w:r>
        <w:rPr>
          <w:rFonts w:hint="eastAsia"/>
          <w:color w:val="auto"/>
          <w:sz w:val="28"/>
          <w:szCs w:val="28"/>
          <w:highlight w:val="none"/>
        </w:rPr>
        <w:t>2.</w:t>
      </w:r>
      <w:r>
        <w:rPr>
          <w:color w:val="auto"/>
          <w:sz w:val="28"/>
          <w:szCs w:val="28"/>
          <w:highlight w:val="none"/>
        </w:rPr>
        <w:t>签字盖章签章符合招标文件要求；</w:t>
      </w:r>
    </w:p>
    <w:p w14:paraId="576145C1">
      <w:pPr>
        <w:spacing w:line="360" w:lineRule="auto"/>
        <w:ind w:firstLine="560" w:firstLineChars="200"/>
        <w:jc w:val="both"/>
        <w:rPr>
          <w:color w:val="auto"/>
          <w:sz w:val="28"/>
          <w:szCs w:val="28"/>
          <w:highlight w:val="none"/>
        </w:rPr>
      </w:pPr>
      <w:r>
        <w:rPr>
          <w:rFonts w:hint="eastAsia"/>
          <w:color w:val="auto"/>
          <w:sz w:val="28"/>
          <w:szCs w:val="28"/>
          <w:highlight w:val="none"/>
        </w:rPr>
        <w:t>3.</w:t>
      </w:r>
      <w:r>
        <w:rPr>
          <w:color w:val="auto"/>
          <w:sz w:val="28"/>
          <w:szCs w:val="28"/>
          <w:highlight w:val="none"/>
        </w:rPr>
        <w:t>投标有效期符合招标文件要求；</w:t>
      </w:r>
    </w:p>
    <w:p w14:paraId="49BDE5A3">
      <w:pPr>
        <w:spacing w:line="360" w:lineRule="auto"/>
        <w:ind w:firstLine="560" w:firstLineChars="200"/>
        <w:jc w:val="both"/>
        <w:rPr>
          <w:color w:val="auto"/>
          <w:sz w:val="28"/>
          <w:szCs w:val="28"/>
          <w:highlight w:val="none"/>
        </w:rPr>
      </w:pPr>
      <w:r>
        <w:rPr>
          <w:rFonts w:hint="eastAsia"/>
          <w:color w:val="auto"/>
          <w:sz w:val="28"/>
          <w:szCs w:val="28"/>
          <w:highlight w:val="none"/>
        </w:rPr>
        <w:t>4.</w:t>
      </w:r>
      <w:r>
        <w:rPr>
          <w:color w:val="auto"/>
          <w:sz w:val="28"/>
          <w:szCs w:val="28"/>
          <w:highlight w:val="none"/>
        </w:rPr>
        <w:t>投标报价未超出最高限价；</w:t>
      </w:r>
    </w:p>
    <w:p w14:paraId="151F86F8">
      <w:pPr>
        <w:spacing w:line="360" w:lineRule="auto"/>
        <w:ind w:firstLine="560" w:firstLineChars="200"/>
        <w:jc w:val="both"/>
        <w:rPr>
          <w:color w:val="auto"/>
          <w:sz w:val="28"/>
          <w:szCs w:val="28"/>
          <w:highlight w:val="none"/>
        </w:rPr>
      </w:pPr>
      <w:r>
        <w:rPr>
          <w:rFonts w:hint="eastAsia"/>
          <w:color w:val="auto"/>
          <w:sz w:val="28"/>
          <w:szCs w:val="28"/>
          <w:highlight w:val="none"/>
        </w:rPr>
        <w:t>5.</w:t>
      </w:r>
      <w:r>
        <w:rPr>
          <w:color w:val="auto"/>
          <w:sz w:val="28"/>
          <w:szCs w:val="28"/>
          <w:highlight w:val="none"/>
        </w:rPr>
        <w:t>投标文件无重大或不可接受的偏差；</w:t>
      </w:r>
    </w:p>
    <w:p w14:paraId="75898905">
      <w:pPr>
        <w:spacing w:line="360" w:lineRule="auto"/>
        <w:ind w:firstLine="560" w:firstLineChars="200"/>
        <w:jc w:val="both"/>
        <w:rPr>
          <w:color w:val="auto"/>
          <w:sz w:val="28"/>
          <w:szCs w:val="28"/>
          <w:highlight w:val="none"/>
        </w:rPr>
      </w:pPr>
      <w:r>
        <w:rPr>
          <w:rFonts w:hint="eastAsia"/>
          <w:color w:val="auto"/>
          <w:sz w:val="28"/>
          <w:szCs w:val="28"/>
          <w:highlight w:val="none"/>
        </w:rPr>
        <w:t>6.</w:t>
      </w:r>
      <w:r>
        <w:rPr>
          <w:color w:val="auto"/>
          <w:sz w:val="28"/>
          <w:szCs w:val="28"/>
          <w:highlight w:val="none"/>
        </w:rPr>
        <w:t>投标文件未附有采购人不能接受的条件；</w:t>
      </w:r>
    </w:p>
    <w:p w14:paraId="385A761C">
      <w:pPr>
        <w:spacing w:line="360" w:lineRule="auto"/>
        <w:ind w:firstLine="560" w:firstLineChars="200"/>
        <w:jc w:val="both"/>
        <w:rPr>
          <w:color w:val="auto"/>
          <w:sz w:val="28"/>
          <w:szCs w:val="28"/>
          <w:highlight w:val="none"/>
        </w:rPr>
      </w:pPr>
      <w:r>
        <w:rPr>
          <w:rFonts w:hint="eastAsia"/>
          <w:color w:val="auto"/>
          <w:sz w:val="28"/>
          <w:szCs w:val="28"/>
          <w:highlight w:val="none"/>
        </w:rPr>
        <w:t>7.</w:t>
      </w:r>
      <w:r>
        <w:rPr>
          <w:color w:val="auto"/>
          <w:sz w:val="28"/>
          <w:szCs w:val="28"/>
          <w:highlight w:val="none"/>
        </w:rPr>
        <w:t>招标文件及法律法规规定的其他情形。</w:t>
      </w:r>
    </w:p>
    <w:p w14:paraId="0171DC3A">
      <w:pPr>
        <w:spacing w:line="360" w:lineRule="auto"/>
        <w:ind w:firstLine="562" w:firstLineChars="200"/>
        <w:jc w:val="both"/>
        <w:rPr>
          <w:b/>
          <w:bCs/>
          <w:color w:val="auto"/>
          <w:sz w:val="28"/>
          <w:szCs w:val="28"/>
          <w:highlight w:val="none"/>
        </w:rPr>
      </w:pPr>
      <w:r>
        <w:rPr>
          <w:b/>
          <w:bCs/>
          <w:color w:val="auto"/>
          <w:sz w:val="28"/>
          <w:szCs w:val="28"/>
          <w:highlight w:val="none"/>
        </w:rPr>
        <w:t xml:space="preserve">（二）详细评审 </w:t>
      </w:r>
    </w:p>
    <w:p w14:paraId="081A5E90">
      <w:pPr>
        <w:spacing w:line="360" w:lineRule="auto"/>
        <w:ind w:firstLine="560" w:firstLineChars="200"/>
        <w:jc w:val="both"/>
        <w:rPr>
          <w:color w:val="auto"/>
          <w:sz w:val="28"/>
          <w:szCs w:val="28"/>
          <w:highlight w:val="none"/>
        </w:rPr>
      </w:pPr>
      <w:r>
        <w:rPr>
          <w:rFonts w:hint="eastAsia"/>
          <w:color w:val="auto"/>
          <w:sz w:val="28"/>
          <w:szCs w:val="28"/>
          <w:highlight w:val="none"/>
        </w:rPr>
        <w:t>1.澄清有关问题</w:t>
      </w:r>
    </w:p>
    <w:p w14:paraId="76AA6458">
      <w:pPr>
        <w:spacing w:line="360" w:lineRule="auto"/>
        <w:ind w:firstLine="560" w:firstLineChars="200"/>
        <w:jc w:val="both"/>
        <w:rPr>
          <w:color w:val="auto"/>
          <w:sz w:val="28"/>
          <w:szCs w:val="28"/>
          <w:highlight w:val="none"/>
        </w:rPr>
      </w:pPr>
      <w:r>
        <w:rPr>
          <w:rFonts w:hint="eastAsia"/>
          <w:color w:val="auto"/>
          <w:sz w:val="28"/>
          <w:szCs w:val="28"/>
          <w:highlight w:val="none"/>
        </w:rPr>
        <w:t>1.1</w:t>
      </w:r>
      <w:r>
        <w:rPr>
          <w:color w:val="auto"/>
          <w:sz w:val="28"/>
          <w:szCs w:val="28"/>
          <w:highlight w:val="none"/>
        </w:rPr>
        <w:t>对于投标文件中含义不明确、同类问题表述不一致或者有明显文字和计算错误的内容，评标委员会应当以书面形式要求投标人作出必要的澄清、说明或者补正。</w:t>
      </w:r>
    </w:p>
    <w:p w14:paraId="01D88BDB">
      <w:pPr>
        <w:spacing w:line="360" w:lineRule="auto"/>
        <w:ind w:firstLine="560" w:firstLineChars="200"/>
        <w:jc w:val="both"/>
        <w:rPr>
          <w:color w:val="auto"/>
          <w:sz w:val="28"/>
          <w:szCs w:val="28"/>
          <w:highlight w:val="none"/>
        </w:rPr>
      </w:pPr>
      <w:r>
        <w:rPr>
          <w:rFonts w:hint="eastAsia"/>
          <w:color w:val="auto"/>
          <w:sz w:val="28"/>
          <w:szCs w:val="28"/>
          <w:highlight w:val="none"/>
        </w:rPr>
        <w:t>1.2</w:t>
      </w:r>
      <w:r>
        <w:rPr>
          <w:color w:val="auto"/>
          <w:sz w:val="28"/>
          <w:szCs w:val="28"/>
          <w:highlight w:val="none"/>
        </w:rPr>
        <w:t>投标人的澄清、说明或者补正不得超出投标文件的范围或者改变投标文件的实质性内容。</w:t>
      </w:r>
    </w:p>
    <w:p w14:paraId="6B7A006F">
      <w:pPr>
        <w:spacing w:line="360" w:lineRule="auto"/>
        <w:ind w:firstLine="560" w:firstLineChars="200"/>
        <w:jc w:val="both"/>
        <w:rPr>
          <w:color w:val="auto"/>
          <w:sz w:val="28"/>
          <w:szCs w:val="28"/>
          <w:highlight w:val="none"/>
        </w:rPr>
      </w:pPr>
      <w:r>
        <w:rPr>
          <w:rFonts w:hint="eastAsia"/>
          <w:color w:val="auto"/>
          <w:sz w:val="28"/>
          <w:szCs w:val="28"/>
          <w:highlight w:val="none"/>
        </w:rPr>
        <w:t>1.3</w:t>
      </w:r>
      <w:r>
        <w:rPr>
          <w:color w:val="auto"/>
          <w:sz w:val="28"/>
          <w:szCs w:val="28"/>
          <w:highlight w:val="none"/>
        </w:rPr>
        <w:t>允许修正投标文件中不构成重大偏离的、微小的、非正规的、不一致或不规则的地方。</w:t>
      </w:r>
    </w:p>
    <w:p w14:paraId="426FA527">
      <w:pPr>
        <w:spacing w:line="360" w:lineRule="auto"/>
        <w:ind w:firstLine="560" w:firstLineChars="200"/>
        <w:jc w:val="both"/>
        <w:rPr>
          <w:color w:val="auto"/>
          <w:sz w:val="28"/>
          <w:szCs w:val="28"/>
          <w:highlight w:val="none"/>
        </w:rPr>
      </w:pPr>
      <w:r>
        <w:rPr>
          <w:rFonts w:hint="eastAsia"/>
          <w:color w:val="auto"/>
          <w:sz w:val="28"/>
          <w:szCs w:val="28"/>
          <w:highlight w:val="none"/>
        </w:rPr>
        <w:t>2.</w:t>
      </w:r>
      <w:r>
        <w:rPr>
          <w:color w:val="auto"/>
          <w:sz w:val="28"/>
          <w:szCs w:val="28"/>
          <w:highlight w:val="none"/>
        </w:rPr>
        <w:t>综合比较与评价</w:t>
      </w:r>
    </w:p>
    <w:p w14:paraId="501F9944">
      <w:pPr>
        <w:spacing w:line="360" w:lineRule="auto"/>
        <w:ind w:firstLine="560" w:firstLineChars="200"/>
        <w:jc w:val="both"/>
        <w:rPr>
          <w:color w:val="auto"/>
          <w:sz w:val="28"/>
          <w:szCs w:val="28"/>
          <w:highlight w:val="none"/>
        </w:rPr>
      </w:pPr>
      <w:r>
        <w:rPr>
          <w:rFonts w:hint="eastAsia"/>
          <w:color w:val="auto"/>
          <w:sz w:val="28"/>
          <w:szCs w:val="28"/>
          <w:highlight w:val="none"/>
        </w:rPr>
        <w:t>2.1</w:t>
      </w:r>
      <w:r>
        <w:rPr>
          <w:color w:val="auto"/>
          <w:sz w:val="28"/>
          <w:szCs w:val="28"/>
          <w:highlight w:val="none"/>
        </w:rPr>
        <w:t>评标委员会按照招标文件中规定的评标方法和标准，对符合性审查合格的投标文件进行商务和技术评审，综合比较与评价。</w:t>
      </w:r>
    </w:p>
    <w:p w14:paraId="6747A635">
      <w:pPr>
        <w:spacing w:line="360" w:lineRule="auto"/>
        <w:ind w:firstLine="560" w:firstLineChars="200"/>
        <w:jc w:val="both"/>
        <w:rPr>
          <w:color w:val="auto"/>
          <w:sz w:val="28"/>
          <w:szCs w:val="28"/>
          <w:highlight w:val="none"/>
        </w:rPr>
      </w:pPr>
      <w:r>
        <w:rPr>
          <w:rFonts w:hint="eastAsia"/>
          <w:color w:val="auto"/>
          <w:sz w:val="28"/>
          <w:szCs w:val="28"/>
          <w:highlight w:val="none"/>
        </w:rPr>
        <w:t>2.2评标时，评标委员会各成员应当独立对每个投标人的投标文件进行评价，并汇总每个投标人的得分，由评标委员会推荐 3 名中标候选人。</w:t>
      </w:r>
    </w:p>
    <w:p w14:paraId="42C03DA8">
      <w:pPr>
        <w:spacing w:line="360" w:lineRule="auto"/>
        <w:ind w:firstLine="560" w:firstLineChars="200"/>
        <w:jc w:val="both"/>
        <w:rPr>
          <w:color w:val="auto"/>
          <w:sz w:val="28"/>
          <w:szCs w:val="28"/>
          <w:highlight w:val="none"/>
        </w:rPr>
      </w:pPr>
      <w:r>
        <w:rPr>
          <w:rFonts w:hint="eastAsia"/>
          <w:color w:val="auto"/>
          <w:sz w:val="28"/>
          <w:szCs w:val="28"/>
          <w:highlight w:val="none"/>
        </w:rPr>
        <w:t>2.3</w:t>
      </w:r>
      <w:r>
        <w:rPr>
          <w:color w:val="auto"/>
          <w:sz w:val="28"/>
          <w:szCs w:val="28"/>
          <w:highlight w:val="none"/>
        </w:rPr>
        <w:t>投标人的评审得分为所有评委评审得分的算术平均值，评审得分取至小数点后两位（第三位四舍五入）。</w:t>
      </w:r>
    </w:p>
    <w:p w14:paraId="640A4047">
      <w:pPr>
        <w:spacing w:line="360" w:lineRule="auto"/>
        <w:ind w:firstLine="560" w:firstLineChars="200"/>
        <w:jc w:val="both"/>
        <w:rPr>
          <w:color w:val="auto"/>
          <w:sz w:val="28"/>
          <w:szCs w:val="28"/>
          <w:highlight w:val="none"/>
        </w:rPr>
      </w:pPr>
      <w:r>
        <w:rPr>
          <w:rFonts w:hint="eastAsia"/>
          <w:color w:val="auto"/>
          <w:sz w:val="28"/>
          <w:szCs w:val="28"/>
          <w:highlight w:val="none"/>
        </w:rPr>
        <w:t>2.4</w:t>
      </w:r>
      <w:r>
        <w:rPr>
          <w:color w:val="auto"/>
          <w:sz w:val="28"/>
          <w:szCs w:val="28"/>
          <w:highlight w:val="none"/>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7850D35C">
      <w:pPr>
        <w:spacing w:line="360" w:lineRule="auto"/>
        <w:ind w:firstLine="560" w:firstLineChars="200"/>
        <w:jc w:val="both"/>
        <w:rPr>
          <w:color w:val="auto"/>
          <w:sz w:val="28"/>
          <w:szCs w:val="28"/>
          <w:highlight w:val="none"/>
        </w:rPr>
      </w:pPr>
      <w:r>
        <w:rPr>
          <w:rFonts w:hint="eastAsia"/>
          <w:color w:val="auto"/>
          <w:sz w:val="28"/>
          <w:szCs w:val="28"/>
          <w:highlight w:val="none"/>
        </w:rPr>
        <w:t>2.5</w:t>
      </w:r>
      <w:r>
        <w:rPr>
          <w:color w:val="auto"/>
          <w:sz w:val="28"/>
          <w:szCs w:val="28"/>
          <w:highlight w:val="none"/>
        </w:rPr>
        <w:t>评标委员会完成评标后，应当出具书面评标报告。</w:t>
      </w:r>
    </w:p>
    <w:p w14:paraId="4FC95C05">
      <w:pPr>
        <w:spacing w:line="360" w:lineRule="auto"/>
        <w:ind w:firstLine="560" w:firstLineChars="200"/>
        <w:jc w:val="both"/>
        <w:rPr>
          <w:color w:val="auto"/>
          <w:sz w:val="28"/>
          <w:szCs w:val="28"/>
          <w:highlight w:val="none"/>
        </w:rPr>
      </w:pPr>
      <w:r>
        <w:rPr>
          <w:rFonts w:hint="eastAsia"/>
          <w:color w:val="auto"/>
          <w:sz w:val="28"/>
          <w:szCs w:val="28"/>
          <w:highlight w:val="none"/>
        </w:rPr>
        <w:t>2.6</w:t>
      </w:r>
      <w:r>
        <w:rPr>
          <w:color w:val="auto"/>
          <w:sz w:val="28"/>
          <w:szCs w:val="28"/>
          <w:highlight w:val="none"/>
        </w:rPr>
        <w:t>评标委员会成员对需要共同认定的事项存在争议的，应当按照少数服从多数的原则作出结论。持不同意见的评标委员会成员应当在评标报告上签署不同意见及理由，否则视为同意评标报告。</w:t>
      </w:r>
    </w:p>
    <w:p w14:paraId="7ADBFF5C">
      <w:pPr>
        <w:spacing w:line="360" w:lineRule="auto"/>
        <w:ind w:firstLine="560" w:firstLineChars="200"/>
        <w:jc w:val="both"/>
        <w:rPr>
          <w:color w:val="auto"/>
          <w:sz w:val="28"/>
          <w:szCs w:val="28"/>
          <w:highlight w:val="none"/>
        </w:rPr>
      </w:pPr>
      <w:r>
        <w:rPr>
          <w:rFonts w:hint="eastAsia"/>
          <w:color w:val="auto"/>
          <w:sz w:val="28"/>
          <w:szCs w:val="28"/>
          <w:highlight w:val="none"/>
        </w:rPr>
        <w:t>2.7</w:t>
      </w:r>
      <w:r>
        <w:rPr>
          <w:color w:val="auto"/>
          <w:sz w:val="28"/>
          <w:szCs w:val="28"/>
          <w:highlight w:val="none"/>
        </w:rPr>
        <w:t>评标委员会成员对需要共同认定的事项存在争议的，应当按照少数服从多数的原则作出结论。持不同意见的评标委员会成员应当在评标报告上签署不同意见及理由，否则视为同意评标报告。</w:t>
      </w:r>
    </w:p>
    <w:p w14:paraId="64E05A91">
      <w:pPr>
        <w:rPr>
          <w:b/>
          <w:bCs/>
          <w:color w:val="auto"/>
          <w:sz w:val="28"/>
          <w:szCs w:val="28"/>
          <w:highlight w:val="none"/>
        </w:rPr>
      </w:pPr>
      <w:r>
        <w:rPr>
          <w:rFonts w:hint="eastAsia"/>
          <w:b/>
          <w:bCs/>
          <w:color w:val="auto"/>
          <w:sz w:val="28"/>
          <w:szCs w:val="28"/>
          <w:highlight w:val="none"/>
        </w:rPr>
        <w:br w:type="page"/>
      </w:r>
    </w:p>
    <w:p w14:paraId="0DFF471E">
      <w:pPr>
        <w:spacing w:line="360" w:lineRule="auto"/>
        <w:ind w:firstLine="562" w:firstLineChars="200"/>
        <w:jc w:val="both"/>
        <w:rPr>
          <w:b/>
          <w:bCs/>
          <w:color w:val="auto"/>
          <w:sz w:val="28"/>
          <w:szCs w:val="28"/>
          <w:highlight w:val="none"/>
        </w:rPr>
      </w:pPr>
      <w:r>
        <w:rPr>
          <w:rFonts w:hint="eastAsia"/>
          <w:b/>
          <w:bCs/>
          <w:color w:val="auto"/>
          <w:sz w:val="28"/>
          <w:szCs w:val="28"/>
          <w:highlight w:val="none"/>
        </w:rPr>
        <w:t>二、评分标准：</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5"/>
        <w:gridCol w:w="1350"/>
        <w:gridCol w:w="6813"/>
      </w:tblGrid>
      <w:tr w14:paraId="746F3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5" w:type="dxa"/>
            <w:tcBorders>
              <w:tl2br w:val="nil"/>
              <w:tr2bl w:val="nil"/>
            </w:tcBorders>
            <w:vAlign w:val="center"/>
          </w:tcPr>
          <w:p w14:paraId="15580698">
            <w:pPr>
              <w:spacing w:line="360" w:lineRule="auto"/>
              <w:jc w:val="center"/>
              <w:rPr>
                <w:rFonts w:ascii="宋体" w:hAnsi="宋体" w:cs="宋体"/>
                <w:color w:val="auto"/>
                <w:sz w:val="28"/>
                <w:szCs w:val="28"/>
                <w:highlight w:val="none"/>
              </w:rPr>
            </w:pPr>
            <w:r>
              <w:rPr>
                <w:rFonts w:hint="eastAsia" w:ascii="宋体" w:hAnsi="宋体" w:cs="宋体"/>
                <w:color w:val="auto"/>
                <w:sz w:val="28"/>
                <w:szCs w:val="28"/>
                <w:highlight w:val="none"/>
              </w:rPr>
              <w:t>评审类别</w:t>
            </w:r>
          </w:p>
        </w:tc>
        <w:tc>
          <w:tcPr>
            <w:tcW w:w="8163" w:type="dxa"/>
            <w:gridSpan w:val="2"/>
            <w:tcBorders>
              <w:tl2br w:val="nil"/>
              <w:tr2bl w:val="nil"/>
            </w:tcBorders>
            <w:vAlign w:val="center"/>
          </w:tcPr>
          <w:p w14:paraId="6D01ADA3">
            <w:pPr>
              <w:spacing w:line="360" w:lineRule="auto"/>
              <w:jc w:val="center"/>
              <w:rPr>
                <w:rFonts w:ascii="宋体" w:hAnsi="宋体" w:cs="宋体"/>
                <w:color w:val="auto"/>
                <w:sz w:val="28"/>
                <w:szCs w:val="28"/>
                <w:highlight w:val="none"/>
              </w:rPr>
            </w:pPr>
            <w:r>
              <w:rPr>
                <w:rFonts w:hint="eastAsia" w:ascii="宋体" w:hAnsi="宋体" w:cs="宋体"/>
                <w:color w:val="auto"/>
                <w:sz w:val="28"/>
                <w:szCs w:val="28"/>
                <w:highlight w:val="none"/>
              </w:rPr>
              <w:t>评分标准</w:t>
            </w:r>
          </w:p>
        </w:tc>
      </w:tr>
      <w:tr w14:paraId="5FE6F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5" w:type="dxa"/>
            <w:tcBorders>
              <w:tl2br w:val="nil"/>
              <w:tr2bl w:val="nil"/>
            </w:tcBorders>
            <w:vAlign w:val="center"/>
          </w:tcPr>
          <w:p w14:paraId="6AA2B76A">
            <w:pPr>
              <w:spacing w:line="360" w:lineRule="auto"/>
              <w:jc w:val="both"/>
              <w:rPr>
                <w:rFonts w:ascii="宋体" w:hAnsi="宋体" w:cs="宋体"/>
                <w:color w:val="auto"/>
                <w:sz w:val="28"/>
                <w:szCs w:val="28"/>
                <w:highlight w:val="none"/>
              </w:rPr>
            </w:pPr>
            <w:r>
              <w:rPr>
                <w:rFonts w:hint="eastAsia" w:ascii="宋体" w:hAnsi="宋体" w:cs="宋体"/>
                <w:color w:val="auto"/>
                <w:sz w:val="28"/>
                <w:szCs w:val="28"/>
                <w:highlight w:val="none"/>
              </w:rPr>
              <w:t>报价</w:t>
            </w:r>
          </w:p>
          <w:p w14:paraId="7F634488">
            <w:pPr>
              <w:spacing w:line="360" w:lineRule="auto"/>
              <w:jc w:val="both"/>
              <w:rPr>
                <w:rFonts w:ascii="Times New Roman" w:hAnsi="Times New Roman"/>
                <w:color w:val="auto"/>
                <w:sz w:val="28"/>
                <w:szCs w:val="28"/>
                <w:highlight w:val="none"/>
              </w:rPr>
            </w:pPr>
            <w:r>
              <w:rPr>
                <w:rFonts w:hint="eastAsia" w:ascii="宋体" w:hAnsi="宋体" w:cs="宋体"/>
                <w:color w:val="auto"/>
                <w:sz w:val="28"/>
                <w:szCs w:val="28"/>
                <w:highlight w:val="none"/>
              </w:rPr>
              <w:t>部分4</w:t>
            </w:r>
            <w:r>
              <w:rPr>
                <w:rFonts w:ascii="宋体" w:hAnsi="宋体" w:cs="宋体"/>
                <w:color w:val="auto"/>
                <w:sz w:val="28"/>
                <w:szCs w:val="28"/>
                <w:highlight w:val="none"/>
              </w:rPr>
              <w:t>0</w:t>
            </w:r>
            <w:r>
              <w:rPr>
                <w:rFonts w:hint="eastAsia" w:ascii="宋体" w:hAnsi="宋体" w:cs="宋体"/>
                <w:color w:val="auto"/>
                <w:sz w:val="28"/>
                <w:szCs w:val="28"/>
                <w:highlight w:val="none"/>
              </w:rPr>
              <w:t>分</w:t>
            </w:r>
          </w:p>
        </w:tc>
        <w:tc>
          <w:tcPr>
            <w:tcW w:w="1350" w:type="dxa"/>
            <w:tcBorders>
              <w:tl2br w:val="nil"/>
              <w:tr2bl w:val="nil"/>
            </w:tcBorders>
            <w:vAlign w:val="center"/>
          </w:tcPr>
          <w:p w14:paraId="1E490C3F">
            <w:pPr>
              <w:spacing w:line="360" w:lineRule="auto"/>
              <w:jc w:val="center"/>
              <w:rPr>
                <w:rFonts w:ascii="宋体" w:hAnsi="宋体" w:cs="宋体"/>
                <w:color w:val="auto"/>
                <w:sz w:val="28"/>
                <w:szCs w:val="28"/>
                <w:highlight w:val="none"/>
              </w:rPr>
            </w:pPr>
            <w:r>
              <w:rPr>
                <w:rFonts w:hint="eastAsia" w:ascii="宋体" w:hAnsi="宋体" w:cs="宋体"/>
                <w:color w:val="auto"/>
                <w:sz w:val="28"/>
                <w:szCs w:val="28"/>
                <w:highlight w:val="none"/>
              </w:rPr>
              <w:t>投标报价</w:t>
            </w:r>
          </w:p>
          <w:p w14:paraId="736783A8">
            <w:pPr>
              <w:spacing w:line="360" w:lineRule="auto"/>
              <w:jc w:val="center"/>
              <w:rPr>
                <w:rFonts w:ascii="宋体" w:hAnsi="宋体" w:cs="宋体"/>
                <w:color w:val="auto"/>
                <w:sz w:val="28"/>
                <w:szCs w:val="28"/>
                <w:highlight w:val="none"/>
              </w:rPr>
            </w:pPr>
            <w:r>
              <w:rPr>
                <w:rFonts w:hint="eastAsia" w:ascii="宋体" w:hAnsi="宋体" w:cs="宋体"/>
                <w:color w:val="auto"/>
                <w:sz w:val="28"/>
                <w:szCs w:val="28"/>
                <w:highlight w:val="none"/>
              </w:rPr>
              <w:t>4</w:t>
            </w:r>
            <w:r>
              <w:rPr>
                <w:rFonts w:ascii="宋体" w:hAnsi="宋体" w:cs="宋体"/>
                <w:color w:val="auto"/>
                <w:sz w:val="28"/>
                <w:szCs w:val="28"/>
                <w:highlight w:val="none"/>
              </w:rPr>
              <w:t>0</w:t>
            </w:r>
            <w:r>
              <w:rPr>
                <w:rFonts w:hint="eastAsia" w:ascii="宋体" w:hAnsi="宋体" w:cs="宋体"/>
                <w:color w:val="auto"/>
                <w:sz w:val="28"/>
                <w:szCs w:val="28"/>
                <w:highlight w:val="none"/>
              </w:rPr>
              <w:t>分</w:t>
            </w:r>
          </w:p>
        </w:tc>
        <w:tc>
          <w:tcPr>
            <w:tcW w:w="6813" w:type="dxa"/>
            <w:tcBorders>
              <w:tl2br w:val="nil"/>
              <w:tr2bl w:val="nil"/>
            </w:tcBorders>
            <w:vAlign w:val="center"/>
          </w:tcPr>
          <w:p w14:paraId="6532BBC4">
            <w:pPr>
              <w:spacing w:line="580" w:lineRule="exact"/>
              <w:jc w:val="both"/>
              <w:rPr>
                <w:rFonts w:ascii="宋体" w:hAnsi="宋体" w:eastAsia="宋体" w:cs="宋体"/>
                <w:color w:val="auto"/>
                <w:sz w:val="24"/>
                <w:szCs w:val="24"/>
                <w:highlight w:val="none"/>
              </w:rPr>
            </w:pPr>
            <w:r>
              <w:rPr>
                <w:rFonts w:hint="eastAsia" w:ascii="宋体" w:hAnsi="宋体" w:cs="宋体"/>
                <w:color w:val="auto"/>
                <w:sz w:val="24"/>
                <w:szCs w:val="24"/>
                <w:highlight w:val="none"/>
              </w:rPr>
              <w:t>1.价格分采用低价优先法计算，即满足招标文件</w:t>
            </w:r>
            <w:r>
              <w:rPr>
                <w:rFonts w:hint="eastAsia"/>
                <w:color w:val="auto"/>
                <w:sz w:val="24"/>
                <w:szCs w:val="24"/>
                <w:highlight w:val="none"/>
              </w:rPr>
              <w:t>实质性要求</w:t>
            </w:r>
            <w:r>
              <w:rPr>
                <w:rFonts w:hint="eastAsia" w:ascii="宋体" w:hAnsi="宋体" w:cs="宋体"/>
                <w:color w:val="auto"/>
                <w:sz w:val="24"/>
                <w:szCs w:val="24"/>
                <w:highlight w:val="none"/>
              </w:rPr>
              <w:t>且报价最低的投标供应商的价格为评标基准价，其价格分为满分。其他投标供应商的价格分按照下列公式计算：投标报价得分=（评标基准价/投标报价）×40</w:t>
            </w:r>
          </w:p>
          <w:p w14:paraId="2C94984F">
            <w:pPr>
              <w:spacing w:line="580" w:lineRule="exact"/>
              <w:jc w:val="both"/>
              <w:rPr>
                <w:rFonts w:hint="eastAsia" w:ascii="宋体" w:hAnsi="宋体" w:cs="宋体"/>
                <w:b/>
                <w:color w:val="auto"/>
                <w:sz w:val="24"/>
                <w:szCs w:val="24"/>
                <w:highlight w:val="none"/>
              </w:rPr>
            </w:pPr>
            <w:r>
              <w:rPr>
                <w:rFonts w:hint="eastAsia" w:ascii="宋体" w:hAnsi="宋体" w:cs="宋体"/>
                <w:b/>
                <w:color w:val="auto"/>
                <w:sz w:val="24"/>
                <w:szCs w:val="24"/>
                <w:highlight w:val="none"/>
              </w:rPr>
              <w:t>价格扣除：</w:t>
            </w:r>
          </w:p>
          <w:p w14:paraId="665A323B">
            <w:pPr>
              <w:spacing w:line="580" w:lineRule="exact"/>
              <w:jc w:val="both"/>
              <w:rPr>
                <w:rFonts w:hint="eastAsia" w:ascii="宋体" w:hAnsi="宋体" w:cs="宋体"/>
                <w:b/>
                <w:color w:val="auto"/>
                <w:sz w:val="24"/>
                <w:szCs w:val="24"/>
                <w:highlight w:val="none"/>
              </w:rPr>
            </w:pPr>
            <w:r>
              <w:rPr>
                <w:rFonts w:hint="eastAsia" w:ascii="宋体" w:hAnsi="宋体" w:cs="宋体"/>
                <w:b/>
                <w:color w:val="auto"/>
                <w:sz w:val="24"/>
                <w:szCs w:val="24"/>
                <w:highlight w:val="none"/>
                <w:lang w:val="en-US" w:eastAsia="zh-CN"/>
              </w:rPr>
              <w:t>1.</w:t>
            </w:r>
            <w:r>
              <w:rPr>
                <w:rFonts w:hint="eastAsia" w:ascii="宋体" w:hAnsi="宋体" w:cs="宋体"/>
                <w:b w:val="0"/>
                <w:bCs/>
                <w:color w:val="auto"/>
                <w:sz w:val="24"/>
                <w:szCs w:val="24"/>
                <w:highlight w:val="none"/>
                <w:lang w:val="en-US" w:eastAsia="zh-CN"/>
              </w:rPr>
              <w:t>投标人为小型和微型企业（监狱企业、残疾人福利性企业）的，则给予报价10%的扣除，用扣除后的价格参与评审；同一投标人（包括联合体），小微企业、监狱、残疾人福利性企业同一产品价格扣除优惠只享受一次，不得重复享受。</w:t>
            </w:r>
          </w:p>
          <w:p w14:paraId="2D45EE15">
            <w:pPr>
              <w:spacing w:line="580" w:lineRule="exact"/>
              <w:jc w:val="both"/>
              <w:rPr>
                <w:rFonts w:ascii="仿宋" w:hAnsi="仿宋" w:eastAsia="仿宋" w:cs="仿宋"/>
                <w:color w:val="auto"/>
                <w:sz w:val="24"/>
                <w:szCs w:val="24"/>
                <w:highlight w:val="none"/>
                <w:lang w:val="en-US"/>
              </w:rPr>
            </w:pPr>
            <w:r>
              <w:rPr>
                <w:rFonts w:hint="eastAsia" w:ascii="宋体" w:hAnsi="宋体" w:cs="宋体"/>
                <w:b/>
                <w:color w:val="auto"/>
                <w:sz w:val="24"/>
                <w:szCs w:val="24"/>
                <w:highlight w:val="none"/>
                <w:lang w:val="en-US"/>
              </w:rPr>
              <w:t>2.本国产品标准适用于货物</w:t>
            </w:r>
            <w:r>
              <w:rPr>
                <w:rFonts w:hint="eastAsia" w:ascii="仿宋" w:hAnsi="仿宋" w:eastAsia="仿宋" w:cs="仿宋"/>
                <w:color w:val="auto"/>
                <w:sz w:val="24"/>
                <w:szCs w:val="24"/>
                <w:highlight w:val="none"/>
                <w:lang w:val="en-US"/>
              </w:rPr>
              <w:t>，包括政府采购货物项目和服务项目中涉及的货物。政府采购活动中既有本国产品又有非本国产品参与竞争的，依法对本国产品给予价格评审优惠，对本国产品的报价给予</w:t>
            </w:r>
            <w:r>
              <w:rPr>
                <w:rFonts w:hint="eastAsia" w:ascii="仿宋" w:hAnsi="仿宋" w:eastAsia="仿宋" w:cs="仿宋"/>
                <w:b/>
                <w:bCs/>
                <w:color w:val="auto"/>
                <w:sz w:val="24"/>
                <w:szCs w:val="24"/>
                <w:highlight w:val="none"/>
                <w:lang w:val="en-US"/>
              </w:rPr>
              <w:t>20%</w:t>
            </w:r>
            <w:r>
              <w:rPr>
                <w:rFonts w:hint="eastAsia" w:ascii="仿宋" w:hAnsi="仿宋" w:eastAsia="仿宋" w:cs="仿宋"/>
                <w:color w:val="auto"/>
                <w:sz w:val="24"/>
                <w:szCs w:val="24"/>
                <w:highlight w:val="none"/>
                <w:lang w:val="en-US"/>
              </w:rPr>
              <w:t>的价格扣除，用扣除后的价格参与评审。</w:t>
            </w:r>
          </w:p>
          <w:p w14:paraId="6ECB5DA3">
            <w:pPr>
              <w:pStyle w:val="6"/>
              <w:spacing w:line="580" w:lineRule="exact"/>
              <w:jc w:val="both"/>
              <w:rPr>
                <w:color w:val="auto"/>
                <w:sz w:val="24"/>
                <w:szCs w:val="24"/>
                <w:highlight w:val="none"/>
              </w:rPr>
            </w:pPr>
            <w:r>
              <w:rPr>
                <w:rFonts w:hint="eastAsia"/>
                <w:color w:val="auto"/>
                <w:sz w:val="24"/>
                <w:szCs w:val="24"/>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w:t>
            </w:r>
            <w:r>
              <w:rPr>
                <w:rFonts w:hint="eastAsia"/>
                <w:b/>
                <w:bCs/>
                <w:color w:val="auto"/>
                <w:sz w:val="24"/>
                <w:szCs w:val="24"/>
                <w:highlight w:val="none"/>
              </w:rPr>
              <w:t>20%</w:t>
            </w:r>
            <w:r>
              <w:rPr>
                <w:rFonts w:hint="eastAsia"/>
                <w:color w:val="auto"/>
                <w:sz w:val="24"/>
                <w:szCs w:val="24"/>
                <w:highlight w:val="none"/>
              </w:rPr>
              <w:t>的价格扣除，用扣除后的价格参与评审。</w:t>
            </w:r>
          </w:p>
          <w:p w14:paraId="0AD43765">
            <w:pPr>
              <w:pStyle w:val="6"/>
              <w:spacing w:line="580" w:lineRule="exact"/>
              <w:jc w:val="both"/>
              <w:rPr>
                <w:color w:val="auto"/>
                <w:sz w:val="24"/>
                <w:szCs w:val="24"/>
                <w:highlight w:val="none"/>
              </w:rPr>
            </w:pPr>
            <w:r>
              <w:rPr>
                <w:rFonts w:hint="eastAsia"/>
                <w:color w:val="auto"/>
                <w:sz w:val="24"/>
                <w:szCs w:val="24"/>
                <w:highlight w:val="none"/>
              </w:rPr>
              <w:t>对于仅有本国产品参与竞争的政府采购项目，本国产品不享受价格扣除评审优惠。</w:t>
            </w:r>
          </w:p>
          <w:p w14:paraId="0A5DD6DE">
            <w:pPr>
              <w:spacing w:line="580" w:lineRule="exact"/>
              <w:jc w:val="both"/>
              <w:rPr>
                <w:rFonts w:ascii="宋体" w:hAnsi="宋体" w:cs="宋体"/>
                <w:b/>
                <w:color w:val="auto"/>
                <w:sz w:val="24"/>
                <w:szCs w:val="24"/>
                <w:highlight w:val="none"/>
              </w:rPr>
            </w:pPr>
            <w:r>
              <w:rPr>
                <w:rFonts w:hint="eastAsia"/>
                <w:color w:val="auto"/>
                <w:sz w:val="24"/>
                <w:szCs w:val="24"/>
                <w:highlight w:val="none"/>
              </w:rPr>
              <w:t>3.相关价格评审扣除优惠，均应该在供应商原始报价基础上计算，用扣除后的价格参与评审。</w:t>
            </w:r>
          </w:p>
          <w:p w14:paraId="4D08A677">
            <w:pPr>
              <w:spacing w:line="580" w:lineRule="exact"/>
              <w:jc w:val="both"/>
              <w:rPr>
                <w:rFonts w:ascii="宋体" w:hAnsi="宋体" w:cs="宋体"/>
                <w:b/>
                <w:bCs/>
                <w:color w:val="auto"/>
                <w:sz w:val="28"/>
                <w:szCs w:val="28"/>
                <w:highlight w:val="none"/>
              </w:rPr>
            </w:pPr>
            <w:r>
              <w:rPr>
                <w:rFonts w:hint="eastAsia" w:ascii="宋体" w:hAnsi="宋体" w:cs="宋体"/>
                <w:b/>
                <w:bCs/>
                <w:color w:val="auto"/>
                <w:sz w:val="24"/>
                <w:szCs w:val="24"/>
                <w:highlight w:val="none"/>
              </w:rPr>
              <w:t>注：评审中若出现异常低价情形的，评标委员会应当启动异常低价投标（响应）审查程序（具体详见</w:t>
            </w:r>
            <w:r>
              <w:rPr>
                <w:rFonts w:hint="eastAsia" w:ascii="宋体" w:hAnsi="宋体" w:cs="宋体"/>
                <w:b/>
                <w:bCs/>
                <w:color w:val="auto"/>
                <w:sz w:val="24"/>
                <w:szCs w:val="24"/>
                <w:highlight w:val="none"/>
                <w:lang w:val="en-US" w:eastAsia="zh-CN"/>
              </w:rPr>
              <w:t>投标人须知35.2</w:t>
            </w:r>
            <w:r>
              <w:rPr>
                <w:rFonts w:hint="eastAsia" w:ascii="宋体" w:hAnsi="宋体" w:cs="宋体"/>
                <w:b/>
                <w:bCs/>
                <w:color w:val="auto"/>
                <w:sz w:val="24"/>
                <w:szCs w:val="24"/>
                <w:highlight w:val="none"/>
              </w:rPr>
              <w:t>条）</w:t>
            </w:r>
          </w:p>
        </w:tc>
      </w:tr>
      <w:tr w14:paraId="3FBCA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05" w:type="dxa"/>
            <w:vMerge w:val="restart"/>
            <w:tcBorders>
              <w:tl2br w:val="nil"/>
              <w:tr2bl w:val="nil"/>
            </w:tcBorders>
            <w:vAlign w:val="center"/>
          </w:tcPr>
          <w:p w14:paraId="3A84B8DA">
            <w:pPr>
              <w:spacing w:line="360" w:lineRule="auto"/>
              <w:jc w:val="both"/>
              <w:rPr>
                <w:rFonts w:ascii="宋体" w:hAnsi="宋体" w:cs="宋体"/>
                <w:color w:val="auto"/>
                <w:sz w:val="28"/>
                <w:szCs w:val="28"/>
                <w:highlight w:val="none"/>
              </w:rPr>
            </w:pPr>
            <w:r>
              <w:rPr>
                <w:rFonts w:hint="eastAsia" w:ascii="宋体" w:hAnsi="宋体" w:cs="宋体"/>
                <w:color w:val="auto"/>
                <w:sz w:val="28"/>
                <w:szCs w:val="28"/>
                <w:highlight w:val="none"/>
              </w:rPr>
              <w:t>技术</w:t>
            </w:r>
          </w:p>
          <w:p w14:paraId="10B44FDA">
            <w:pPr>
              <w:spacing w:line="360" w:lineRule="auto"/>
              <w:jc w:val="both"/>
              <w:rPr>
                <w:rFonts w:ascii="Times New Roman" w:hAnsi="Times New Roman"/>
                <w:color w:val="auto"/>
                <w:sz w:val="28"/>
                <w:szCs w:val="28"/>
                <w:highlight w:val="none"/>
              </w:rPr>
            </w:pPr>
            <w:r>
              <w:rPr>
                <w:rFonts w:hint="eastAsia" w:ascii="宋体" w:hAnsi="宋体" w:cs="宋体"/>
                <w:color w:val="auto"/>
                <w:sz w:val="28"/>
                <w:szCs w:val="28"/>
                <w:highlight w:val="none"/>
              </w:rPr>
              <w:t>部分45分</w:t>
            </w:r>
          </w:p>
        </w:tc>
        <w:tc>
          <w:tcPr>
            <w:tcW w:w="1350" w:type="dxa"/>
            <w:tcBorders>
              <w:tl2br w:val="nil"/>
              <w:tr2bl w:val="nil"/>
            </w:tcBorders>
            <w:vAlign w:val="center"/>
          </w:tcPr>
          <w:p w14:paraId="70680AB3">
            <w:pPr>
              <w:spacing w:line="360" w:lineRule="auto"/>
              <w:jc w:val="center"/>
              <w:rPr>
                <w:rFonts w:ascii="宋体" w:hAnsi="宋体" w:cs="宋体"/>
                <w:color w:val="auto"/>
                <w:sz w:val="28"/>
                <w:szCs w:val="28"/>
                <w:highlight w:val="none"/>
              </w:rPr>
            </w:pPr>
            <w:r>
              <w:rPr>
                <w:rFonts w:hint="eastAsia" w:ascii="宋体" w:hAnsi="宋体" w:cs="宋体"/>
                <w:color w:val="auto"/>
                <w:sz w:val="28"/>
                <w:szCs w:val="28"/>
                <w:highlight w:val="none"/>
              </w:rPr>
              <w:t>技术参数</w:t>
            </w:r>
          </w:p>
          <w:p w14:paraId="626F712F">
            <w:pPr>
              <w:spacing w:line="360" w:lineRule="auto"/>
              <w:jc w:val="center"/>
              <w:rPr>
                <w:rFonts w:ascii="宋体" w:hAnsi="宋体" w:cs="宋体"/>
                <w:color w:val="auto"/>
                <w:sz w:val="28"/>
                <w:szCs w:val="28"/>
                <w:highlight w:val="none"/>
              </w:rPr>
            </w:pPr>
            <w:r>
              <w:rPr>
                <w:rFonts w:hint="eastAsia" w:ascii="宋体" w:hAnsi="宋体" w:cs="宋体"/>
                <w:color w:val="auto"/>
                <w:sz w:val="28"/>
                <w:szCs w:val="28"/>
                <w:highlight w:val="none"/>
              </w:rPr>
              <w:t>38分</w:t>
            </w:r>
          </w:p>
        </w:tc>
        <w:tc>
          <w:tcPr>
            <w:tcW w:w="6813" w:type="dxa"/>
            <w:tcBorders>
              <w:tl2br w:val="nil"/>
              <w:tr2bl w:val="nil"/>
            </w:tcBorders>
            <w:vAlign w:val="center"/>
          </w:tcPr>
          <w:p w14:paraId="7099883F">
            <w:pPr>
              <w:spacing w:line="360" w:lineRule="auto"/>
              <w:jc w:val="both"/>
              <w:rPr>
                <w:rFonts w:ascii="宋体" w:hAnsi="宋体" w:cs="宋体"/>
                <w:color w:val="auto"/>
                <w:sz w:val="28"/>
                <w:szCs w:val="28"/>
                <w:highlight w:val="none"/>
              </w:rPr>
            </w:pPr>
            <w:r>
              <w:rPr>
                <w:rFonts w:hint="eastAsia" w:ascii="宋体" w:hAnsi="宋体" w:cs="宋体"/>
                <w:color w:val="auto"/>
                <w:sz w:val="28"/>
                <w:szCs w:val="28"/>
                <w:highlight w:val="none"/>
              </w:rPr>
              <w:t>根据投标文件和相关证明材料对招标文件的响应情况，对照判断所投设备是否满足招标文件的要求。</w:t>
            </w:r>
          </w:p>
          <w:p w14:paraId="6855F129">
            <w:pPr>
              <w:spacing w:line="360" w:lineRule="auto"/>
              <w:jc w:val="both"/>
              <w:rPr>
                <w:rFonts w:ascii="宋体" w:hAnsi="宋体" w:cs="宋体"/>
                <w:color w:val="auto"/>
                <w:sz w:val="28"/>
                <w:szCs w:val="28"/>
                <w:highlight w:val="none"/>
              </w:rPr>
            </w:pPr>
            <w:r>
              <w:rPr>
                <w:rFonts w:hint="eastAsia" w:ascii="宋体" w:hAnsi="宋体" w:cs="宋体"/>
                <w:color w:val="auto"/>
                <w:sz w:val="28"/>
                <w:szCs w:val="28"/>
                <w:highlight w:val="none"/>
              </w:rPr>
              <w:t>1</w:t>
            </w:r>
            <w:r>
              <w:rPr>
                <w:rFonts w:ascii="宋体" w:hAnsi="宋体" w:cs="宋体"/>
                <w:color w:val="auto"/>
                <w:sz w:val="28"/>
                <w:szCs w:val="28"/>
                <w:highlight w:val="none"/>
              </w:rPr>
              <w:t>.</w:t>
            </w:r>
            <w:bookmarkStart w:id="74" w:name="OLE_LINK11"/>
            <w:bookmarkStart w:id="75" w:name="OLE_LINK2"/>
            <w:bookmarkStart w:id="76" w:name="OLE_LINK1"/>
            <w:r>
              <w:rPr>
                <w:rFonts w:hint="eastAsia" w:ascii="宋体" w:hAnsi="宋体" w:cs="宋体"/>
                <w:color w:val="auto"/>
                <w:sz w:val="28"/>
                <w:szCs w:val="28"/>
                <w:highlight w:val="none"/>
              </w:rPr>
              <w:t>标</w:t>
            </w:r>
            <w:bookmarkEnd w:id="74"/>
            <w:r>
              <w:rPr>
                <w:rFonts w:hint="eastAsia" w:ascii="宋体" w:hAnsi="宋体" w:cs="宋体"/>
                <w:color w:val="auto"/>
                <w:sz w:val="28"/>
                <w:szCs w:val="28"/>
                <w:highlight w:val="none"/>
              </w:rPr>
              <w:t>“</w:t>
            </w:r>
            <w:bookmarkStart w:id="77" w:name="OLE_LINK19"/>
            <w:r>
              <w:rPr>
                <w:rFonts w:hint="eastAsia" w:ascii="宋体" w:hAnsi="宋体" w:cs="宋体"/>
                <w:color w:val="auto"/>
                <w:sz w:val="28"/>
                <w:szCs w:val="28"/>
                <w:highlight w:val="none"/>
              </w:rPr>
              <w:t>▲</w:t>
            </w:r>
            <w:bookmarkEnd w:id="77"/>
            <w:r>
              <w:rPr>
                <w:rFonts w:hint="eastAsia" w:ascii="宋体" w:hAnsi="宋体" w:cs="宋体"/>
                <w:color w:val="auto"/>
                <w:sz w:val="28"/>
                <w:szCs w:val="28"/>
                <w:highlight w:val="none"/>
              </w:rPr>
              <w:t>”技术参数</w:t>
            </w:r>
            <w:bookmarkEnd w:id="75"/>
            <w:bookmarkEnd w:id="76"/>
            <w:r>
              <w:rPr>
                <w:rFonts w:hint="eastAsia" w:ascii="宋体" w:hAnsi="宋体" w:cs="宋体"/>
                <w:color w:val="auto"/>
                <w:sz w:val="28"/>
                <w:szCs w:val="28"/>
                <w:highlight w:val="none"/>
              </w:rPr>
              <w:t>每有一项不满足的扣</w:t>
            </w:r>
            <w:r>
              <w:rPr>
                <w:rFonts w:hint="eastAsia" w:ascii="宋体" w:hAnsi="宋体" w:cs="宋体"/>
                <w:color w:val="auto"/>
                <w:sz w:val="28"/>
                <w:szCs w:val="28"/>
                <w:highlight w:val="none"/>
                <w:lang w:val="en-US" w:eastAsia="zh-CN"/>
              </w:rPr>
              <w:t>2</w:t>
            </w:r>
            <w:r>
              <w:rPr>
                <w:rFonts w:hint="eastAsia" w:ascii="宋体" w:hAnsi="宋体" w:cs="宋体"/>
                <w:color w:val="auto"/>
                <w:sz w:val="28"/>
                <w:szCs w:val="28"/>
                <w:highlight w:val="none"/>
              </w:rPr>
              <w:t>分。</w:t>
            </w:r>
          </w:p>
          <w:p w14:paraId="4A166B49">
            <w:pPr>
              <w:spacing w:line="360" w:lineRule="auto"/>
              <w:jc w:val="both"/>
              <w:rPr>
                <w:rFonts w:ascii="宋体" w:hAnsi="宋体" w:cs="宋体"/>
                <w:color w:val="auto"/>
                <w:sz w:val="28"/>
                <w:szCs w:val="28"/>
                <w:highlight w:val="none"/>
              </w:rPr>
            </w:pPr>
            <w:r>
              <w:rPr>
                <w:rFonts w:hint="eastAsia" w:ascii="宋体" w:hAnsi="宋体" w:cs="宋体"/>
                <w:color w:val="auto"/>
                <w:sz w:val="28"/>
                <w:szCs w:val="28"/>
                <w:highlight w:val="none"/>
              </w:rPr>
              <w:t>2.非标“</w:t>
            </w:r>
            <w:r>
              <w:rPr>
                <w:rFonts w:hint="eastAsia" w:ascii="宋体" w:hAnsi="宋体" w:cs="宋体"/>
                <w:b w:val="0"/>
                <w:bCs w:val="0"/>
                <w:color w:val="auto"/>
                <w:sz w:val="28"/>
                <w:szCs w:val="28"/>
                <w:highlight w:val="none"/>
              </w:rPr>
              <w:t>▲</w:t>
            </w:r>
            <w:r>
              <w:rPr>
                <w:rFonts w:hint="eastAsia" w:ascii="宋体" w:hAnsi="宋体" w:cs="宋体"/>
                <w:color w:val="auto"/>
                <w:sz w:val="28"/>
                <w:szCs w:val="28"/>
                <w:highlight w:val="none"/>
              </w:rPr>
              <w:t>”技术参数每有一项不满足的扣</w:t>
            </w:r>
            <w:r>
              <w:rPr>
                <w:rFonts w:hint="eastAsia" w:ascii="宋体" w:hAnsi="宋体" w:cs="宋体"/>
                <w:color w:val="auto"/>
                <w:sz w:val="28"/>
                <w:szCs w:val="28"/>
                <w:highlight w:val="none"/>
                <w:lang w:val="en-US" w:eastAsia="zh-CN"/>
              </w:rPr>
              <w:t>0.5</w:t>
            </w:r>
            <w:r>
              <w:rPr>
                <w:rFonts w:hint="eastAsia" w:ascii="宋体" w:hAnsi="宋体" w:cs="宋体"/>
                <w:color w:val="auto"/>
                <w:sz w:val="28"/>
                <w:szCs w:val="28"/>
                <w:highlight w:val="none"/>
              </w:rPr>
              <w:t>分。</w:t>
            </w:r>
          </w:p>
          <w:p w14:paraId="75BF1CB1">
            <w:pPr>
              <w:spacing w:line="360" w:lineRule="auto"/>
              <w:jc w:val="both"/>
              <w:rPr>
                <w:rFonts w:hint="eastAsia" w:ascii="宋体" w:hAnsi="宋体" w:cs="宋体"/>
                <w:b w:val="0"/>
                <w:color w:val="auto"/>
                <w:sz w:val="28"/>
                <w:szCs w:val="28"/>
                <w:highlight w:val="none"/>
              </w:rPr>
            </w:pPr>
            <w:r>
              <w:rPr>
                <w:rFonts w:hint="eastAsia" w:ascii="宋体" w:hAnsi="宋体" w:cs="宋体"/>
                <w:b w:val="0"/>
                <w:color w:val="auto"/>
                <w:sz w:val="28"/>
                <w:szCs w:val="28"/>
                <w:highlight w:val="none"/>
              </w:rPr>
              <w:t>3</w:t>
            </w:r>
            <w:r>
              <w:rPr>
                <w:rFonts w:ascii="宋体" w:hAnsi="宋体" w:cs="宋体"/>
                <w:b w:val="0"/>
                <w:color w:val="auto"/>
                <w:sz w:val="28"/>
                <w:szCs w:val="28"/>
                <w:highlight w:val="none"/>
              </w:rPr>
              <w:t>.</w:t>
            </w:r>
            <w:r>
              <w:rPr>
                <w:rFonts w:hint="eastAsia" w:ascii="宋体" w:hAnsi="宋体" w:cs="宋体"/>
                <w:b w:val="0"/>
                <w:color w:val="auto"/>
                <w:sz w:val="28"/>
                <w:szCs w:val="28"/>
                <w:highlight w:val="none"/>
              </w:rPr>
              <w:t>标“★”为</w:t>
            </w:r>
            <w:r>
              <w:rPr>
                <w:rFonts w:hint="eastAsia" w:ascii="宋体" w:hAnsi="宋体" w:cs="宋体"/>
                <w:b w:val="0"/>
                <w:color w:val="auto"/>
                <w:sz w:val="28"/>
                <w:szCs w:val="28"/>
                <w:highlight w:val="none"/>
                <w:lang w:val="en-US" w:eastAsia="zh-CN"/>
              </w:rPr>
              <w:t>实质性响应条款</w:t>
            </w:r>
            <w:r>
              <w:rPr>
                <w:rFonts w:hint="eastAsia" w:ascii="宋体" w:hAnsi="宋体" w:cs="宋体"/>
                <w:b w:val="0"/>
                <w:color w:val="auto"/>
                <w:sz w:val="28"/>
                <w:szCs w:val="28"/>
                <w:highlight w:val="none"/>
              </w:rPr>
              <w:t>，</w:t>
            </w:r>
            <w:r>
              <w:rPr>
                <w:rFonts w:hint="eastAsia" w:ascii="宋体" w:hAnsi="宋体" w:cs="宋体"/>
                <w:b/>
                <w:bCs/>
                <w:color w:val="auto"/>
                <w:sz w:val="28"/>
                <w:szCs w:val="28"/>
                <w:highlight w:val="none"/>
              </w:rPr>
              <w:t>不满足</w:t>
            </w:r>
            <w:r>
              <w:rPr>
                <w:rFonts w:hint="eastAsia" w:ascii="宋体" w:hAnsi="宋体" w:cs="宋体"/>
                <w:b/>
                <w:bCs/>
                <w:color w:val="auto"/>
                <w:sz w:val="28"/>
                <w:szCs w:val="28"/>
                <w:highlight w:val="none"/>
                <w:lang w:val="en-US" w:eastAsia="zh-CN"/>
              </w:rPr>
              <w:t>按废标处理</w:t>
            </w:r>
            <w:r>
              <w:rPr>
                <w:rFonts w:hint="eastAsia" w:ascii="宋体" w:hAnsi="宋体" w:cs="宋体"/>
                <w:b w:val="0"/>
                <w:color w:val="auto"/>
                <w:sz w:val="28"/>
                <w:szCs w:val="28"/>
                <w:highlight w:val="none"/>
              </w:rPr>
              <w:t>。</w:t>
            </w:r>
          </w:p>
        </w:tc>
      </w:tr>
      <w:tr w14:paraId="3C4B1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5" w:type="dxa"/>
            <w:vMerge w:val="continue"/>
            <w:tcBorders>
              <w:tl2br w:val="nil"/>
              <w:tr2bl w:val="nil"/>
            </w:tcBorders>
            <w:vAlign w:val="center"/>
          </w:tcPr>
          <w:p w14:paraId="42CB8B32">
            <w:pPr>
              <w:spacing w:line="360" w:lineRule="auto"/>
              <w:jc w:val="both"/>
              <w:rPr>
                <w:rFonts w:ascii="宋体" w:hAnsi="宋体" w:cs="宋体"/>
                <w:color w:val="auto"/>
                <w:sz w:val="28"/>
                <w:szCs w:val="28"/>
                <w:highlight w:val="none"/>
              </w:rPr>
            </w:pPr>
          </w:p>
        </w:tc>
        <w:tc>
          <w:tcPr>
            <w:tcW w:w="1350" w:type="dxa"/>
            <w:tcBorders>
              <w:tl2br w:val="nil"/>
              <w:tr2bl w:val="nil"/>
            </w:tcBorders>
            <w:vAlign w:val="center"/>
          </w:tcPr>
          <w:p w14:paraId="75A01AC6">
            <w:pPr>
              <w:spacing w:line="360" w:lineRule="auto"/>
              <w:jc w:val="both"/>
              <w:rPr>
                <w:rFonts w:ascii="宋体" w:hAnsi="宋体"/>
                <w:color w:val="auto"/>
                <w:sz w:val="28"/>
                <w:szCs w:val="28"/>
                <w:highlight w:val="none"/>
              </w:rPr>
            </w:pPr>
            <w:r>
              <w:rPr>
                <w:rFonts w:hint="eastAsia" w:ascii="宋体" w:hAnsi="宋体" w:cs="宋体"/>
                <w:color w:val="auto"/>
                <w:sz w:val="28"/>
                <w:szCs w:val="28"/>
                <w:highlight w:val="none"/>
              </w:rPr>
              <w:t>技术实施方案</w:t>
            </w:r>
            <w:r>
              <w:rPr>
                <w:rFonts w:ascii="宋体" w:hAnsi="宋体" w:cs="宋体"/>
                <w:color w:val="auto"/>
                <w:sz w:val="28"/>
                <w:szCs w:val="28"/>
                <w:highlight w:val="none"/>
              </w:rPr>
              <w:t>7</w:t>
            </w:r>
            <w:r>
              <w:rPr>
                <w:rFonts w:hint="eastAsia" w:ascii="宋体" w:hAnsi="宋体" w:cs="宋体"/>
                <w:color w:val="auto"/>
                <w:sz w:val="28"/>
                <w:szCs w:val="28"/>
                <w:highlight w:val="none"/>
              </w:rPr>
              <w:t>分</w:t>
            </w:r>
          </w:p>
        </w:tc>
        <w:tc>
          <w:tcPr>
            <w:tcW w:w="6813" w:type="dxa"/>
            <w:tcBorders>
              <w:tl2br w:val="nil"/>
              <w:tr2bl w:val="nil"/>
            </w:tcBorders>
            <w:vAlign w:val="center"/>
          </w:tcPr>
          <w:p w14:paraId="1A300D5A">
            <w:pPr>
              <w:spacing w:line="360" w:lineRule="auto"/>
              <w:jc w:val="both"/>
              <w:rPr>
                <w:rFonts w:ascii="宋体" w:hAnsi="宋体" w:cs="宋体"/>
                <w:color w:val="auto"/>
                <w:sz w:val="28"/>
                <w:szCs w:val="28"/>
                <w:highlight w:val="none"/>
              </w:rPr>
            </w:pPr>
            <w:r>
              <w:rPr>
                <w:rFonts w:hint="eastAsia" w:ascii="宋体" w:hAnsi="宋体" w:cs="宋体"/>
                <w:color w:val="auto"/>
                <w:sz w:val="28"/>
                <w:szCs w:val="28"/>
                <w:highlight w:val="none"/>
              </w:rPr>
              <w:t>评审小组根据供应商提供的技术实施方案（</w:t>
            </w:r>
            <w:r>
              <w:rPr>
                <w:rFonts w:hint="eastAsia" w:ascii="宋体" w:hAnsi="宋体" w:cs="宋体"/>
                <w:color w:val="auto"/>
                <w:sz w:val="28"/>
                <w:szCs w:val="28"/>
                <w:highlight w:val="none"/>
                <w:lang w:val="en-US" w:eastAsia="zh-CN"/>
              </w:rPr>
              <w:t>包含但不限于</w:t>
            </w:r>
            <w:r>
              <w:rPr>
                <w:rFonts w:hint="eastAsia" w:ascii="宋体" w:hAnsi="宋体" w:cs="宋体"/>
                <w:color w:val="auto"/>
                <w:sz w:val="28"/>
                <w:szCs w:val="28"/>
                <w:highlight w:val="none"/>
              </w:rPr>
              <w:t>项目供货、安装实施方案</w:t>
            </w:r>
            <w:r>
              <w:rPr>
                <w:rFonts w:hint="eastAsia" w:ascii="宋体" w:hAnsi="宋体" w:cs="宋体"/>
                <w:color w:val="auto"/>
                <w:sz w:val="28"/>
                <w:szCs w:val="28"/>
                <w:highlight w:val="none"/>
                <w:lang w:eastAsia="zh-CN"/>
              </w:rPr>
              <w:t>，</w:t>
            </w:r>
            <w:r>
              <w:rPr>
                <w:rFonts w:hint="eastAsia" w:ascii="宋体" w:hAnsi="宋体" w:cs="宋体"/>
                <w:color w:val="auto"/>
                <w:sz w:val="28"/>
                <w:szCs w:val="28"/>
                <w:highlight w:val="none"/>
                <w:lang w:val="en-US" w:eastAsia="zh-CN"/>
              </w:rPr>
              <w:t>工期及</w:t>
            </w:r>
            <w:r>
              <w:rPr>
                <w:rFonts w:hint="eastAsia" w:ascii="宋体" w:hAnsi="宋体" w:cs="宋体"/>
                <w:color w:val="auto"/>
                <w:sz w:val="28"/>
                <w:szCs w:val="28"/>
                <w:highlight w:val="none"/>
              </w:rPr>
              <w:t>进度安排</w:t>
            </w:r>
            <w:r>
              <w:rPr>
                <w:rFonts w:hint="eastAsia" w:ascii="宋体" w:hAnsi="宋体" w:cs="宋体"/>
                <w:color w:val="auto"/>
                <w:sz w:val="28"/>
                <w:szCs w:val="28"/>
                <w:highlight w:val="none"/>
                <w:lang w:eastAsia="zh-CN"/>
              </w:rPr>
              <w:t>，</w:t>
            </w:r>
            <w:r>
              <w:rPr>
                <w:rFonts w:hint="eastAsia" w:ascii="宋体" w:hAnsi="宋体" w:cs="宋体"/>
                <w:color w:val="auto"/>
                <w:sz w:val="28"/>
                <w:szCs w:val="28"/>
                <w:highlight w:val="none"/>
              </w:rPr>
              <w:t>人员组织结构</w:t>
            </w:r>
            <w:r>
              <w:rPr>
                <w:rFonts w:hint="eastAsia" w:ascii="宋体" w:hAnsi="宋体" w:cs="宋体"/>
                <w:color w:val="auto"/>
                <w:sz w:val="28"/>
                <w:szCs w:val="28"/>
                <w:highlight w:val="none"/>
                <w:lang w:eastAsia="zh-CN"/>
              </w:rPr>
              <w:t>，</w:t>
            </w:r>
            <w:r>
              <w:rPr>
                <w:rFonts w:hint="eastAsia" w:ascii="宋体" w:hAnsi="宋体" w:cs="宋体"/>
                <w:color w:val="auto"/>
                <w:sz w:val="28"/>
                <w:szCs w:val="28"/>
                <w:highlight w:val="none"/>
              </w:rPr>
              <w:t>安全保障</w:t>
            </w:r>
            <w:r>
              <w:rPr>
                <w:rFonts w:hint="eastAsia" w:ascii="宋体" w:hAnsi="宋体" w:cs="宋体"/>
                <w:color w:val="auto"/>
                <w:sz w:val="28"/>
                <w:szCs w:val="28"/>
                <w:highlight w:val="none"/>
                <w:lang w:val="en-US" w:eastAsia="zh-CN"/>
              </w:rPr>
              <w:t>措施</w:t>
            </w:r>
            <w:r>
              <w:rPr>
                <w:rFonts w:hint="eastAsia" w:ascii="宋体" w:hAnsi="宋体" w:cs="宋体"/>
                <w:color w:val="auto"/>
                <w:sz w:val="28"/>
                <w:szCs w:val="28"/>
                <w:highlight w:val="none"/>
              </w:rPr>
              <w:t>等）进行打分，不提供不得分。</w:t>
            </w:r>
          </w:p>
          <w:p w14:paraId="407CED11">
            <w:pPr>
              <w:spacing w:line="360" w:lineRule="auto"/>
              <w:jc w:val="both"/>
              <w:rPr>
                <w:rFonts w:ascii="宋体" w:hAnsi="宋体" w:cs="宋体"/>
                <w:color w:val="auto"/>
                <w:sz w:val="28"/>
                <w:szCs w:val="28"/>
                <w:highlight w:val="none"/>
              </w:rPr>
            </w:pPr>
            <w:r>
              <w:rPr>
                <w:rFonts w:hint="eastAsia" w:ascii="宋体" w:hAnsi="宋体" w:cs="宋体"/>
                <w:color w:val="auto"/>
                <w:sz w:val="28"/>
                <w:szCs w:val="28"/>
                <w:highlight w:val="none"/>
              </w:rPr>
              <w:t>1</w:t>
            </w:r>
            <w:r>
              <w:rPr>
                <w:rFonts w:ascii="宋体" w:hAnsi="宋体" w:cs="宋体"/>
                <w:color w:val="auto"/>
                <w:sz w:val="28"/>
                <w:szCs w:val="28"/>
                <w:highlight w:val="none"/>
              </w:rPr>
              <w:t>.</w:t>
            </w:r>
            <w:r>
              <w:rPr>
                <w:rFonts w:hint="eastAsia" w:ascii="宋体" w:hAnsi="宋体" w:cs="宋体"/>
                <w:color w:val="auto"/>
                <w:sz w:val="28"/>
                <w:szCs w:val="28"/>
                <w:highlight w:val="none"/>
              </w:rPr>
              <w:t>实施</w:t>
            </w:r>
            <w:r>
              <w:rPr>
                <w:rFonts w:hint="eastAsia" w:ascii="宋体" w:hAnsi="宋体" w:cs="宋体"/>
                <w:color w:val="auto"/>
                <w:sz w:val="28"/>
                <w:szCs w:val="28"/>
                <w:highlight w:val="none"/>
                <w:lang w:val="en-US" w:eastAsia="zh-CN"/>
              </w:rPr>
              <w:t>方案</w:t>
            </w:r>
            <w:r>
              <w:rPr>
                <w:rFonts w:hint="eastAsia" w:ascii="宋体" w:hAnsi="宋体" w:cs="宋体"/>
                <w:color w:val="auto"/>
                <w:sz w:val="28"/>
                <w:szCs w:val="28"/>
                <w:highlight w:val="none"/>
              </w:rPr>
              <w:t>详尽、</w:t>
            </w:r>
            <w:r>
              <w:rPr>
                <w:rFonts w:hint="eastAsia" w:ascii="宋体" w:hAnsi="宋体" w:cs="宋体"/>
                <w:color w:val="auto"/>
                <w:sz w:val="28"/>
                <w:szCs w:val="28"/>
                <w:highlight w:val="none"/>
                <w:lang w:val="en-US" w:eastAsia="zh-CN"/>
              </w:rPr>
              <w:t>工期进度及</w:t>
            </w:r>
            <w:r>
              <w:rPr>
                <w:rFonts w:hint="eastAsia" w:ascii="宋体" w:hAnsi="宋体" w:cs="宋体"/>
                <w:color w:val="auto"/>
                <w:sz w:val="28"/>
                <w:szCs w:val="28"/>
                <w:highlight w:val="none"/>
              </w:rPr>
              <w:t>人员安排合理、实施方案具有较强的针对性</w:t>
            </w:r>
            <w:r>
              <w:rPr>
                <w:rFonts w:hint="eastAsia" w:ascii="宋体" w:hAnsi="宋体" w:cs="宋体"/>
                <w:color w:val="auto"/>
                <w:sz w:val="28"/>
                <w:szCs w:val="28"/>
                <w:highlight w:val="none"/>
                <w:lang w:eastAsia="zh-CN"/>
              </w:rPr>
              <w:t>、</w:t>
            </w:r>
            <w:r>
              <w:rPr>
                <w:rFonts w:hint="eastAsia" w:ascii="宋体" w:hAnsi="宋体" w:cs="宋体"/>
                <w:color w:val="auto"/>
                <w:sz w:val="28"/>
                <w:szCs w:val="28"/>
                <w:highlight w:val="none"/>
              </w:rPr>
              <w:t>实用性和先进性、充分考虑了项目的安全性和扩展性、具有切实可行的管理和</w:t>
            </w:r>
            <w:r>
              <w:rPr>
                <w:rFonts w:hint="eastAsia" w:ascii="宋体" w:hAnsi="宋体" w:cs="宋体"/>
                <w:color w:val="auto"/>
                <w:sz w:val="28"/>
                <w:szCs w:val="28"/>
                <w:highlight w:val="none"/>
                <w:lang w:val="en-US" w:eastAsia="zh-CN"/>
              </w:rPr>
              <w:t>安全</w:t>
            </w:r>
            <w:r>
              <w:rPr>
                <w:rFonts w:hint="eastAsia" w:ascii="宋体" w:hAnsi="宋体" w:cs="宋体"/>
                <w:color w:val="auto"/>
                <w:sz w:val="28"/>
                <w:szCs w:val="28"/>
                <w:highlight w:val="none"/>
              </w:rPr>
              <w:t>保障措施，且完全贴合项目采购需求的，得</w:t>
            </w:r>
            <w:r>
              <w:rPr>
                <w:rFonts w:ascii="宋体" w:hAnsi="宋体" w:cs="宋体"/>
                <w:color w:val="auto"/>
                <w:sz w:val="28"/>
                <w:szCs w:val="28"/>
                <w:highlight w:val="none"/>
              </w:rPr>
              <w:t>7</w:t>
            </w:r>
            <w:r>
              <w:rPr>
                <w:rFonts w:hint="eastAsia" w:ascii="宋体" w:hAnsi="宋体" w:cs="宋体"/>
                <w:color w:val="auto"/>
                <w:sz w:val="28"/>
                <w:szCs w:val="28"/>
                <w:highlight w:val="none"/>
              </w:rPr>
              <w:t>分；</w:t>
            </w:r>
          </w:p>
          <w:p w14:paraId="139F87EF">
            <w:pPr>
              <w:spacing w:line="360" w:lineRule="auto"/>
              <w:jc w:val="both"/>
              <w:rPr>
                <w:rFonts w:ascii="宋体" w:hAnsi="宋体" w:cs="宋体"/>
                <w:color w:val="auto"/>
                <w:sz w:val="28"/>
                <w:szCs w:val="28"/>
                <w:highlight w:val="none"/>
              </w:rPr>
            </w:pPr>
            <w:r>
              <w:rPr>
                <w:rFonts w:hint="eastAsia" w:ascii="宋体" w:hAnsi="宋体" w:cs="宋体"/>
                <w:color w:val="auto"/>
                <w:sz w:val="28"/>
                <w:szCs w:val="28"/>
                <w:highlight w:val="none"/>
              </w:rPr>
              <w:t>2</w:t>
            </w:r>
            <w:r>
              <w:rPr>
                <w:rFonts w:ascii="宋体" w:hAnsi="宋体" w:cs="宋体"/>
                <w:color w:val="auto"/>
                <w:sz w:val="28"/>
                <w:szCs w:val="28"/>
                <w:highlight w:val="none"/>
              </w:rPr>
              <w:t>.</w:t>
            </w:r>
            <w:r>
              <w:rPr>
                <w:rFonts w:hint="eastAsia" w:ascii="宋体" w:hAnsi="宋体" w:cs="宋体"/>
                <w:color w:val="auto"/>
                <w:sz w:val="28"/>
                <w:szCs w:val="28"/>
                <w:highlight w:val="none"/>
              </w:rPr>
              <w:t>实施计划较详尽、各岗位有人员安排、实施方案有一定的实用性和先进性、有关于项目的安全性和扩展性的考虑、有管理和保障措施，但未贴合采购需求进行论述或内容未包括具体细节的得</w:t>
            </w:r>
            <w:r>
              <w:rPr>
                <w:rFonts w:ascii="宋体" w:hAnsi="宋体" w:cs="宋体"/>
                <w:color w:val="auto"/>
                <w:sz w:val="28"/>
                <w:szCs w:val="28"/>
                <w:highlight w:val="none"/>
              </w:rPr>
              <w:t>3</w:t>
            </w:r>
            <w:r>
              <w:rPr>
                <w:rFonts w:hint="eastAsia" w:ascii="宋体" w:hAnsi="宋体" w:cs="宋体"/>
                <w:color w:val="auto"/>
                <w:sz w:val="28"/>
                <w:szCs w:val="28"/>
                <w:highlight w:val="none"/>
              </w:rPr>
              <w:t>分；</w:t>
            </w:r>
          </w:p>
          <w:p w14:paraId="6A2E9EBC">
            <w:pPr>
              <w:spacing w:line="360" w:lineRule="auto"/>
              <w:jc w:val="both"/>
              <w:rPr>
                <w:rFonts w:ascii="宋体" w:hAnsi="宋体" w:cs="宋体"/>
                <w:color w:val="auto"/>
                <w:sz w:val="28"/>
                <w:szCs w:val="28"/>
                <w:highlight w:val="none"/>
              </w:rPr>
            </w:pPr>
            <w:r>
              <w:rPr>
                <w:rFonts w:hint="eastAsia" w:ascii="宋体" w:hAnsi="宋体" w:cs="宋体"/>
                <w:color w:val="auto"/>
                <w:sz w:val="28"/>
                <w:szCs w:val="28"/>
                <w:highlight w:val="none"/>
              </w:rPr>
              <w:t>3</w:t>
            </w:r>
            <w:r>
              <w:rPr>
                <w:rFonts w:ascii="宋体" w:hAnsi="宋体" w:cs="宋体"/>
                <w:color w:val="auto"/>
                <w:sz w:val="28"/>
                <w:szCs w:val="28"/>
                <w:highlight w:val="none"/>
              </w:rPr>
              <w:t>.</w:t>
            </w:r>
            <w:r>
              <w:rPr>
                <w:rFonts w:hint="eastAsia" w:ascii="宋体" w:hAnsi="宋体" w:cs="宋体"/>
                <w:color w:val="auto"/>
                <w:sz w:val="28"/>
                <w:szCs w:val="28"/>
                <w:highlight w:val="none"/>
              </w:rPr>
              <w:t>有项目实施计划、有项目人员安排、实施方案，但内容不完整存在明显缺陷的，得1分；</w:t>
            </w:r>
          </w:p>
          <w:p w14:paraId="198C7402">
            <w:pPr>
              <w:spacing w:line="360" w:lineRule="auto"/>
              <w:jc w:val="both"/>
              <w:rPr>
                <w:rFonts w:ascii="宋体" w:hAnsi="宋体" w:cs="宋体"/>
                <w:color w:val="auto"/>
                <w:sz w:val="28"/>
                <w:szCs w:val="28"/>
                <w:highlight w:val="none"/>
              </w:rPr>
            </w:pPr>
            <w:r>
              <w:rPr>
                <w:rFonts w:hint="eastAsia" w:ascii="宋体" w:hAnsi="宋体" w:cs="宋体"/>
                <w:color w:val="auto"/>
                <w:sz w:val="28"/>
                <w:szCs w:val="28"/>
                <w:highlight w:val="none"/>
              </w:rPr>
              <w:t>4</w:t>
            </w:r>
            <w:r>
              <w:rPr>
                <w:rFonts w:ascii="宋体" w:hAnsi="宋体" w:cs="宋体"/>
                <w:color w:val="auto"/>
                <w:sz w:val="28"/>
                <w:szCs w:val="28"/>
                <w:highlight w:val="none"/>
              </w:rPr>
              <w:t>.</w:t>
            </w:r>
            <w:r>
              <w:rPr>
                <w:rFonts w:hint="eastAsia" w:ascii="宋体" w:hAnsi="宋体" w:cs="宋体"/>
                <w:color w:val="auto"/>
                <w:sz w:val="28"/>
                <w:szCs w:val="28"/>
                <w:highlight w:val="none"/>
              </w:rPr>
              <w:t>未提供实施方案的，不得分。</w:t>
            </w:r>
          </w:p>
        </w:tc>
      </w:tr>
      <w:tr w14:paraId="4DDD8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5" w:type="dxa"/>
            <w:vMerge w:val="restart"/>
            <w:tcBorders>
              <w:tl2br w:val="nil"/>
              <w:tr2bl w:val="nil"/>
            </w:tcBorders>
            <w:vAlign w:val="center"/>
          </w:tcPr>
          <w:p w14:paraId="28E9B9E0">
            <w:pPr>
              <w:spacing w:line="360" w:lineRule="auto"/>
              <w:jc w:val="both"/>
              <w:rPr>
                <w:rFonts w:ascii="宋体" w:hAnsi="宋体" w:cs="宋体"/>
                <w:color w:val="auto"/>
                <w:sz w:val="28"/>
                <w:szCs w:val="28"/>
                <w:highlight w:val="none"/>
              </w:rPr>
            </w:pPr>
            <w:r>
              <w:rPr>
                <w:rFonts w:hint="eastAsia" w:ascii="宋体" w:hAnsi="宋体" w:cs="宋体"/>
                <w:color w:val="auto"/>
                <w:sz w:val="28"/>
                <w:szCs w:val="28"/>
                <w:highlight w:val="none"/>
              </w:rPr>
              <w:t>商务</w:t>
            </w:r>
          </w:p>
          <w:p w14:paraId="298C9593">
            <w:pPr>
              <w:spacing w:line="360" w:lineRule="auto"/>
              <w:jc w:val="both"/>
              <w:rPr>
                <w:rFonts w:ascii="宋体" w:hAnsi="宋体" w:cs="宋体"/>
                <w:color w:val="auto"/>
                <w:sz w:val="28"/>
                <w:szCs w:val="28"/>
                <w:highlight w:val="none"/>
              </w:rPr>
            </w:pPr>
            <w:r>
              <w:rPr>
                <w:rFonts w:hint="eastAsia" w:ascii="宋体" w:hAnsi="宋体" w:cs="宋体"/>
                <w:color w:val="auto"/>
                <w:sz w:val="28"/>
                <w:szCs w:val="28"/>
                <w:highlight w:val="none"/>
              </w:rPr>
              <w:t>部分15分</w:t>
            </w:r>
          </w:p>
        </w:tc>
        <w:tc>
          <w:tcPr>
            <w:tcW w:w="1350" w:type="dxa"/>
            <w:tcBorders>
              <w:tl2br w:val="nil"/>
              <w:tr2bl w:val="nil"/>
            </w:tcBorders>
            <w:vAlign w:val="center"/>
          </w:tcPr>
          <w:p w14:paraId="11530205">
            <w:pPr>
              <w:spacing w:line="360" w:lineRule="auto"/>
              <w:jc w:val="center"/>
              <w:rPr>
                <w:rFonts w:ascii="宋体" w:hAnsi="宋体" w:cs="宋体"/>
                <w:color w:val="auto"/>
                <w:sz w:val="28"/>
                <w:szCs w:val="28"/>
                <w:highlight w:val="none"/>
              </w:rPr>
            </w:pPr>
            <w:r>
              <w:rPr>
                <w:rFonts w:hint="eastAsia" w:ascii="宋体" w:hAnsi="宋体" w:cs="宋体"/>
                <w:color w:val="auto"/>
                <w:sz w:val="28"/>
                <w:szCs w:val="28"/>
                <w:highlight w:val="none"/>
              </w:rPr>
              <w:t>业绩</w:t>
            </w:r>
          </w:p>
          <w:p w14:paraId="38813696">
            <w:pPr>
              <w:spacing w:line="360" w:lineRule="auto"/>
              <w:jc w:val="center"/>
              <w:rPr>
                <w:rFonts w:ascii="宋体" w:hAnsi="宋体" w:cs="宋体"/>
                <w:color w:val="auto"/>
                <w:sz w:val="28"/>
                <w:szCs w:val="28"/>
                <w:highlight w:val="none"/>
              </w:rPr>
            </w:pPr>
            <w:r>
              <w:rPr>
                <w:rFonts w:hint="eastAsia" w:ascii="宋体" w:hAnsi="宋体" w:cs="宋体"/>
                <w:color w:val="auto"/>
                <w:sz w:val="28"/>
                <w:szCs w:val="28"/>
                <w:highlight w:val="none"/>
              </w:rPr>
              <w:t>2分</w:t>
            </w:r>
          </w:p>
        </w:tc>
        <w:tc>
          <w:tcPr>
            <w:tcW w:w="6813" w:type="dxa"/>
            <w:tcBorders>
              <w:tl2br w:val="nil"/>
              <w:tr2bl w:val="nil"/>
            </w:tcBorders>
            <w:vAlign w:val="center"/>
          </w:tcPr>
          <w:p w14:paraId="5017D7E2">
            <w:pPr>
              <w:spacing w:line="360" w:lineRule="auto"/>
              <w:jc w:val="both"/>
              <w:rPr>
                <w:rFonts w:ascii="宋体" w:hAnsi="宋体" w:cs="宋体"/>
                <w:color w:val="auto"/>
                <w:sz w:val="28"/>
                <w:szCs w:val="28"/>
                <w:highlight w:val="none"/>
              </w:rPr>
            </w:pPr>
            <w:r>
              <w:rPr>
                <w:rFonts w:hint="eastAsia" w:ascii="宋体" w:hAnsi="宋体" w:cs="宋体"/>
                <w:color w:val="auto"/>
                <w:sz w:val="28"/>
                <w:szCs w:val="28"/>
                <w:highlight w:val="none"/>
              </w:rPr>
              <w:t>供应商提供近三年（202</w:t>
            </w:r>
            <w:r>
              <w:rPr>
                <w:rFonts w:hint="eastAsia" w:ascii="宋体" w:hAnsi="宋体" w:cs="宋体"/>
                <w:color w:val="auto"/>
                <w:sz w:val="28"/>
                <w:szCs w:val="28"/>
                <w:highlight w:val="none"/>
                <w:lang w:val="en-US" w:eastAsia="zh-CN"/>
              </w:rPr>
              <w:t>4</w:t>
            </w:r>
            <w:r>
              <w:rPr>
                <w:rFonts w:hint="eastAsia" w:ascii="宋体" w:hAnsi="宋体" w:cs="宋体"/>
                <w:color w:val="auto"/>
                <w:sz w:val="28"/>
                <w:szCs w:val="28"/>
                <w:highlight w:val="none"/>
              </w:rPr>
              <w:t>年1月1日以来）签订的已经完工并经过用户验收合格的且与所投产品类似的合同业绩及验收报告原件复印件加盖公章，每提供一份得1分，最高得2分，不提供不得分。</w:t>
            </w:r>
          </w:p>
          <w:p w14:paraId="3DC1C634">
            <w:pPr>
              <w:spacing w:line="360" w:lineRule="auto"/>
              <w:jc w:val="both"/>
              <w:rPr>
                <w:rFonts w:ascii="宋体" w:hAnsi="宋体" w:cs="宋体"/>
                <w:color w:val="auto"/>
                <w:sz w:val="28"/>
                <w:szCs w:val="28"/>
                <w:highlight w:val="none"/>
              </w:rPr>
            </w:pPr>
            <w:r>
              <w:rPr>
                <w:rFonts w:hint="eastAsia" w:ascii="宋体" w:hAnsi="宋体" w:cs="宋体"/>
                <w:color w:val="auto"/>
                <w:sz w:val="28"/>
                <w:szCs w:val="28"/>
                <w:highlight w:val="none"/>
              </w:rPr>
              <w:t>注：时间以合同签订时间为准。</w:t>
            </w:r>
          </w:p>
        </w:tc>
      </w:tr>
      <w:tr w14:paraId="337B6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5" w:type="dxa"/>
            <w:vMerge w:val="continue"/>
            <w:tcBorders>
              <w:tl2br w:val="nil"/>
              <w:tr2bl w:val="nil"/>
            </w:tcBorders>
            <w:vAlign w:val="center"/>
          </w:tcPr>
          <w:p w14:paraId="67F4C156">
            <w:pPr>
              <w:spacing w:line="360" w:lineRule="auto"/>
              <w:jc w:val="both"/>
              <w:rPr>
                <w:rFonts w:ascii="宋体" w:hAnsi="宋体" w:cs="宋体"/>
                <w:color w:val="auto"/>
                <w:sz w:val="28"/>
                <w:szCs w:val="28"/>
                <w:highlight w:val="none"/>
              </w:rPr>
            </w:pPr>
          </w:p>
        </w:tc>
        <w:tc>
          <w:tcPr>
            <w:tcW w:w="1350" w:type="dxa"/>
            <w:tcBorders>
              <w:tl2br w:val="nil"/>
              <w:tr2bl w:val="nil"/>
            </w:tcBorders>
            <w:vAlign w:val="center"/>
          </w:tcPr>
          <w:p w14:paraId="6FB85FD6">
            <w:pPr>
              <w:spacing w:line="360" w:lineRule="auto"/>
              <w:jc w:val="center"/>
              <w:rPr>
                <w:rFonts w:ascii="宋体" w:hAnsi="宋体"/>
                <w:color w:val="auto"/>
                <w:sz w:val="28"/>
                <w:szCs w:val="28"/>
                <w:highlight w:val="none"/>
              </w:rPr>
            </w:pPr>
            <w:r>
              <w:rPr>
                <w:rFonts w:hint="eastAsia" w:ascii="宋体" w:hAnsi="宋体"/>
                <w:color w:val="auto"/>
                <w:sz w:val="28"/>
                <w:szCs w:val="28"/>
                <w:highlight w:val="none"/>
              </w:rPr>
              <w:t>售后服务</w:t>
            </w:r>
          </w:p>
          <w:p w14:paraId="5D9ACC19">
            <w:pPr>
              <w:spacing w:line="360" w:lineRule="auto"/>
              <w:jc w:val="center"/>
              <w:rPr>
                <w:rFonts w:ascii="宋体" w:hAnsi="宋体"/>
                <w:color w:val="auto"/>
                <w:sz w:val="28"/>
                <w:szCs w:val="28"/>
                <w:highlight w:val="none"/>
              </w:rPr>
            </w:pPr>
            <w:r>
              <w:rPr>
                <w:rFonts w:hint="eastAsia" w:ascii="宋体" w:hAnsi="宋体"/>
                <w:color w:val="auto"/>
                <w:sz w:val="28"/>
                <w:szCs w:val="28"/>
                <w:highlight w:val="none"/>
                <w:lang w:val="en-US" w:eastAsia="zh-CN"/>
              </w:rPr>
              <w:t>6</w:t>
            </w:r>
            <w:r>
              <w:rPr>
                <w:rFonts w:hint="eastAsia" w:ascii="宋体" w:hAnsi="宋体"/>
                <w:color w:val="auto"/>
                <w:sz w:val="28"/>
                <w:szCs w:val="28"/>
                <w:highlight w:val="none"/>
              </w:rPr>
              <w:t>分</w:t>
            </w:r>
          </w:p>
        </w:tc>
        <w:tc>
          <w:tcPr>
            <w:tcW w:w="6813" w:type="dxa"/>
            <w:tcBorders>
              <w:tl2br w:val="nil"/>
              <w:tr2bl w:val="nil"/>
            </w:tcBorders>
            <w:vAlign w:val="center"/>
          </w:tcPr>
          <w:p w14:paraId="1694B766">
            <w:pPr>
              <w:spacing w:line="360" w:lineRule="auto"/>
              <w:jc w:val="both"/>
              <w:rPr>
                <w:rFonts w:ascii="宋体" w:hAnsi="宋体" w:cs="宋体"/>
                <w:color w:val="auto"/>
                <w:sz w:val="28"/>
                <w:szCs w:val="28"/>
                <w:highlight w:val="none"/>
              </w:rPr>
            </w:pPr>
            <w:r>
              <w:rPr>
                <w:rFonts w:ascii="宋体" w:hAnsi="宋体" w:cs="宋体"/>
                <w:color w:val="auto"/>
                <w:sz w:val="28"/>
                <w:szCs w:val="28"/>
                <w:highlight w:val="none"/>
              </w:rPr>
              <w:t>根据供应商售后服务方案评审：供应商</w:t>
            </w:r>
            <w:r>
              <w:rPr>
                <w:rFonts w:hint="eastAsia" w:ascii="宋体" w:hAnsi="宋体" w:cs="宋体"/>
                <w:color w:val="auto"/>
                <w:sz w:val="28"/>
                <w:szCs w:val="28"/>
                <w:highlight w:val="none"/>
                <w:lang w:val="en-US" w:eastAsia="zh-CN"/>
              </w:rPr>
              <w:t>具有</w:t>
            </w:r>
            <w:r>
              <w:rPr>
                <w:rFonts w:ascii="宋体" w:hAnsi="宋体" w:cs="宋体"/>
                <w:color w:val="auto"/>
                <w:sz w:val="28"/>
                <w:szCs w:val="28"/>
                <w:highlight w:val="none"/>
              </w:rPr>
              <w:t>完善的售后服务管理体系和专业服务队伍，提供全方位的技术支持工作，并对如何实施服务提出承诺。</w:t>
            </w:r>
          </w:p>
          <w:p w14:paraId="624C6F23">
            <w:pPr>
              <w:spacing w:line="360" w:lineRule="auto"/>
              <w:jc w:val="both"/>
              <w:rPr>
                <w:rFonts w:ascii="宋体" w:hAnsi="宋体" w:cs="宋体"/>
                <w:color w:val="auto"/>
                <w:sz w:val="28"/>
                <w:szCs w:val="28"/>
                <w:highlight w:val="none"/>
              </w:rPr>
            </w:pPr>
            <w:r>
              <w:rPr>
                <w:rFonts w:ascii="宋体" w:hAnsi="宋体" w:cs="宋体"/>
                <w:color w:val="auto"/>
                <w:sz w:val="28"/>
                <w:szCs w:val="28"/>
                <w:highlight w:val="none"/>
              </w:rPr>
              <w:t>1.完全满足售后服务要求，且质量保证期内外的售后服务计划详细得当，</w:t>
            </w:r>
            <w:r>
              <w:rPr>
                <w:rFonts w:hint="eastAsia" w:ascii="宋体" w:hAnsi="宋体" w:cs="宋体"/>
                <w:color w:val="auto"/>
                <w:sz w:val="28"/>
                <w:szCs w:val="28"/>
                <w:highlight w:val="none"/>
              </w:rPr>
              <w:t>且完全贴合项目采购需求，</w:t>
            </w:r>
            <w:r>
              <w:rPr>
                <w:rFonts w:ascii="宋体" w:hAnsi="宋体" w:cs="宋体"/>
                <w:color w:val="auto"/>
                <w:sz w:val="28"/>
                <w:szCs w:val="28"/>
                <w:highlight w:val="none"/>
              </w:rPr>
              <w:t>质保承诺书全面，以及售后服务承诺响应、处理及跟踪方案贴合项目实际情况</w:t>
            </w:r>
            <w:r>
              <w:rPr>
                <w:rFonts w:hint="eastAsia" w:ascii="宋体" w:hAnsi="宋体" w:cs="宋体"/>
                <w:color w:val="auto"/>
                <w:sz w:val="28"/>
                <w:szCs w:val="28"/>
                <w:highlight w:val="none"/>
              </w:rPr>
              <w:t>；</w:t>
            </w:r>
            <w:r>
              <w:rPr>
                <w:rFonts w:ascii="宋体" w:hAnsi="宋体" w:cs="宋体"/>
                <w:color w:val="auto"/>
                <w:sz w:val="28"/>
                <w:szCs w:val="28"/>
                <w:highlight w:val="none"/>
              </w:rPr>
              <w:t>1小时内对维修要求及设备问题响应并提出解决方案</w:t>
            </w:r>
            <w:r>
              <w:rPr>
                <w:rFonts w:hint="eastAsia" w:ascii="宋体" w:hAnsi="宋体" w:cs="宋体"/>
                <w:color w:val="auto"/>
                <w:sz w:val="28"/>
                <w:szCs w:val="28"/>
                <w:highlight w:val="none"/>
              </w:rPr>
              <w:t>，</w:t>
            </w:r>
            <w:r>
              <w:rPr>
                <w:rFonts w:ascii="宋体" w:hAnsi="宋体" w:cs="宋体"/>
                <w:color w:val="auto"/>
                <w:sz w:val="28"/>
                <w:szCs w:val="28"/>
                <w:highlight w:val="none"/>
              </w:rPr>
              <w:t>2小时内到达现场提供技术支持，解决问题不超过12小时，每年进行巡检4次</w:t>
            </w:r>
            <w:r>
              <w:rPr>
                <w:rFonts w:hint="eastAsia" w:ascii="宋体" w:hAnsi="宋体" w:cs="宋体"/>
                <w:color w:val="auto"/>
                <w:sz w:val="28"/>
                <w:szCs w:val="28"/>
                <w:highlight w:val="none"/>
              </w:rPr>
              <w:t>，</w:t>
            </w:r>
            <w:r>
              <w:rPr>
                <w:rFonts w:ascii="宋体" w:hAnsi="宋体" w:cs="宋体"/>
                <w:color w:val="auto"/>
                <w:sz w:val="28"/>
                <w:szCs w:val="28"/>
                <w:highlight w:val="none"/>
              </w:rPr>
              <w:t>并提供</w:t>
            </w:r>
            <w:r>
              <w:rPr>
                <w:rFonts w:hint="eastAsia" w:ascii="宋体" w:hAnsi="宋体" w:cs="宋体"/>
                <w:color w:val="auto"/>
                <w:sz w:val="28"/>
                <w:szCs w:val="28"/>
                <w:highlight w:val="none"/>
              </w:rPr>
              <w:t>相应</w:t>
            </w:r>
            <w:r>
              <w:rPr>
                <w:rFonts w:ascii="宋体" w:hAnsi="宋体" w:cs="宋体"/>
                <w:color w:val="auto"/>
                <w:sz w:val="28"/>
                <w:szCs w:val="28"/>
                <w:highlight w:val="none"/>
              </w:rPr>
              <w:t>的证明文件的</w:t>
            </w:r>
            <w:r>
              <w:rPr>
                <w:rFonts w:hint="eastAsia" w:ascii="宋体" w:hAnsi="宋体" w:cs="宋体"/>
                <w:color w:val="auto"/>
                <w:sz w:val="28"/>
                <w:szCs w:val="28"/>
                <w:highlight w:val="none"/>
              </w:rPr>
              <w:t>，</w:t>
            </w:r>
            <w:r>
              <w:rPr>
                <w:rFonts w:ascii="宋体" w:hAnsi="宋体" w:cs="宋体"/>
                <w:color w:val="auto"/>
                <w:sz w:val="28"/>
                <w:szCs w:val="28"/>
                <w:highlight w:val="none"/>
              </w:rPr>
              <w:t>得</w:t>
            </w:r>
            <w:r>
              <w:rPr>
                <w:rFonts w:hint="eastAsia" w:ascii="宋体" w:hAnsi="宋体" w:cs="宋体"/>
                <w:color w:val="auto"/>
                <w:sz w:val="28"/>
                <w:szCs w:val="28"/>
                <w:highlight w:val="none"/>
                <w:lang w:val="en-US" w:eastAsia="zh-CN"/>
              </w:rPr>
              <w:t>6</w:t>
            </w:r>
            <w:r>
              <w:rPr>
                <w:rFonts w:ascii="宋体" w:hAnsi="宋体" w:cs="宋体"/>
                <w:color w:val="auto"/>
                <w:sz w:val="28"/>
                <w:szCs w:val="28"/>
                <w:highlight w:val="none"/>
              </w:rPr>
              <w:t>分</w:t>
            </w:r>
            <w:bookmarkStart w:id="78" w:name="OLE_LINK4"/>
            <w:bookmarkStart w:id="79" w:name="OLE_LINK3"/>
            <w:r>
              <w:rPr>
                <w:rFonts w:ascii="宋体" w:hAnsi="宋体" w:cs="宋体"/>
                <w:color w:val="auto"/>
                <w:sz w:val="28"/>
                <w:szCs w:val="28"/>
                <w:highlight w:val="none"/>
              </w:rPr>
              <w:t>；</w:t>
            </w:r>
            <w:bookmarkEnd w:id="78"/>
            <w:bookmarkEnd w:id="79"/>
          </w:p>
          <w:p w14:paraId="29507C90">
            <w:pPr>
              <w:spacing w:line="360" w:lineRule="auto"/>
              <w:jc w:val="both"/>
              <w:rPr>
                <w:rFonts w:ascii="宋体" w:hAnsi="宋体" w:cs="宋体"/>
                <w:color w:val="auto"/>
                <w:sz w:val="28"/>
                <w:szCs w:val="28"/>
                <w:highlight w:val="none"/>
              </w:rPr>
            </w:pPr>
            <w:r>
              <w:rPr>
                <w:rFonts w:ascii="宋体" w:hAnsi="宋体" w:cs="宋体"/>
                <w:color w:val="auto"/>
                <w:sz w:val="28"/>
                <w:szCs w:val="28"/>
                <w:highlight w:val="none"/>
              </w:rPr>
              <w:t>2.满足售后服务要求，</w:t>
            </w:r>
            <w:r>
              <w:rPr>
                <w:rFonts w:hint="eastAsia" w:ascii="宋体" w:hAnsi="宋体" w:cs="宋体"/>
                <w:color w:val="auto"/>
                <w:sz w:val="28"/>
                <w:szCs w:val="28"/>
                <w:highlight w:val="none"/>
              </w:rPr>
              <w:t>有</w:t>
            </w:r>
            <w:r>
              <w:rPr>
                <w:rFonts w:ascii="宋体" w:hAnsi="宋体" w:cs="宋体"/>
                <w:color w:val="auto"/>
                <w:sz w:val="28"/>
                <w:szCs w:val="28"/>
                <w:highlight w:val="none"/>
              </w:rPr>
              <w:t>质量保证期内外的售后服务计划，</w:t>
            </w:r>
            <w:r>
              <w:rPr>
                <w:rFonts w:hint="eastAsia" w:ascii="宋体" w:hAnsi="宋体" w:cs="宋体"/>
                <w:color w:val="auto"/>
                <w:sz w:val="28"/>
                <w:szCs w:val="28"/>
                <w:highlight w:val="none"/>
              </w:rPr>
              <w:t>但未贴合采购需求进行描述，</w:t>
            </w:r>
            <w:r>
              <w:rPr>
                <w:rFonts w:ascii="宋体" w:hAnsi="宋体" w:cs="宋体"/>
                <w:color w:val="auto"/>
                <w:sz w:val="28"/>
                <w:szCs w:val="28"/>
                <w:highlight w:val="none"/>
              </w:rPr>
              <w:t>质保承诺书不全面，售后服务承诺响应、处理及跟踪方案满足项目具体需求</w:t>
            </w:r>
            <w:r>
              <w:rPr>
                <w:rFonts w:hint="eastAsia" w:ascii="宋体" w:hAnsi="宋体" w:cs="宋体"/>
                <w:color w:val="auto"/>
                <w:sz w:val="28"/>
                <w:szCs w:val="28"/>
                <w:highlight w:val="none"/>
              </w:rPr>
              <w:t>；</w:t>
            </w:r>
            <w:r>
              <w:rPr>
                <w:rFonts w:ascii="宋体" w:hAnsi="宋体" w:cs="宋体"/>
                <w:color w:val="auto"/>
                <w:sz w:val="28"/>
                <w:szCs w:val="28"/>
                <w:highlight w:val="none"/>
              </w:rPr>
              <w:t>1小时内对维修要求及问题响应并提出解决方案，3小时内到达现场提供技术支持，解决问题不超过12小时，每年进行巡检3次</w:t>
            </w:r>
            <w:r>
              <w:rPr>
                <w:rFonts w:hint="eastAsia" w:ascii="宋体" w:hAnsi="宋体" w:cs="宋体"/>
                <w:color w:val="auto"/>
                <w:sz w:val="28"/>
                <w:szCs w:val="28"/>
                <w:highlight w:val="none"/>
              </w:rPr>
              <w:t>，</w:t>
            </w:r>
            <w:r>
              <w:rPr>
                <w:rFonts w:ascii="宋体" w:hAnsi="宋体" w:cs="宋体"/>
                <w:color w:val="auto"/>
                <w:sz w:val="28"/>
                <w:szCs w:val="28"/>
                <w:highlight w:val="none"/>
              </w:rPr>
              <w:t>得</w:t>
            </w:r>
            <w:r>
              <w:rPr>
                <w:rFonts w:hint="eastAsia" w:ascii="宋体" w:hAnsi="宋体" w:cs="宋体"/>
                <w:color w:val="auto"/>
                <w:sz w:val="28"/>
                <w:szCs w:val="28"/>
                <w:highlight w:val="none"/>
              </w:rPr>
              <w:t>3</w:t>
            </w:r>
            <w:r>
              <w:rPr>
                <w:rFonts w:ascii="宋体" w:hAnsi="宋体" w:cs="宋体"/>
                <w:color w:val="auto"/>
                <w:sz w:val="28"/>
                <w:szCs w:val="28"/>
                <w:highlight w:val="none"/>
              </w:rPr>
              <w:t>分；</w:t>
            </w:r>
          </w:p>
          <w:p w14:paraId="0FC77AE7">
            <w:pPr>
              <w:spacing w:line="360" w:lineRule="auto"/>
              <w:jc w:val="both"/>
              <w:rPr>
                <w:rFonts w:ascii="宋体" w:hAnsi="宋体" w:cs="宋体"/>
                <w:color w:val="auto"/>
                <w:sz w:val="28"/>
                <w:szCs w:val="28"/>
                <w:highlight w:val="none"/>
              </w:rPr>
            </w:pPr>
            <w:r>
              <w:rPr>
                <w:rFonts w:ascii="宋体" w:hAnsi="宋体" w:cs="宋体"/>
                <w:color w:val="auto"/>
                <w:sz w:val="28"/>
                <w:szCs w:val="28"/>
                <w:highlight w:val="none"/>
              </w:rPr>
              <w:t>3.满足售后服务要求</w:t>
            </w:r>
            <w:r>
              <w:rPr>
                <w:rFonts w:hint="eastAsia" w:ascii="宋体" w:hAnsi="宋体" w:cs="宋体"/>
                <w:color w:val="auto"/>
                <w:sz w:val="28"/>
                <w:szCs w:val="28"/>
                <w:highlight w:val="none"/>
              </w:rPr>
              <w:t>，具有</w:t>
            </w:r>
            <w:r>
              <w:rPr>
                <w:rFonts w:ascii="宋体" w:hAnsi="宋体" w:cs="宋体"/>
                <w:color w:val="auto"/>
                <w:sz w:val="28"/>
                <w:szCs w:val="28"/>
                <w:highlight w:val="none"/>
              </w:rPr>
              <w:t>质量保证期内外的售后服务计划，</w:t>
            </w:r>
            <w:r>
              <w:rPr>
                <w:rFonts w:hint="eastAsia" w:ascii="宋体" w:hAnsi="宋体" w:cs="宋体"/>
                <w:color w:val="auto"/>
                <w:sz w:val="28"/>
                <w:szCs w:val="28"/>
                <w:highlight w:val="none"/>
              </w:rPr>
              <w:t>但内容不完整存在明显缺陷；</w:t>
            </w:r>
            <w:r>
              <w:rPr>
                <w:rFonts w:ascii="宋体" w:hAnsi="宋体" w:cs="宋体"/>
                <w:color w:val="auto"/>
                <w:sz w:val="28"/>
                <w:szCs w:val="28"/>
                <w:highlight w:val="none"/>
              </w:rPr>
              <w:t>2小时内对维修要求及问题响应并提出解决方案</w:t>
            </w:r>
            <w:r>
              <w:rPr>
                <w:rFonts w:hint="eastAsia" w:ascii="宋体" w:hAnsi="宋体" w:cs="宋体"/>
                <w:color w:val="auto"/>
                <w:sz w:val="28"/>
                <w:szCs w:val="28"/>
                <w:highlight w:val="none"/>
              </w:rPr>
              <w:t>，</w:t>
            </w:r>
            <w:r>
              <w:rPr>
                <w:rFonts w:ascii="宋体" w:hAnsi="宋体" w:cs="宋体"/>
                <w:color w:val="auto"/>
                <w:sz w:val="28"/>
                <w:szCs w:val="28"/>
                <w:highlight w:val="none"/>
              </w:rPr>
              <w:t>4小时内到达现场提供技术支持，解决问题不超过24小时，每年进行巡检2次</w:t>
            </w:r>
            <w:r>
              <w:rPr>
                <w:rFonts w:hint="eastAsia" w:ascii="宋体" w:hAnsi="宋体" w:cs="宋体"/>
                <w:color w:val="auto"/>
                <w:sz w:val="28"/>
                <w:szCs w:val="28"/>
                <w:highlight w:val="none"/>
              </w:rPr>
              <w:t>，</w:t>
            </w:r>
            <w:r>
              <w:rPr>
                <w:rFonts w:ascii="宋体" w:hAnsi="宋体" w:cs="宋体"/>
                <w:color w:val="auto"/>
                <w:sz w:val="28"/>
                <w:szCs w:val="28"/>
                <w:highlight w:val="none"/>
              </w:rPr>
              <w:t>得1分；</w:t>
            </w:r>
          </w:p>
          <w:p w14:paraId="72C2BA8B">
            <w:pPr>
              <w:spacing w:line="360" w:lineRule="auto"/>
              <w:jc w:val="both"/>
              <w:rPr>
                <w:rFonts w:ascii="宋体" w:hAnsi="宋体" w:cs="宋体"/>
                <w:color w:val="auto"/>
                <w:sz w:val="28"/>
                <w:szCs w:val="28"/>
                <w:highlight w:val="none"/>
              </w:rPr>
            </w:pPr>
            <w:r>
              <w:rPr>
                <w:rFonts w:ascii="宋体" w:hAnsi="宋体" w:cs="宋体"/>
                <w:color w:val="auto"/>
                <w:sz w:val="28"/>
                <w:szCs w:val="28"/>
                <w:highlight w:val="none"/>
              </w:rPr>
              <w:t>4.对维修要求及设备问题响应并提出解决方案超过3小时，到达现场提供技术支持超过4小时，解决问题超过 24小时，每年进行巡检少于1次</w:t>
            </w:r>
            <w:r>
              <w:rPr>
                <w:rFonts w:hint="eastAsia" w:ascii="宋体" w:hAnsi="宋体" w:cs="宋体"/>
                <w:color w:val="auto"/>
                <w:sz w:val="28"/>
                <w:szCs w:val="28"/>
                <w:highlight w:val="none"/>
              </w:rPr>
              <w:t>，</w:t>
            </w:r>
            <w:r>
              <w:rPr>
                <w:rFonts w:ascii="宋体" w:hAnsi="宋体" w:cs="宋体"/>
                <w:color w:val="auto"/>
                <w:sz w:val="28"/>
                <w:szCs w:val="28"/>
                <w:highlight w:val="none"/>
              </w:rPr>
              <w:t>得0分。</w:t>
            </w:r>
          </w:p>
        </w:tc>
      </w:tr>
      <w:tr w14:paraId="79A57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5" w:type="dxa"/>
            <w:vMerge w:val="continue"/>
            <w:tcBorders>
              <w:tl2br w:val="nil"/>
              <w:tr2bl w:val="nil"/>
            </w:tcBorders>
            <w:vAlign w:val="center"/>
          </w:tcPr>
          <w:p w14:paraId="1FA13877">
            <w:pPr>
              <w:spacing w:line="360" w:lineRule="auto"/>
              <w:jc w:val="both"/>
              <w:rPr>
                <w:rFonts w:ascii="宋体" w:hAnsi="宋体" w:cs="宋体"/>
                <w:color w:val="auto"/>
                <w:sz w:val="28"/>
                <w:szCs w:val="28"/>
                <w:highlight w:val="none"/>
              </w:rPr>
            </w:pPr>
          </w:p>
        </w:tc>
        <w:tc>
          <w:tcPr>
            <w:tcW w:w="1350" w:type="dxa"/>
            <w:tcBorders>
              <w:tl2br w:val="nil"/>
              <w:tr2bl w:val="nil"/>
            </w:tcBorders>
            <w:vAlign w:val="center"/>
          </w:tcPr>
          <w:p w14:paraId="25EC77CE">
            <w:pPr>
              <w:spacing w:line="360" w:lineRule="auto"/>
              <w:jc w:val="center"/>
              <w:rPr>
                <w:rFonts w:ascii="宋体" w:hAnsi="宋体" w:cs="宋体"/>
                <w:color w:val="auto"/>
                <w:sz w:val="28"/>
                <w:szCs w:val="28"/>
                <w:highlight w:val="none"/>
              </w:rPr>
            </w:pPr>
            <w:r>
              <w:rPr>
                <w:rFonts w:hint="eastAsia" w:ascii="宋体" w:hAnsi="宋体" w:cs="宋体"/>
                <w:color w:val="auto"/>
                <w:sz w:val="28"/>
                <w:szCs w:val="28"/>
                <w:highlight w:val="none"/>
              </w:rPr>
              <w:t>培训方案5分</w:t>
            </w:r>
          </w:p>
        </w:tc>
        <w:tc>
          <w:tcPr>
            <w:tcW w:w="6813" w:type="dxa"/>
            <w:tcBorders>
              <w:tl2br w:val="nil"/>
              <w:tr2bl w:val="nil"/>
            </w:tcBorders>
            <w:vAlign w:val="center"/>
          </w:tcPr>
          <w:p w14:paraId="7BBCD434">
            <w:pPr>
              <w:tabs>
                <w:tab w:val="left" w:pos="1162"/>
              </w:tabs>
              <w:adjustRightInd w:val="0"/>
              <w:snapToGrid w:val="0"/>
              <w:spacing w:line="360" w:lineRule="auto"/>
              <w:jc w:val="both"/>
              <w:rPr>
                <w:rFonts w:ascii="宋体" w:hAnsi="宋体" w:cs="宋体"/>
                <w:color w:val="auto"/>
                <w:sz w:val="28"/>
                <w:szCs w:val="28"/>
                <w:highlight w:val="none"/>
              </w:rPr>
            </w:pPr>
            <w:r>
              <w:rPr>
                <w:rFonts w:hint="eastAsia" w:ascii="宋体" w:hAnsi="宋体" w:cs="宋体"/>
                <w:color w:val="auto"/>
                <w:sz w:val="28"/>
                <w:szCs w:val="28"/>
                <w:highlight w:val="none"/>
              </w:rPr>
              <w:t>评审小组根据供应商提供详细合理、可操作性强的培训计划方案进行打分，不提供不得分。</w:t>
            </w:r>
          </w:p>
          <w:p w14:paraId="1625BBD7">
            <w:pPr>
              <w:tabs>
                <w:tab w:val="left" w:pos="1162"/>
              </w:tabs>
              <w:adjustRightInd w:val="0"/>
              <w:snapToGrid w:val="0"/>
              <w:spacing w:line="360" w:lineRule="auto"/>
              <w:jc w:val="both"/>
              <w:rPr>
                <w:rFonts w:ascii="宋体" w:hAnsi="宋体" w:cs="宋体"/>
                <w:color w:val="auto"/>
                <w:sz w:val="28"/>
                <w:szCs w:val="28"/>
                <w:highlight w:val="none"/>
              </w:rPr>
            </w:pPr>
            <w:r>
              <w:rPr>
                <w:rFonts w:hint="eastAsia" w:ascii="宋体" w:hAnsi="宋体" w:cs="宋体"/>
                <w:color w:val="auto"/>
                <w:sz w:val="28"/>
                <w:szCs w:val="28"/>
                <w:highlight w:val="none"/>
              </w:rPr>
              <w:t>（1）根据项目情况能够提供符合供货期要求，并能详细描述培训流程，且完全贴合项目采购需求，切实可行；提供不低于2天5人的培训维护方案的，得5分；</w:t>
            </w:r>
          </w:p>
          <w:p w14:paraId="40A3DEC7">
            <w:pPr>
              <w:tabs>
                <w:tab w:val="left" w:pos="1162"/>
              </w:tabs>
              <w:adjustRightInd w:val="0"/>
              <w:snapToGrid w:val="0"/>
              <w:spacing w:line="360" w:lineRule="auto"/>
              <w:jc w:val="both"/>
              <w:rPr>
                <w:rFonts w:ascii="宋体" w:hAnsi="宋体" w:cs="宋体"/>
                <w:color w:val="auto"/>
                <w:sz w:val="28"/>
                <w:szCs w:val="28"/>
                <w:highlight w:val="none"/>
              </w:rPr>
            </w:pPr>
            <w:r>
              <w:rPr>
                <w:rFonts w:hint="eastAsia" w:ascii="宋体" w:hAnsi="宋体" w:cs="宋体"/>
                <w:color w:val="auto"/>
                <w:sz w:val="28"/>
                <w:szCs w:val="28"/>
                <w:highlight w:val="none"/>
              </w:rPr>
              <w:t>（2）根据项目情况能够提供符合供货期要求，并具有培训流程，但未贴合采购需求进行描述；提供不低于2天3人的培训维护方案的，得</w:t>
            </w:r>
            <w:r>
              <w:rPr>
                <w:rFonts w:ascii="宋体" w:hAnsi="宋体" w:cs="宋体"/>
                <w:color w:val="auto"/>
                <w:sz w:val="28"/>
                <w:szCs w:val="28"/>
                <w:highlight w:val="none"/>
              </w:rPr>
              <w:t>3</w:t>
            </w:r>
            <w:r>
              <w:rPr>
                <w:rFonts w:hint="eastAsia" w:ascii="宋体" w:hAnsi="宋体" w:cs="宋体"/>
                <w:color w:val="auto"/>
                <w:sz w:val="28"/>
                <w:szCs w:val="28"/>
                <w:highlight w:val="none"/>
              </w:rPr>
              <w:t>分；</w:t>
            </w:r>
          </w:p>
          <w:p w14:paraId="69A6508E">
            <w:pPr>
              <w:spacing w:line="360" w:lineRule="auto"/>
              <w:jc w:val="both"/>
              <w:rPr>
                <w:rFonts w:ascii="宋体" w:hAnsi="宋体" w:cs="宋体"/>
                <w:color w:val="auto"/>
                <w:sz w:val="28"/>
                <w:szCs w:val="28"/>
                <w:highlight w:val="none"/>
              </w:rPr>
            </w:pPr>
            <w:r>
              <w:rPr>
                <w:rFonts w:hint="eastAsia" w:ascii="宋体" w:hAnsi="宋体" w:cs="宋体"/>
                <w:color w:val="auto"/>
                <w:sz w:val="28"/>
                <w:szCs w:val="28"/>
                <w:highlight w:val="none"/>
              </w:rPr>
              <w:t>（3）根据项目情况能够提供符合供货期要求，能描述培训流程，但内容不完整存在明显缺陷；提供不低于1天2人的培训维护方案的，得</w:t>
            </w:r>
            <w:r>
              <w:rPr>
                <w:rFonts w:ascii="宋体" w:hAnsi="宋体" w:cs="宋体"/>
                <w:color w:val="auto"/>
                <w:sz w:val="28"/>
                <w:szCs w:val="28"/>
                <w:highlight w:val="none"/>
              </w:rPr>
              <w:t>1</w:t>
            </w:r>
            <w:r>
              <w:rPr>
                <w:rFonts w:hint="eastAsia" w:ascii="宋体" w:hAnsi="宋体" w:cs="宋体"/>
                <w:color w:val="auto"/>
                <w:sz w:val="28"/>
                <w:szCs w:val="28"/>
                <w:highlight w:val="none"/>
              </w:rPr>
              <w:t>分；</w:t>
            </w:r>
          </w:p>
          <w:p w14:paraId="2C6D56BE">
            <w:pPr>
              <w:spacing w:line="360" w:lineRule="auto"/>
              <w:jc w:val="both"/>
              <w:rPr>
                <w:rFonts w:ascii="宋体" w:hAnsi="宋体" w:cs="宋体"/>
                <w:color w:val="auto"/>
                <w:sz w:val="28"/>
                <w:szCs w:val="28"/>
                <w:highlight w:val="none"/>
              </w:rPr>
            </w:pPr>
            <w:r>
              <w:rPr>
                <w:rFonts w:hint="eastAsia" w:ascii="宋体" w:hAnsi="宋体" w:cs="宋体"/>
                <w:color w:val="auto"/>
                <w:sz w:val="28"/>
                <w:szCs w:val="28"/>
                <w:highlight w:val="none"/>
              </w:rPr>
              <w:t>（4）未提供实施方案的，不得分。</w:t>
            </w:r>
          </w:p>
        </w:tc>
      </w:tr>
      <w:tr w14:paraId="35F08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5" w:type="dxa"/>
            <w:vMerge w:val="continue"/>
            <w:tcBorders>
              <w:tl2br w:val="nil"/>
              <w:tr2bl w:val="nil"/>
            </w:tcBorders>
            <w:vAlign w:val="center"/>
          </w:tcPr>
          <w:p w14:paraId="5B5AD201">
            <w:pPr>
              <w:spacing w:line="360" w:lineRule="auto"/>
              <w:jc w:val="both"/>
              <w:rPr>
                <w:rFonts w:ascii="宋体" w:hAnsi="宋体" w:cs="宋体"/>
                <w:color w:val="auto"/>
                <w:sz w:val="28"/>
                <w:szCs w:val="28"/>
                <w:highlight w:val="none"/>
              </w:rPr>
            </w:pPr>
          </w:p>
        </w:tc>
        <w:tc>
          <w:tcPr>
            <w:tcW w:w="1350" w:type="dxa"/>
            <w:tcBorders>
              <w:tl2br w:val="nil"/>
              <w:tr2bl w:val="nil"/>
            </w:tcBorders>
            <w:vAlign w:val="center"/>
          </w:tcPr>
          <w:p w14:paraId="504C746B">
            <w:pPr>
              <w:spacing w:line="360" w:lineRule="auto"/>
              <w:jc w:val="center"/>
              <w:rPr>
                <w:rFonts w:ascii="宋体" w:hAnsi="宋体" w:cs="宋体"/>
                <w:color w:val="auto"/>
                <w:sz w:val="28"/>
                <w:szCs w:val="28"/>
                <w:highlight w:val="none"/>
              </w:rPr>
            </w:pPr>
            <w:r>
              <w:rPr>
                <w:rFonts w:hint="eastAsia" w:ascii="宋体" w:hAnsi="宋体" w:cs="宋体"/>
                <w:color w:val="auto"/>
                <w:sz w:val="28"/>
                <w:szCs w:val="28"/>
                <w:highlight w:val="none"/>
              </w:rPr>
              <w:t>质保期</w:t>
            </w:r>
          </w:p>
          <w:p w14:paraId="46375FC8">
            <w:pPr>
              <w:spacing w:line="360" w:lineRule="auto"/>
              <w:jc w:val="center"/>
              <w:rPr>
                <w:rFonts w:ascii="宋体" w:hAnsi="宋体" w:cs="宋体"/>
                <w:color w:val="auto"/>
                <w:sz w:val="28"/>
                <w:szCs w:val="28"/>
                <w:highlight w:val="none"/>
              </w:rPr>
            </w:pPr>
            <w:r>
              <w:rPr>
                <w:rFonts w:hint="eastAsia" w:ascii="宋体" w:hAnsi="宋体" w:cs="宋体"/>
                <w:color w:val="auto"/>
                <w:sz w:val="28"/>
                <w:szCs w:val="28"/>
                <w:highlight w:val="none"/>
              </w:rPr>
              <w:t>2分</w:t>
            </w:r>
          </w:p>
        </w:tc>
        <w:tc>
          <w:tcPr>
            <w:tcW w:w="6813" w:type="dxa"/>
            <w:tcBorders>
              <w:tl2br w:val="nil"/>
              <w:tr2bl w:val="nil"/>
            </w:tcBorders>
            <w:vAlign w:val="center"/>
          </w:tcPr>
          <w:p w14:paraId="55625951">
            <w:pPr>
              <w:spacing w:line="360" w:lineRule="auto"/>
              <w:jc w:val="both"/>
              <w:rPr>
                <w:rFonts w:ascii="宋体" w:hAnsi="宋体" w:cs="宋体"/>
                <w:color w:val="auto"/>
                <w:sz w:val="28"/>
                <w:szCs w:val="28"/>
                <w:highlight w:val="none"/>
              </w:rPr>
            </w:pPr>
            <w:r>
              <w:rPr>
                <w:rFonts w:hint="eastAsia" w:ascii="宋体" w:hAnsi="宋体" w:cs="宋体"/>
                <w:color w:val="auto"/>
                <w:sz w:val="28"/>
                <w:szCs w:val="28"/>
                <w:highlight w:val="none"/>
              </w:rPr>
              <w:t>质保期在招标文件规定的基础上每增加一年得1分，最多得2分。</w:t>
            </w:r>
          </w:p>
          <w:p w14:paraId="39095437">
            <w:pPr>
              <w:spacing w:line="360" w:lineRule="auto"/>
              <w:jc w:val="both"/>
              <w:rPr>
                <w:rFonts w:ascii="宋体" w:hAnsi="宋体" w:cs="宋体"/>
                <w:b/>
                <w:bCs/>
                <w:color w:val="auto"/>
                <w:sz w:val="28"/>
                <w:szCs w:val="28"/>
                <w:highlight w:val="none"/>
              </w:rPr>
            </w:pPr>
            <w:r>
              <w:rPr>
                <w:rFonts w:hint="eastAsia" w:ascii="宋体" w:hAnsi="宋体" w:cs="宋体"/>
                <w:b/>
                <w:bCs/>
                <w:color w:val="auto"/>
                <w:sz w:val="28"/>
                <w:szCs w:val="28"/>
                <w:highlight w:val="none"/>
              </w:rPr>
              <w:t>注：以投标响应文件中“投标报价一览表”的质保期为准。</w:t>
            </w:r>
          </w:p>
        </w:tc>
      </w:tr>
    </w:tbl>
    <w:p w14:paraId="67C5196B">
      <w:pPr>
        <w:rPr>
          <w:color w:val="auto"/>
          <w:highlight w:val="none"/>
        </w:rPr>
      </w:pPr>
      <w:r>
        <w:rPr>
          <w:color w:val="auto"/>
          <w:highlight w:val="none"/>
        </w:rPr>
        <w:br w:type="page"/>
      </w:r>
    </w:p>
    <w:p w14:paraId="0F6D1C34">
      <w:pPr>
        <w:numPr>
          <w:ilvl w:val="0"/>
          <w:numId w:val="0"/>
        </w:numPr>
        <w:spacing w:line="360" w:lineRule="auto"/>
        <w:jc w:val="center"/>
        <w:outlineLvl w:val="0"/>
        <w:rPr>
          <w:rFonts w:ascii="华文宋体" w:eastAsia="华文宋体"/>
          <w:b/>
          <w:color w:val="auto"/>
          <w:sz w:val="36"/>
          <w:highlight w:val="none"/>
        </w:rPr>
      </w:pPr>
      <w:bookmarkStart w:id="80" w:name="_Toc27880"/>
      <w:r>
        <w:rPr>
          <w:rFonts w:hint="eastAsia" w:ascii="仿宋" w:hAnsi="仿宋" w:eastAsia="仿宋" w:cs="仿宋"/>
          <w:b/>
          <w:color w:val="auto"/>
          <w:sz w:val="36"/>
          <w:szCs w:val="22"/>
          <w:highlight w:val="none"/>
          <w:lang w:val="en-US" w:eastAsia="zh-CN" w:bidi="ar-SA"/>
        </w:rPr>
        <w:t>第八章</w:t>
      </w:r>
      <w:r>
        <w:rPr>
          <w:rFonts w:hint="eastAsia" w:ascii="仿宋" w:hAnsi="仿宋" w:eastAsia="仿宋" w:cs="仿宋"/>
          <w:b/>
          <w:color w:val="auto"/>
          <w:sz w:val="36"/>
          <w:highlight w:val="none"/>
        </w:rPr>
        <w:t xml:space="preserve"> 合同条款及格式</w:t>
      </w:r>
      <w:bookmarkEnd w:id="80"/>
      <w:bookmarkStart w:id="81" w:name="一、合同条款资料表"/>
      <w:bookmarkEnd w:id="81"/>
    </w:p>
    <w:p w14:paraId="51E68130">
      <w:pPr>
        <w:autoSpaceDE/>
        <w:autoSpaceDN/>
        <w:jc w:val="center"/>
        <w:rPr>
          <w:rFonts w:ascii="Times New Roman" w:hAnsi="宋体" w:eastAsia="宋体" w:cs="Times New Roman"/>
          <w:b/>
          <w:bCs/>
          <w:color w:val="auto"/>
          <w:kern w:val="2"/>
          <w:sz w:val="44"/>
          <w:szCs w:val="24"/>
          <w:highlight w:val="none"/>
        </w:rPr>
      </w:pPr>
      <w:r>
        <w:rPr>
          <w:rFonts w:ascii="Times New Roman" w:hAnsi="宋体" w:eastAsia="宋体" w:cs="Times New Roman"/>
          <w:b/>
          <w:bCs/>
          <w:color w:val="auto"/>
          <w:kern w:val="2"/>
          <w:sz w:val="44"/>
          <w:szCs w:val="24"/>
          <w:highlight w:val="none"/>
        </w:rPr>
        <w:t>河南理工大学</w:t>
      </w:r>
      <w:permStart w:id="0" w:edGrp="everyone"/>
      <w:r>
        <w:rPr>
          <w:rFonts w:hint="eastAsia" w:ascii="Times New Roman" w:hAnsi="宋体" w:eastAsia="宋体" w:cs="Times New Roman"/>
          <w:b/>
          <w:bCs/>
          <w:color w:val="auto"/>
          <w:kern w:val="2"/>
          <w:sz w:val="44"/>
          <w:szCs w:val="24"/>
          <w:highlight w:val="none"/>
        </w:rPr>
        <w:t xml:space="preserve">               </w:t>
      </w:r>
    </w:p>
    <w:permEnd w:id="0"/>
    <w:p w14:paraId="70F8E6EC">
      <w:pPr>
        <w:autoSpaceDE/>
        <w:autoSpaceDN/>
        <w:jc w:val="center"/>
        <w:rPr>
          <w:rFonts w:ascii="Times New Roman" w:hAnsi="Times New Roman" w:eastAsia="宋体" w:cs="Times New Roman"/>
          <w:b/>
          <w:bCs/>
          <w:color w:val="auto"/>
          <w:kern w:val="2"/>
          <w:sz w:val="44"/>
          <w:szCs w:val="24"/>
          <w:highlight w:val="none"/>
        </w:rPr>
      </w:pPr>
      <w:r>
        <w:rPr>
          <w:rFonts w:ascii="Times New Roman" w:hAnsi="宋体" w:eastAsia="宋体" w:cs="Times New Roman"/>
          <w:b/>
          <w:bCs/>
          <w:color w:val="auto"/>
          <w:kern w:val="2"/>
          <w:sz w:val="44"/>
          <w:szCs w:val="24"/>
          <w:highlight w:val="none"/>
        </w:rPr>
        <w:t>采购合同书</w:t>
      </w:r>
    </w:p>
    <w:p w14:paraId="040BB286">
      <w:pPr>
        <w:autoSpaceDE/>
        <w:autoSpaceDN/>
        <w:spacing w:line="500" w:lineRule="exact"/>
        <w:jc w:val="both"/>
        <w:rPr>
          <w:rFonts w:ascii="Times New Roman" w:hAnsi="Times New Roman" w:eastAsia="宋体" w:cs="Times New Roman"/>
          <w:color w:val="auto"/>
          <w:kern w:val="2"/>
          <w:sz w:val="28"/>
          <w:szCs w:val="24"/>
          <w:highlight w:val="none"/>
        </w:rPr>
      </w:pPr>
      <w:r>
        <w:rPr>
          <w:rFonts w:ascii="Times New Roman" w:hAnsi="宋体" w:eastAsia="宋体" w:cs="Times New Roman"/>
          <w:color w:val="auto"/>
          <w:kern w:val="2"/>
          <w:sz w:val="28"/>
          <w:szCs w:val="24"/>
          <w:highlight w:val="none"/>
        </w:rPr>
        <w:t>备案编号：</w:t>
      </w:r>
      <w:permStart w:id="1" w:edGrp="everyone"/>
      <w:r>
        <w:rPr>
          <w:rFonts w:hint="eastAsia" w:ascii="Times New Roman" w:hAnsi="宋体" w:eastAsia="宋体" w:cs="Times New Roman"/>
          <w:color w:val="auto"/>
          <w:kern w:val="2"/>
          <w:sz w:val="28"/>
          <w:szCs w:val="24"/>
          <w:highlight w:val="none"/>
        </w:rPr>
        <w:t>HPU  采-202</w:t>
      </w:r>
      <w:r>
        <w:rPr>
          <w:rFonts w:hint="eastAsia" w:ascii="Times New Roman" w:hAnsi="宋体" w:eastAsia="宋体" w:cs="Times New Roman"/>
          <w:color w:val="auto"/>
          <w:kern w:val="2"/>
          <w:sz w:val="28"/>
          <w:szCs w:val="24"/>
          <w:highlight w:val="none"/>
          <w:lang w:val="en-US" w:eastAsia="zh-CN"/>
        </w:rPr>
        <w:t>6</w:t>
      </w:r>
      <w:r>
        <w:rPr>
          <w:rFonts w:hint="eastAsia" w:ascii="Times New Roman" w:hAnsi="宋体" w:eastAsia="宋体" w:cs="Times New Roman"/>
          <w:color w:val="auto"/>
          <w:kern w:val="2"/>
          <w:sz w:val="28"/>
          <w:szCs w:val="24"/>
          <w:highlight w:val="none"/>
        </w:rPr>
        <w:t xml:space="preserve">        </w:t>
      </w:r>
    </w:p>
    <w:permEnd w:id="1"/>
    <w:p w14:paraId="3BBD627E">
      <w:pPr>
        <w:autoSpaceDE/>
        <w:autoSpaceDN/>
        <w:spacing w:line="500" w:lineRule="exact"/>
        <w:jc w:val="both"/>
        <w:rPr>
          <w:rFonts w:ascii="Times New Roman" w:hAnsi="Times New Roman" w:eastAsia="宋体" w:cs="Times New Roman"/>
          <w:color w:val="auto"/>
          <w:kern w:val="2"/>
          <w:sz w:val="28"/>
          <w:szCs w:val="24"/>
          <w:highlight w:val="none"/>
        </w:rPr>
      </w:pPr>
      <w:r>
        <w:rPr>
          <w:rFonts w:ascii="Times New Roman" w:hAnsi="宋体" w:eastAsia="宋体" w:cs="Times New Roman"/>
          <w:color w:val="auto"/>
          <w:kern w:val="2"/>
          <w:sz w:val="28"/>
          <w:szCs w:val="24"/>
          <w:highlight w:val="none"/>
        </w:rPr>
        <w:t>采购编号：</w:t>
      </w:r>
      <w:permStart w:id="2" w:edGrp="everyone"/>
      <w:r>
        <w:rPr>
          <w:rFonts w:hint="eastAsia" w:ascii="Times New Roman" w:hAnsi="宋体" w:eastAsia="宋体" w:cs="Times New Roman"/>
          <w:color w:val="auto"/>
          <w:kern w:val="2"/>
          <w:sz w:val="28"/>
          <w:szCs w:val="24"/>
          <w:highlight w:val="none"/>
        </w:rPr>
        <w:t xml:space="preserve">                    </w:t>
      </w:r>
      <w:permEnd w:id="2"/>
    </w:p>
    <w:p w14:paraId="38A6B69F">
      <w:pPr>
        <w:autoSpaceDE/>
        <w:autoSpaceDN/>
        <w:spacing w:line="500" w:lineRule="exact"/>
        <w:jc w:val="both"/>
        <w:rPr>
          <w:rFonts w:ascii="Times New Roman" w:hAnsi="Times New Roman" w:eastAsia="宋体" w:cs="Times New Roman"/>
          <w:color w:val="auto"/>
          <w:kern w:val="2"/>
          <w:sz w:val="30"/>
          <w:szCs w:val="24"/>
          <w:highlight w:val="none"/>
        </w:rPr>
      </w:pPr>
      <w:r>
        <w:rPr>
          <w:rFonts w:ascii="Times New Roman" w:hAnsi="宋体" w:eastAsia="宋体" w:cs="Times New Roman"/>
          <w:color w:val="auto"/>
          <w:kern w:val="2"/>
          <w:sz w:val="28"/>
          <w:szCs w:val="24"/>
          <w:highlight w:val="none"/>
        </w:rPr>
        <w:t>供方：</w:t>
      </w:r>
      <w:permStart w:id="3" w:edGrp="everyone"/>
      <w:r>
        <w:rPr>
          <w:rFonts w:hint="eastAsia" w:ascii="Times New Roman" w:hAnsi="宋体" w:eastAsia="宋体" w:cs="Times New Roman"/>
          <w:color w:val="auto"/>
          <w:kern w:val="2"/>
          <w:sz w:val="28"/>
          <w:szCs w:val="24"/>
          <w:highlight w:val="none"/>
        </w:rPr>
        <w:t xml:space="preserve">                       </w:t>
      </w:r>
      <w:r>
        <w:rPr>
          <w:rFonts w:ascii="Times New Roman" w:hAnsi="Times New Roman" w:eastAsia="宋体" w:cs="Times New Roman"/>
          <w:color w:val="auto"/>
          <w:kern w:val="2"/>
          <w:sz w:val="28"/>
          <w:szCs w:val="24"/>
          <w:highlight w:val="none"/>
        </w:rPr>
        <w:t xml:space="preserve">          </w:t>
      </w:r>
      <w:r>
        <w:rPr>
          <w:rFonts w:hint="eastAsia" w:ascii="Times New Roman" w:hAnsi="Times New Roman" w:eastAsia="宋体" w:cs="Times New Roman"/>
          <w:color w:val="auto"/>
          <w:kern w:val="2"/>
          <w:sz w:val="28"/>
          <w:szCs w:val="24"/>
          <w:highlight w:val="none"/>
        </w:rPr>
        <w:t xml:space="preserve"> </w:t>
      </w:r>
      <w:permEnd w:id="3"/>
      <w:r>
        <w:rPr>
          <w:rFonts w:ascii="Times New Roman" w:hAnsi="宋体" w:eastAsia="宋体" w:cs="Times New Roman"/>
          <w:color w:val="auto"/>
          <w:kern w:val="2"/>
          <w:sz w:val="28"/>
          <w:szCs w:val="24"/>
          <w:highlight w:val="none"/>
        </w:rPr>
        <w:t>签约时间：</w:t>
      </w:r>
      <w:permStart w:id="4" w:edGrp="everyone"/>
      <w:r>
        <w:rPr>
          <w:rFonts w:hint="eastAsia" w:ascii="Times New Roman" w:hAnsi="Times New Roman" w:eastAsia="宋体" w:cs="Times New Roman"/>
          <w:color w:val="auto"/>
          <w:kern w:val="2"/>
          <w:sz w:val="28"/>
          <w:szCs w:val="24"/>
          <w:highlight w:val="none"/>
        </w:rPr>
        <w:t xml:space="preserve">    </w:t>
      </w:r>
      <w:r>
        <w:rPr>
          <w:rFonts w:ascii="Times New Roman" w:hAnsi="宋体" w:eastAsia="宋体" w:cs="Times New Roman"/>
          <w:color w:val="auto"/>
          <w:kern w:val="2"/>
          <w:sz w:val="28"/>
          <w:szCs w:val="24"/>
          <w:highlight w:val="none"/>
        </w:rPr>
        <w:t>年</w:t>
      </w:r>
      <w:r>
        <w:rPr>
          <w:rFonts w:ascii="Times New Roman" w:hAnsi="Times New Roman" w:eastAsia="宋体" w:cs="Times New Roman"/>
          <w:color w:val="auto"/>
          <w:kern w:val="2"/>
          <w:sz w:val="28"/>
          <w:szCs w:val="24"/>
          <w:highlight w:val="none"/>
        </w:rPr>
        <w:t xml:space="preserve">   </w:t>
      </w:r>
      <w:r>
        <w:rPr>
          <w:rFonts w:ascii="Times New Roman" w:hAnsi="宋体" w:eastAsia="宋体" w:cs="Times New Roman"/>
          <w:color w:val="auto"/>
          <w:kern w:val="2"/>
          <w:sz w:val="28"/>
          <w:szCs w:val="24"/>
          <w:highlight w:val="none"/>
        </w:rPr>
        <w:t>月</w:t>
      </w:r>
      <w:r>
        <w:rPr>
          <w:rFonts w:ascii="Times New Roman" w:hAnsi="Times New Roman" w:eastAsia="宋体" w:cs="Times New Roman"/>
          <w:color w:val="auto"/>
          <w:kern w:val="2"/>
          <w:sz w:val="28"/>
          <w:szCs w:val="24"/>
          <w:highlight w:val="none"/>
        </w:rPr>
        <w:t xml:space="preserve">   </w:t>
      </w:r>
      <w:r>
        <w:rPr>
          <w:rFonts w:ascii="Times New Roman" w:hAnsi="宋体" w:eastAsia="宋体" w:cs="Times New Roman"/>
          <w:color w:val="auto"/>
          <w:kern w:val="2"/>
          <w:sz w:val="28"/>
          <w:szCs w:val="24"/>
          <w:highlight w:val="none"/>
        </w:rPr>
        <w:t>日</w:t>
      </w:r>
      <w:permEnd w:id="4"/>
    </w:p>
    <w:p w14:paraId="1E6C74E2">
      <w:pPr>
        <w:autoSpaceDE/>
        <w:autoSpaceDN/>
        <w:spacing w:line="500" w:lineRule="exact"/>
        <w:jc w:val="both"/>
        <w:rPr>
          <w:rFonts w:ascii="Times New Roman" w:hAnsi="Times New Roman" w:eastAsia="宋体" w:cs="Times New Roman"/>
          <w:color w:val="auto"/>
          <w:kern w:val="2"/>
          <w:sz w:val="28"/>
          <w:szCs w:val="24"/>
          <w:highlight w:val="none"/>
        </w:rPr>
      </w:pPr>
      <w:r>
        <w:rPr>
          <w:rFonts w:ascii="Times New Roman" w:hAnsi="宋体" w:eastAsia="宋体" w:cs="Times New Roman"/>
          <w:color w:val="auto"/>
          <w:kern w:val="2"/>
          <w:sz w:val="28"/>
          <w:szCs w:val="24"/>
          <w:highlight w:val="none"/>
        </w:rPr>
        <w:t>需方：河南理工大学</w:t>
      </w:r>
      <w:r>
        <w:rPr>
          <w:rFonts w:ascii="Times New Roman" w:hAnsi="Times New Roman" w:eastAsia="宋体" w:cs="Times New Roman"/>
          <w:color w:val="auto"/>
          <w:kern w:val="2"/>
          <w:sz w:val="28"/>
          <w:szCs w:val="24"/>
          <w:highlight w:val="none"/>
        </w:rPr>
        <w:t xml:space="preserve">                      </w:t>
      </w:r>
      <w:r>
        <w:rPr>
          <w:rFonts w:ascii="Times New Roman" w:hAnsi="宋体" w:eastAsia="宋体" w:cs="Times New Roman"/>
          <w:color w:val="auto"/>
          <w:kern w:val="2"/>
          <w:sz w:val="28"/>
          <w:szCs w:val="24"/>
          <w:highlight w:val="none"/>
        </w:rPr>
        <w:t>签约地点：</w:t>
      </w:r>
      <w:r>
        <w:rPr>
          <w:rFonts w:hint="eastAsia" w:ascii="Times New Roman" w:hAnsi="宋体" w:eastAsia="宋体" w:cs="Times New Roman"/>
          <w:color w:val="auto"/>
          <w:kern w:val="2"/>
          <w:sz w:val="28"/>
          <w:szCs w:val="24"/>
          <w:highlight w:val="none"/>
        </w:rPr>
        <w:t>河南理工大学南校区</w:t>
      </w:r>
    </w:p>
    <w:p w14:paraId="3D924308">
      <w:pPr>
        <w:autoSpaceDE/>
        <w:autoSpaceDN/>
        <w:spacing w:line="480" w:lineRule="exact"/>
        <w:ind w:firstLine="677" w:firstLineChars="242"/>
        <w:jc w:val="both"/>
        <w:rPr>
          <w:rFonts w:ascii="Times New Roman" w:hAnsi="宋体" w:eastAsia="宋体" w:cs="Times New Roman"/>
          <w:color w:val="auto"/>
          <w:kern w:val="2"/>
          <w:sz w:val="28"/>
          <w:szCs w:val="24"/>
          <w:highlight w:val="none"/>
        </w:rPr>
      </w:pPr>
    </w:p>
    <w:p w14:paraId="0D65C0E2">
      <w:pPr>
        <w:autoSpaceDE/>
        <w:autoSpaceDN/>
        <w:spacing w:line="480" w:lineRule="exact"/>
        <w:ind w:firstLine="677" w:firstLineChars="242"/>
        <w:jc w:val="both"/>
        <w:rPr>
          <w:rFonts w:ascii="Times New Roman" w:hAnsi="Times New Roman" w:eastAsia="宋体" w:cs="Times New Roman"/>
          <w:color w:val="auto"/>
          <w:kern w:val="2"/>
          <w:sz w:val="28"/>
          <w:szCs w:val="24"/>
          <w:highlight w:val="none"/>
        </w:rPr>
      </w:pPr>
      <w:r>
        <w:rPr>
          <w:rFonts w:ascii="Times New Roman" w:hAnsi="宋体" w:eastAsia="宋体" w:cs="Times New Roman"/>
          <w:color w:val="auto"/>
          <w:kern w:val="2"/>
          <w:sz w:val="28"/>
          <w:szCs w:val="24"/>
          <w:highlight w:val="none"/>
        </w:rPr>
        <w:t>供、需双方依据</w:t>
      </w:r>
      <w:permStart w:id="5" w:edGrp="everyone"/>
      <w:r>
        <w:rPr>
          <w:rFonts w:hint="eastAsia" w:ascii="Times New Roman" w:hAnsi="宋体" w:eastAsia="宋体" w:cs="Times New Roman"/>
          <w:color w:val="auto"/>
          <w:kern w:val="2"/>
          <w:sz w:val="28"/>
          <w:szCs w:val="24"/>
          <w:highlight w:val="none"/>
        </w:rPr>
        <w:t xml:space="preserve">         </w:t>
      </w:r>
      <w:permEnd w:id="5"/>
      <w:r>
        <w:rPr>
          <w:rFonts w:ascii="Times New Roman" w:hAnsi="宋体" w:eastAsia="宋体" w:cs="Times New Roman"/>
          <w:color w:val="auto"/>
          <w:kern w:val="2"/>
          <w:sz w:val="28"/>
          <w:szCs w:val="24"/>
          <w:highlight w:val="none"/>
        </w:rPr>
        <w:t>签发的</w:t>
      </w:r>
      <w:permStart w:id="6" w:edGrp="everyone"/>
      <w:r>
        <w:rPr>
          <w:rFonts w:hint="eastAsia" w:ascii="Times New Roman" w:hAnsi="宋体" w:eastAsia="宋体" w:cs="Times New Roman"/>
          <w:color w:val="auto"/>
          <w:kern w:val="2"/>
          <w:sz w:val="28"/>
          <w:szCs w:val="24"/>
          <w:highlight w:val="none"/>
        </w:rPr>
        <w:t xml:space="preserve">        </w:t>
      </w:r>
      <w:permEnd w:id="6"/>
      <w:r>
        <w:rPr>
          <w:rFonts w:hint="eastAsia" w:ascii="Times New Roman" w:hAnsi="宋体" w:eastAsia="宋体" w:cs="Times New Roman"/>
          <w:color w:val="auto"/>
          <w:kern w:val="2"/>
          <w:sz w:val="28"/>
          <w:szCs w:val="24"/>
          <w:highlight w:val="none"/>
        </w:rPr>
        <w:t>[</w:t>
      </w:r>
      <w:r>
        <w:rPr>
          <w:rFonts w:ascii="Times New Roman" w:hAnsi="宋体" w:eastAsia="宋体" w:cs="Times New Roman"/>
          <w:color w:val="auto"/>
          <w:kern w:val="2"/>
          <w:sz w:val="28"/>
          <w:szCs w:val="24"/>
          <w:highlight w:val="none"/>
        </w:rPr>
        <w:t>采购编号：</w:t>
      </w:r>
      <w:permStart w:id="7" w:edGrp="everyone"/>
      <w:r>
        <w:rPr>
          <w:rFonts w:hint="eastAsia" w:ascii="Times New Roman" w:hAnsi="宋体" w:eastAsia="宋体" w:cs="Times New Roman"/>
          <w:b/>
          <w:color w:val="auto"/>
          <w:kern w:val="2"/>
          <w:sz w:val="28"/>
          <w:szCs w:val="24"/>
          <w:highlight w:val="none"/>
          <w:u w:val="single"/>
        </w:rPr>
        <w:t xml:space="preserve">            </w:t>
      </w:r>
      <w:r>
        <w:rPr>
          <w:rFonts w:ascii="Times New Roman" w:hAnsi="宋体" w:eastAsia="宋体" w:cs="Times New Roman"/>
          <w:b/>
          <w:color w:val="auto"/>
          <w:kern w:val="2"/>
          <w:sz w:val="28"/>
          <w:szCs w:val="24"/>
          <w:highlight w:val="none"/>
          <w:u w:val="single"/>
        </w:rPr>
        <w:t>号</w:t>
      </w:r>
      <w:permEnd w:id="7"/>
      <w:r>
        <w:rPr>
          <w:rFonts w:ascii="Times New Roman" w:hAnsi="Times New Roman" w:eastAsia="宋体" w:cs="Times New Roman"/>
          <w:color w:val="auto"/>
          <w:kern w:val="2"/>
          <w:sz w:val="28"/>
          <w:szCs w:val="24"/>
          <w:highlight w:val="none"/>
        </w:rPr>
        <w:t>]</w:t>
      </w:r>
      <w:r>
        <w:rPr>
          <w:rFonts w:ascii="Times New Roman" w:hAnsi="宋体" w:eastAsia="宋体" w:cs="Times New Roman"/>
          <w:color w:val="auto"/>
          <w:kern w:val="2"/>
          <w:sz w:val="28"/>
          <w:szCs w:val="24"/>
          <w:highlight w:val="none"/>
        </w:rPr>
        <w:t>中标</w:t>
      </w:r>
      <w:r>
        <w:rPr>
          <w:rFonts w:hint="eastAsia" w:ascii="Times New Roman" w:hAnsi="宋体" w:eastAsia="宋体" w:cs="Times New Roman"/>
          <w:color w:val="auto"/>
          <w:kern w:val="2"/>
          <w:sz w:val="28"/>
          <w:szCs w:val="24"/>
          <w:highlight w:val="none"/>
        </w:rPr>
        <w:t>（成交）</w:t>
      </w:r>
      <w:r>
        <w:rPr>
          <w:rFonts w:ascii="Times New Roman" w:hAnsi="宋体" w:eastAsia="宋体" w:cs="Times New Roman"/>
          <w:color w:val="auto"/>
          <w:kern w:val="2"/>
          <w:sz w:val="28"/>
          <w:szCs w:val="24"/>
          <w:highlight w:val="none"/>
        </w:rPr>
        <w:t>通知书，根据《中华人民共和国民法典》等有关规定以及需方招标</w:t>
      </w:r>
      <w:r>
        <w:rPr>
          <w:rFonts w:hint="eastAsia" w:ascii="Times New Roman" w:hAnsi="宋体" w:eastAsia="宋体" w:cs="Times New Roman"/>
          <w:color w:val="auto"/>
          <w:kern w:val="2"/>
          <w:sz w:val="28"/>
          <w:szCs w:val="24"/>
          <w:highlight w:val="none"/>
        </w:rPr>
        <w:t>（</w:t>
      </w:r>
      <w:r>
        <w:rPr>
          <w:rFonts w:ascii="Times New Roman" w:hAnsi="宋体" w:eastAsia="宋体" w:cs="Times New Roman"/>
          <w:color w:val="auto"/>
          <w:kern w:val="2"/>
          <w:sz w:val="28"/>
          <w:szCs w:val="24"/>
          <w:highlight w:val="none"/>
        </w:rPr>
        <w:t>采购）文件和供方投标</w:t>
      </w:r>
      <w:r>
        <w:rPr>
          <w:rFonts w:hint="eastAsia" w:ascii="Times New Roman" w:hAnsi="宋体" w:eastAsia="宋体" w:cs="Times New Roman"/>
          <w:color w:val="auto"/>
          <w:kern w:val="2"/>
          <w:sz w:val="28"/>
          <w:szCs w:val="24"/>
          <w:highlight w:val="none"/>
        </w:rPr>
        <w:t>（响应）</w:t>
      </w:r>
      <w:r>
        <w:rPr>
          <w:rFonts w:ascii="Times New Roman" w:hAnsi="宋体" w:eastAsia="宋体" w:cs="Times New Roman"/>
          <w:color w:val="auto"/>
          <w:kern w:val="2"/>
          <w:sz w:val="28"/>
          <w:szCs w:val="24"/>
          <w:highlight w:val="none"/>
        </w:rPr>
        <w:t>文件内容，供需双方经友好协商，现达成以下条款：</w:t>
      </w:r>
    </w:p>
    <w:p w14:paraId="16C8609E">
      <w:pPr>
        <w:autoSpaceDE/>
        <w:autoSpaceDN/>
        <w:spacing w:line="480" w:lineRule="exact"/>
        <w:ind w:firstLine="560" w:firstLineChars="200"/>
        <w:jc w:val="both"/>
        <w:rPr>
          <w:rFonts w:ascii="Times New Roman" w:hAnsi="Times New Roman" w:eastAsia="宋体" w:cs="Times New Roman"/>
          <w:color w:val="auto"/>
          <w:kern w:val="2"/>
          <w:sz w:val="28"/>
          <w:szCs w:val="24"/>
          <w:highlight w:val="none"/>
        </w:rPr>
      </w:pPr>
      <w:r>
        <w:rPr>
          <w:rFonts w:ascii="Times New Roman" w:hAnsi="宋体" w:eastAsia="宋体" w:cs="Times New Roman"/>
          <w:color w:val="auto"/>
          <w:kern w:val="2"/>
          <w:sz w:val="28"/>
          <w:szCs w:val="24"/>
          <w:highlight w:val="none"/>
        </w:rPr>
        <w:t>一、合同标的与价款</w:t>
      </w:r>
    </w:p>
    <w:p w14:paraId="20E5BEA8">
      <w:pPr>
        <w:autoSpaceDE/>
        <w:autoSpaceDN/>
        <w:spacing w:line="480" w:lineRule="exact"/>
        <w:ind w:firstLine="677" w:firstLineChars="242"/>
        <w:jc w:val="both"/>
        <w:rPr>
          <w:rFonts w:ascii="Times New Roman" w:hAnsi="宋体" w:eastAsia="宋体" w:cs="Times New Roman"/>
          <w:color w:val="auto"/>
          <w:kern w:val="2"/>
          <w:sz w:val="28"/>
          <w:szCs w:val="24"/>
          <w:highlight w:val="none"/>
        </w:rPr>
      </w:pPr>
      <w:r>
        <w:rPr>
          <w:rFonts w:ascii="Times New Roman" w:hAnsi="宋体" w:eastAsia="宋体" w:cs="Times New Roman"/>
          <w:color w:val="auto"/>
          <w:kern w:val="2"/>
          <w:sz w:val="28"/>
          <w:szCs w:val="24"/>
          <w:highlight w:val="none"/>
        </w:rPr>
        <w:t>本合同所指货物为</w:t>
      </w:r>
      <w:permStart w:id="8" w:edGrp="everyone"/>
      <w:r>
        <w:rPr>
          <w:rFonts w:hint="eastAsia" w:ascii="Times New Roman" w:hAnsi="宋体" w:eastAsia="宋体" w:cs="Times New Roman"/>
          <w:color w:val="auto"/>
          <w:kern w:val="2"/>
          <w:sz w:val="28"/>
          <w:szCs w:val="24"/>
          <w:highlight w:val="none"/>
        </w:rPr>
        <w:t xml:space="preserve">          </w:t>
      </w:r>
      <w:permEnd w:id="8"/>
      <w:r>
        <w:rPr>
          <w:rFonts w:ascii="Times New Roman" w:hAnsi="宋体" w:eastAsia="宋体" w:cs="Times New Roman"/>
          <w:color w:val="auto"/>
          <w:kern w:val="2"/>
          <w:sz w:val="28"/>
          <w:szCs w:val="24"/>
          <w:highlight w:val="none"/>
        </w:rPr>
        <w:t>（主要技术参数及配置见附件一、附件二），合同总价款为人民币</w:t>
      </w:r>
      <w:permStart w:id="9" w:edGrp="everyone"/>
      <w:r>
        <w:rPr>
          <w:rFonts w:hint="eastAsia" w:ascii="Times New Roman" w:hAnsi="宋体" w:eastAsia="宋体" w:cs="Times New Roman"/>
          <w:color w:val="auto"/>
          <w:kern w:val="2"/>
          <w:sz w:val="28"/>
          <w:szCs w:val="24"/>
          <w:highlight w:val="none"/>
        </w:rPr>
        <w:t xml:space="preserve">      </w:t>
      </w:r>
      <w:permEnd w:id="9"/>
      <w:r>
        <w:rPr>
          <w:rFonts w:ascii="Times New Roman" w:hAnsi="宋体" w:eastAsia="宋体" w:cs="Times New Roman"/>
          <w:color w:val="auto"/>
          <w:kern w:val="2"/>
          <w:sz w:val="28"/>
          <w:szCs w:val="24"/>
          <w:highlight w:val="none"/>
        </w:rPr>
        <w:t>元（大写：</w:t>
      </w:r>
      <w:permStart w:id="10" w:edGrp="everyone"/>
      <w:r>
        <w:rPr>
          <w:rFonts w:hint="eastAsia" w:ascii="Times New Roman" w:hAnsi="宋体" w:eastAsia="宋体" w:cs="Times New Roman"/>
          <w:color w:val="auto"/>
          <w:kern w:val="2"/>
          <w:sz w:val="28"/>
          <w:szCs w:val="24"/>
          <w:highlight w:val="none"/>
        </w:rPr>
        <w:t xml:space="preserve">      元</w:t>
      </w:r>
      <w:permEnd w:id="10"/>
      <w:r>
        <w:rPr>
          <w:rFonts w:ascii="Times New Roman" w:hAnsi="宋体" w:eastAsia="宋体" w:cs="Times New Roman"/>
          <w:color w:val="auto"/>
          <w:kern w:val="2"/>
          <w:sz w:val="28"/>
          <w:szCs w:val="24"/>
          <w:highlight w:val="none"/>
        </w:rPr>
        <w:t>整）</w:t>
      </w:r>
      <w:r>
        <w:rPr>
          <w:rFonts w:hint="eastAsia" w:ascii="Times New Roman" w:hAnsi="宋体" w:eastAsia="宋体" w:cs="Times New Roman"/>
          <w:color w:val="auto"/>
          <w:kern w:val="2"/>
          <w:sz w:val="28"/>
          <w:szCs w:val="24"/>
          <w:highlight w:val="none"/>
        </w:rPr>
        <w:t>；该价格已经包含生产、制造、运输、装卸、安装、调试、培训、保险、税金、利润、保修等相关全部费用。</w:t>
      </w:r>
    </w:p>
    <w:p w14:paraId="41B98770">
      <w:pPr>
        <w:autoSpaceDE/>
        <w:autoSpaceDN/>
        <w:spacing w:line="480" w:lineRule="exact"/>
        <w:ind w:left="540"/>
        <w:jc w:val="both"/>
        <w:rPr>
          <w:rFonts w:ascii="Times New Roman" w:hAnsi="Times New Roman" w:eastAsia="宋体" w:cs="Times New Roman"/>
          <w:color w:val="auto"/>
          <w:kern w:val="2"/>
          <w:sz w:val="28"/>
          <w:szCs w:val="24"/>
          <w:highlight w:val="none"/>
        </w:rPr>
      </w:pPr>
      <w:r>
        <w:rPr>
          <w:rFonts w:ascii="Times New Roman" w:hAnsi="宋体" w:eastAsia="宋体" w:cs="Times New Roman"/>
          <w:color w:val="auto"/>
          <w:kern w:val="2"/>
          <w:sz w:val="28"/>
          <w:szCs w:val="24"/>
          <w:highlight w:val="none"/>
        </w:rPr>
        <w:t>二、货物质量要求与售后服务要求</w:t>
      </w:r>
    </w:p>
    <w:p w14:paraId="43D62C37">
      <w:pPr>
        <w:autoSpaceDE/>
        <w:autoSpaceDN/>
        <w:spacing w:line="480" w:lineRule="exact"/>
        <w:ind w:firstLine="480"/>
        <w:jc w:val="both"/>
        <w:rPr>
          <w:rFonts w:ascii="Times New Roman" w:hAnsi="宋体" w:eastAsia="宋体" w:cs="Times New Roman"/>
          <w:color w:val="auto"/>
          <w:kern w:val="2"/>
          <w:sz w:val="28"/>
          <w:szCs w:val="24"/>
          <w:highlight w:val="none"/>
        </w:rPr>
      </w:pPr>
      <w:r>
        <w:rPr>
          <w:rFonts w:ascii="Times New Roman" w:hAnsi="宋体" w:eastAsia="宋体" w:cs="Times New Roman"/>
          <w:color w:val="auto"/>
          <w:kern w:val="2"/>
          <w:sz w:val="28"/>
          <w:szCs w:val="24"/>
          <w:highlight w:val="none"/>
        </w:rPr>
        <w:t>供方应保证货物是全新、未使用过的，并完全符合国家</w:t>
      </w:r>
      <w:r>
        <w:rPr>
          <w:rFonts w:hint="eastAsia" w:ascii="Times New Roman" w:hAnsi="宋体" w:eastAsia="宋体" w:cs="Times New Roman"/>
          <w:color w:val="auto"/>
          <w:kern w:val="2"/>
          <w:sz w:val="28"/>
          <w:szCs w:val="24"/>
          <w:highlight w:val="none"/>
        </w:rPr>
        <w:t>相关</w:t>
      </w:r>
      <w:r>
        <w:rPr>
          <w:rFonts w:ascii="Times New Roman" w:hAnsi="宋体" w:eastAsia="宋体" w:cs="Times New Roman"/>
          <w:color w:val="auto"/>
          <w:kern w:val="2"/>
          <w:sz w:val="28"/>
          <w:szCs w:val="24"/>
          <w:highlight w:val="none"/>
        </w:rPr>
        <w:t>技术质量规范</w:t>
      </w:r>
      <w:r>
        <w:rPr>
          <w:rFonts w:hint="eastAsia" w:ascii="Times New Roman" w:hAnsi="宋体" w:eastAsia="宋体" w:cs="Times New Roman"/>
          <w:color w:val="auto"/>
          <w:kern w:val="2"/>
          <w:sz w:val="28"/>
          <w:szCs w:val="24"/>
          <w:highlight w:val="none"/>
        </w:rPr>
        <w:t>及该货物的出厂标准。</w:t>
      </w:r>
    </w:p>
    <w:p w14:paraId="555E9AE6">
      <w:pPr>
        <w:autoSpaceDE/>
        <w:autoSpaceDN/>
        <w:spacing w:line="480" w:lineRule="exact"/>
        <w:ind w:firstLine="480"/>
        <w:jc w:val="both"/>
        <w:rPr>
          <w:rFonts w:ascii="Times New Roman" w:hAnsi="Times New Roman" w:eastAsia="宋体" w:cs="Times New Roman"/>
          <w:color w:val="auto"/>
          <w:kern w:val="2"/>
          <w:sz w:val="28"/>
          <w:szCs w:val="24"/>
          <w:highlight w:val="none"/>
        </w:rPr>
      </w:pPr>
      <w:r>
        <w:rPr>
          <w:rFonts w:hint="eastAsia" w:ascii="Times New Roman" w:hAnsi="宋体" w:eastAsia="宋体" w:cs="Times New Roman"/>
          <w:color w:val="auto"/>
          <w:kern w:val="2"/>
          <w:sz w:val="28"/>
          <w:szCs w:val="24"/>
          <w:highlight w:val="none"/>
        </w:rPr>
        <w:t>货物的</w:t>
      </w:r>
      <w:r>
        <w:rPr>
          <w:rFonts w:ascii="Times New Roman" w:hAnsi="宋体" w:eastAsia="宋体" w:cs="Times New Roman"/>
          <w:color w:val="auto"/>
          <w:kern w:val="2"/>
          <w:sz w:val="28"/>
          <w:szCs w:val="24"/>
          <w:highlight w:val="none"/>
        </w:rPr>
        <w:t>质量、规格、性能及技术规范等要求</w:t>
      </w:r>
      <w:r>
        <w:rPr>
          <w:rFonts w:hint="eastAsia" w:ascii="Times New Roman" w:hAnsi="宋体" w:eastAsia="宋体" w:cs="Times New Roman"/>
          <w:color w:val="auto"/>
          <w:kern w:val="2"/>
          <w:sz w:val="28"/>
          <w:szCs w:val="24"/>
          <w:highlight w:val="none"/>
        </w:rPr>
        <w:t>详见</w:t>
      </w:r>
      <w:r>
        <w:rPr>
          <w:rFonts w:ascii="Times New Roman" w:hAnsi="宋体" w:eastAsia="宋体" w:cs="Times New Roman"/>
          <w:color w:val="auto"/>
          <w:kern w:val="2"/>
          <w:sz w:val="28"/>
          <w:szCs w:val="24"/>
          <w:highlight w:val="none"/>
        </w:rPr>
        <w:t>附件一与附件二</w:t>
      </w:r>
      <w:r>
        <w:rPr>
          <w:rFonts w:hint="eastAsia" w:ascii="Times New Roman" w:hAnsi="宋体" w:eastAsia="宋体" w:cs="Times New Roman"/>
          <w:color w:val="auto"/>
          <w:kern w:val="2"/>
          <w:sz w:val="28"/>
          <w:szCs w:val="24"/>
          <w:highlight w:val="none"/>
        </w:rPr>
        <w:t>；质保期及</w:t>
      </w:r>
      <w:r>
        <w:rPr>
          <w:rFonts w:ascii="Times New Roman" w:hAnsi="宋体" w:eastAsia="宋体" w:cs="Times New Roman"/>
          <w:color w:val="auto"/>
          <w:kern w:val="2"/>
          <w:sz w:val="28"/>
          <w:szCs w:val="24"/>
          <w:highlight w:val="none"/>
        </w:rPr>
        <w:t>售后服务要求按招标</w:t>
      </w:r>
      <w:r>
        <w:rPr>
          <w:rFonts w:hint="eastAsia" w:ascii="Times New Roman" w:hAnsi="宋体" w:eastAsia="宋体" w:cs="Times New Roman"/>
          <w:color w:val="auto"/>
          <w:kern w:val="2"/>
          <w:sz w:val="28"/>
          <w:szCs w:val="24"/>
          <w:highlight w:val="none"/>
        </w:rPr>
        <w:t>（</w:t>
      </w:r>
      <w:r>
        <w:rPr>
          <w:rFonts w:ascii="Times New Roman" w:hAnsi="宋体" w:eastAsia="宋体" w:cs="Times New Roman"/>
          <w:color w:val="auto"/>
          <w:kern w:val="2"/>
          <w:sz w:val="28"/>
          <w:szCs w:val="24"/>
          <w:highlight w:val="none"/>
        </w:rPr>
        <w:t>采购）文件及投标</w:t>
      </w:r>
      <w:r>
        <w:rPr>
          <w:rFonts w:hint="eastAsia" w:ascii="Times New Roman" w:hAnsi="宋体" w:eastAsia="宋体" w:cs="Times New Roman"/>
          <w:color w:val="auto"/>
          <w:kern w:val="2"/>
          <w:sz w:val="28"/>
          <w:szCs w:val="24"/>
          <w:highlight w:val="none"/>
        </w:rPr>
        <w:t>（响应）</w:t>
      </w:r>
      <w:r>
        <w:rPr>
          <w:rFonts w:ascii="Times New Roman" w:hAnsi="宋体" w:eastAsia="宋体" w:cs="Times New Roman"/>
          <w:color w:val="auto"/>
          <w:kern w:val="2"/>
          <w:sz w:val="28"/>
          <w:szCs w:val="24"/>
          <w:highlight w:val="none"/>
        </w:rPr>
        <w:t>文件相应条款执行（详见附件三）。</w:t>
      </w:r>
    </w:p>
    <w:p w14:paraId="30468A12">
      <w:pPr>
        <w:autoSpaceDE/>
        <w:autoSpaceDN/>
        <w:spacing w:line="480" w:lineRule="exact"/>
        <w:ind w:firstLine="540"/>
        <w:jc w:val="both"/>
        <w:rPr>
          <w:rFonts w:ascii="Times New Roman" w:hAnsi="Times New Roman" w:eastAsia="宋体" w:cs="Times New Roman"/>
          <w:color w:val="auto"/>
          <w:kern w:val="2"/>
          <w:sz w:val="28"/>
          <w:szCs w:val="24"/>
          <w:highlight w:val="none"/>
        </w:rPr>
      </w:pPr>
      <w:r>
        <w:rPr>
          <w:rFonts w:ascii="Times New Roman" w:hAnsi="宋体" w:eastAsia="宋体" w:cs="Times New Roman"/>
          <w:color w:val="auto"/>
          <w:kern w:val="2"/>
          <w:sz w:val="28"/>
          <w:szCs w:val="24"/>
          <w:highlight w:val="none"/>
        </w:rPr>
        <w:t>三、合同履行的地点及进度</w:t>
      </w:r>
    </w:p>
    <w:p w14:paraId="5EFDEFB6">
      <w:pPr>
        <w:autoSpaceDE/>
        <w:autoSpaceDN/>
        <w:spacing w:line="480" w:lineRule="exact"/>
        <w:ind w:firstLine="540"/>
        <w:jc w:val="both"/>
        <w:rPr>
          <w:rFonts w:ascii="Times New Roman" w:hAnsi="Times New Roman" w:eastAsia="宋体" w:cs="Times New Roman"/>
          <w:color w:val="auto"/>
          <w:kern w:val="2"/>
          <w:sz w:val="28"/>
          <w:szCs w:val="24"/>
          <w:highlight w:val="none"/>
        </w:rPr>
      </w:pPr>
      <w:r>
        <w:rPr>
          <w:rFonts w:ascii="Times New Roman" w:hAnsi="宋体" w:eastAsia="宋体" w:cs="Times New Roman"/>
          <w:color w:val="auto"/>
          <w:kern w:val="2"/>
          <w:sz w:val="28"/>
          <w:szCs w:val="24"/>
          <w:highlight w:val="none"/>
        </w:rPr>
        <w:t>合同签字盖章后，供方应于本合同签订之日起</w:t>
      </w:r>
      <w:permStart w:id="11" w:edGrp="everyone"/>
      <w:r>
        <w:rPr>
          <w:rFonts w:hint="eastAsia" w:ascii="Times New Roman" w:hAnsi="宋体" w:eastAsia="宋体" w:cs="Times New Roman"/>
          <w:color w:val="auto"/>
          <w:kern w:val="2"/>
          <w:sz w:val="28"/>
          <w:szCs w:val="24"/>
          <w:highlight w:val="none"/>
        </w:rPr>
        <w:t xml:space="preserve">    </w:t>
      </w:r>
      <w:permEnd w:id="11"/>
      <w:r>
        <w:rPr>
          <w:rFonts w:hint="eastAsia" w:ascii="Times New Roman" w:hAnsi="宋体" w:eastAsia="宋体" w:cs="Times New Roman"/>
          <w:color w:val="auto"/>
          <w:kern w:val="2"/>
          <w:sz w:val="28"/>
          <w:szCs w:val="24"/>
          <w:highlight w:val="none"/>
        </w:rPr>
        <w:t>日内</w:t>
      </w:r>
      <w:r>
        <w:rPr>
          <w:rFonts w:ascii="Times New Roman" w:hAnsi="宋体" w:eastAsia="宋体" w:cs="Times New Roman"/>
          <w:color w:val="auto"/>
          <w:kern w:val="2"/>
          <w:sz w:val="28"/>
          <w:szCs w:val="24"/>
          <w:highlight w:val="none"/>
        </w:rPr>
        <w:t>将合同条款中的全部货物运送到河南理工大学</w:t>
      </w:r>
      <w:permStart w:id="12" w:edGrp="everyone"/>
      <w:r>
        <w:rPr>
          <w:rFonts w:hint="eastAsia" w:ascii="Times New Roman" w:hAnsi="宋体" w:eastAsia="宋体" w:cs="Times New Roman"/>
          <w:color w:val="auto"/>
          <w:kern w:val="2"/>
          <w:sz w:val="28"/>
          <w:szCs w:val="24"/>
          <w:highlight w:val="none"/>
        </w:rPr>
        <w:t xml:space="preserve">     </w:t>
      </w:r>
      <w:permEnd w:id="12"/>
      <w:r>
        <w:rPr>
          <w:rFonts w:ascii="Times New Roman" w:hAnsi="宋体" w:eastAsia="宋体" w:cs="Times New Roman"/>
          <w:color w:val="auto"/>
          <w:kern w:val="2"/>
          <w:sz w:val="28"/>
          <w:szCs w:val="24"/>
          <w:highlight w:val="none"/>
        </w:rPr>
        <w:t>指定地点，</w:t>
      </w:r>
      <w:r>
        <w:rPr>
          <w:rFonts w:hint="eastAsia" w:ascii="Times New Roman" w:hAnsi="宋体" w:eastAsia="宋体" w:cs="Times New Roman"/>
          <w:color w:val="auto"/>
          <w:kern w:val="2"/>
          <w:sz w:val="28"/>
          <w:szCs w:val="24"/>
          <w:highlight w:val="none"/>
        </w:rPr>
        <w:t>尽快</w:t>
      </w:r>
      <w:r>
        <w:rPr>
          <w:rFonts w:ascii="Times New Roman" w:hAnsi="宋体" w:eastAsia="宋体" w:cs="Times New Roman"/>
          <w:color w:val="auto"/>
          <w:kern w:val="2"/>
          <w:sz w:val="28"/>
          <w:szCs w:val="24"/>
          <w:highlight w:val="none"/>
        </w:rPr>
        <w:t>完成货物的安装、调试和人员培训。需方应在货物到达指定地点后，提供符合安装条件的场地、环境等。</w:t>
      </w:r>
    </w:p>
    <w:p w14:paraId="2B14AD45">
      <w:pPr>
        <w:autoSpaceDE/>
        <w:autoSpaceDN/>
        <w:spacing w:line="480" w:lineRule="exact"/>
        <w:ind w:firstLine="480"/>
        <w:jc w:val="both"/>
        <w:rPr>
          <w:rFonts w:ascii="Times New Roman" w:hAnsi="Times New Roman" w:eastAsia="宋体" w:cs="Times New Roman"/>
          <w:color w:val="auto"/>
          <w:kern w:val="2"/>
          <w:sz w:val="28"/>
          <w:szCs w:val="24"/>
          <w:highlight w:val="none"/>
        </w:rPr>
      </w:pPr>
      <w:r>
        <w:rPr>
          <w:rFonts w:ascii="Times New Roman" w:hAnsi="宋体" w:eastAsia="宋体" w:cs="Times New Roman"/>
          <w:color w:val="auto"/>
          <w:kern w:val="2"/>
          <w:sz w:val="28"/>
          <w:szCs w:val="24"/>
          <w:highlight w:val="none"/>
        </w:rPr>
        <w:t>四、技术资料</w:t>
      </w:r>
    </w:p>
    <w:p w14:paraId="70D4DDA7">
      <w:pPr>
        <w:autoSpaceDE/>
        <w:autoSpaceDN/>
        <w:spacing w:line="480" w:lineRule="exact"/>
        <w:ind w:firstLine="480"/>
        <w:jc w:val="both"/>
        <w:rPr>
          <w:rFonts w:ascii="Times New Roman" w:hAnsi="宋体" w:eastAsia="宋体" w:cs="Times New Roman"/>
          <w:color w:val="auto"/>
          <w:kern w:val="2"/>
          <w:sz w:val="28"/>
          <w:szCs w:val="24"/>
          <w:highlight w:val="none"/>
        </w:rPr>
      </w:pPr>
      <w:r>
        <w:rPr>
          <w:rFonts w:ascii="Times New Roman" w:hAnsi="宋体" w:eastAsia="宋体" w:cs="Times New Roman"/>
          <w:color w:val="auto"/>
          <w:kern w:val="2"/>
          <w:sz w:val="28"/>
          <w:szCs w:val="24"/>
          <w:highlight w:val="none"/>
        </w:rPr>
        <w:t>合同</w:t>
      </w:r>
      <w:r>
        <w:rPr>
          <w:rFonts w:hint="eastAsia" w:ascii="Times New Roman" w:hAnsi="宋体" w:eastAsia="宋体" w:cs="Times New Roman"/>
          <w:color w:val="auto"/>
          <w:kern w:val="2"/>
          <w:sz w:val="28"/>
          <w:szCs w:val="24"/>
          <w:highlight w:val="none"/>
        </w:rPr>
        <w:t>签订</w:t>
      </w:r>
      <w:r>
        <w:rPr>
          <w:rFonts w:ascii="Times New Roman" w:hAnsi="宋体" w:eastAsia="宋体" w:cs="Times New Roman"/>
          <w:color w:val="auto"/>
          <w:kern w:val="2"/>
          <w:sz w:val="28"/>
          <w:szCs w:val="24"/>
          <w:highlight w:val="none"/>
        </w:rPr>
        <w:t>后</w:t>
      </w:r>
      <w:r>
        <w:rPr>
          <w:rFonts w:ascii="Times New Roman" w:hAnsi="Times New Roman" w:eastAsia="宋体" w:cs="Times New Roman"/>
          <w:color w:val="auto"/>
          <w:kern w:val="2"/>
          <w:sz w:val="28"/>
          <w:szCs w:val="24"/>
          <w:highlight w:val="none"/>
        </w:rPr>
        <w:t>7</w:t>
      </w:r>
      <w:r>
        <w:rPr>
          <w:rFonts w:ascii="Times New Roman" w:hAnsi="宋体" w:eastAsia="宋体" w:cs="Times New Roman"/>
          <w:color w:val="auto"/>
          <w:kern w:val="2"/>
          <w:sz w:val="28"/>
          <w:szCs w:val="24"/>
          <w:highlight w:val="none"/>
        </w:rPr>
        <w:t>天之内，供方应将每套货物的中</w:t>
      </w:r>
      <w:r>
        <w:rPr>
          <w:rFonts w:hint="eastAsia" w:ascii="Times New Roman" w:hAnsi="宋体" w:eastAsia="宋体" w:cs="Times New Roman"/>
          <w:color w:val="auto"/>
          <w:kern w:val="2"/>
          <w:sz w:val="28"/>
          <w:szCs w:val="24"/>
          <w:highlight w:val="none"/>
        </w:rPr>
        <w:t>（英）</w:t>
      </w:r>
      <w:r>
        <w:rPr>
          <w:rFonts w:ascii="Times New Roman" w:hAnsi="宋体" w:eastAsia="宋体" w:cs="Times New Roman"/>
          <w:color w:val="auto"/>
          <w:kern w:val="2"/>
          <w:sz w:val="28"/>
          <w:szCs w:val="24"/>
          <w:highlight w:val="none"/>
        </w:rPr>
        <w:t>文技术资料一套（如目录索引、操作手册、使用指南、维修指南（或）服务手册）</w:t>
      </w:r>
      <w:r>
        <w:rPr>
          <w:rFonts w:hint="eastAsia" w:ascii="Times New Roman" w:hAnsi="宋体" w:eastAsia="宋体" w:cs="Times New Roman"/>
          <w:color w:val="auto"/>
          <w:kern w:val="2"/>
          <w:sz w:val="28"/>
          <w:szCs w:val="24"/>
          <w:highlight w:val="none"/>
        </w:rPr>
        <w:t>提交</w:t>
      </w:r>
      <w:r>
        <w:rPr>
          <w:rFonts w:ascii="Times New Roman" w:hAnsi="宋体" w:eastAsia="宋体" w:cs="Times New Roman"/>
          <w:color w:val="auto"/>
          <w:kern w:val="2"/>
          <w:sz w:val="28"/>
          <w:szCs w:val="24"/>
          <w:highlight w:val="none"/>
        </w:rPr>
        <w:t>给需方。另外一套完整的上述资料供方应包装好随同每批货物装箱发运。</w:t>
      </w:r>
    </w:p>
    <w:p w14:paraId="6AD4691E">
      <w:pPr>
        <w:autoSpaceDE/>
        <w:autoSpaceDN/>
        <w:spacing w:line="480" w:lineRule="exact"/>
        <w:ind w:firstLine="560" w:firstLineChars="200"/>
        <w:jc w:val="both"/>
        <w:rPr>
          <w:rFonts w:ascii="Times New Roman" w:hAnsi="Times New Roman" w:eastAsia="宋体" w:cs="Times New Roman"/>
          <w:color w:val="auto"/>
          <w:kern w:val="2"/>
          <w:sz w:val="28"/>
          <w:szCs w:val="24"/>
          <w:highlight w:val="none"/>
        </w:rPr>
      </w:pPr>
      <w:r>
        <w:rPr>
          <w:rFonts w:ascii="Times New Roman" w:hAnsi="宋体" w:eastAsia="宋体" w:cs="Times New Roman"/>
          <w:color w:val="auto"/>
          <w:kern w:val="2"/>
          <w:sz w:val="28"/>
          <w:szCs w:val="24"/>
          <w:highlight w:val="none"/>
        </w:rPr>
        <w:t>五、使用合同文件和资料</w:t>
      </w:r>
    </w:p>
    <w:p w14:paraId="35BCA87F">
      <w:pPr>
        <w:autoSpaceDE/>
        <w:autoSpaceDN/>
        <w:spacing w:line="480" w:lineRule="exact"/>
        <w:ind w:firstLine="540"/>
        <w:jc w:val="both"/>
        <w:rPr>
          <w:rFonts w:ascii="Times New Roman" w:hAnsi="Times New Roman" w:eastAsia="宋体" w:cs="Times New Roman"/>
          <w:color w:val="auto"/>
          <w:kern w:val="2"/>
          <w:sz w:val="28"/>
          <w:szCs w:val="24"/>
          <w:highlight w:val="none"/>
        </w:rPr>
      </w:pPr>
      <w:r>
        <w:rPr>
          <w:rFonts w:ascii="Times New Roman" w:hAnsi="宋体" w:eastAsia="宋体" w:cs="Times New Roman"/>
          <w:color w:val="auto"/>
          <w:kern w:val="2"/>
          <w:sz w:val="28"/>
          <w:szCs w:val="24"/>
          <w:highlight w:val="none"/>
        </w:rPr>
        <w:t>事先未经需方书面同意，供方不得将由需方或代表需方提供的有关合同或任何合同条文、规格、计划、模型等提供给与履行本合同无关的任何其他人。即使向与履行本合同有关的人员提供，也应注意保密并限于履行合同所必需的范围。</w:t>
      </w:r>
    </w:p>
    <w:p w14:paraId="3D9D5465">
      <w:pPr>
        <w:autoSpaceDE/>
        <w:autoSpaceDN/>
        <w:spacing w:line="480" w:lineRule="exact"/>
        <w:ind w:firstLine="540"/>
        <w:jc w:val="both"/>
        <w:rPr>
          <w:rFonts w:ascii="Times New Roman" w:hAnsi="Times New Roman" w:eastAsia="宋体" w:cs="Times New Roman"/>
          <w:color w:val="auto"/>
          <w:kern w:val="2"/>
          <w:sz w:val="28"/>
          <w:szCs w:val="24"/>
          <w:highlight w:val="none"/>
        </w:rPr>
      </w:pPr>
      <w:r>
        <w:rPr>
          <w:rFonts w:ascii="Times New Roman" w:hAnsi="宋体" w:eastAsia="宋体" w:cs="Times New Roman"/>
          <w:color w:val="auto"/>
          <w:kern w:val="2"/>
          <w:sz w:val="28"/>
          <w:szCs w:val="24"/>
          <w:highlight w:val="none"/>
        </w:rPr>
        <w:t>六、检验和测试</w:t>
      </w:r>
    </w:p>
    <w:p w14:paraId="6FF5348B">
      <w:pPr>
        <w:autoSpaceDE/>
        <w:autoSpaceDN/>
        <w:spacing w:line="480" w:lineRule="exact"/>
        <w:ind w:firstLine="480"/>
        <w:jc w:val="both"/>
        <w:rPr>
          <w:rFonts w:ascii="Times New Roman" w:hAnsi="Times New Roman" w:eastAsia="宋体" w:cs="Times New Roman"/>
          <w:color w:val="auto"/>
          <w:kern w:val="2"/>
          <w:sz w:val="28"/>
          <w:szCs w:val="24"/>
          <w:highlight w:val="none"/>
        </w:rPr>
      </w:pPr>
      <w:r>
        <w:rPr>
          <w:rFonts w:ascii="Times New Roman" w:hAnsi="宋体" w:eastAsia="宋体" w:cs="Times New Roman"/>
          <w:color w:val="auto"/>
          <w:kern w:val="2"/>
          <w:sz w:val="28"/>
          <w:szCs w:val="24"/>
          <w:highlight w:val="none"/>
        </w:rPr>
        <w:t>货物抵达目的地后，由需方对货物的质量、规格、数量和重量进行检验，如果发现规格、数量或两者有与合同规定不一致的地方；或对成套货物安装调试、人员培训有异议的；或证实货物是有缺陷的，包括潜在的缺陷或使用不符合要求的材料等，需方应尽快以书面形式通知供方。供方在收到通知后最迟应于</w:t>
      </w:r>
      <w:r>
        <w:rPr>
          <w:rFonts w:ascii="Times New Roman" w:hAnsi="Times New Roman" w:eastAsia="宋体" w:cs="Times New Roman"/>
          <w:color w:val="auto"/>
          <w:kern w:val="2"/>
          <w:sz w:val="28"/>
          <w:szCs w:val="24"/>
          <w:highlight w:val="none"/>
        </w:rPr>
        <w:t>24</w:t>
      </w:r>
      <w:r>
        <w:rPr>
          <w:rFonts w:ascii="Times New Roman" w:hAnsi="宋体" w:eastAsia="宋体" w:cs="Times New Roman"/>
          <w:color w:val="auto"/>
          <w:kern w:val="2"/>
          <w:sz w:val="28"/>
          <w:szCs w:val="24"/>
          <w:highlight w:val="none"/>
        </w:rPr>
        <w:t>小时内解决问题。</w:t>
      </w:r>
    </w:p>
    <w:p w14:paraId="6C99F05C">
      <w:pPr>
        <w:widowControl w:val="0"/>
        <w:spacing w:line="480" w:lineRule="exact"/>
        <w:ind w:firstLine="560" w:firstLineChars="200"/>
        <w:jc w:val="both"/>
        <w:rPr>
          <w:rFonts w:ascii="Times New Roman" w:hAnsi="Times New Roman" w:eastAsia="宋体" w:cs="Times New Roman"/>
          <w:color w:val="auto"/>
          <w:kern w:val="2"/>
          <w:sz w:val="28"/>
          <w:szCs w:val="24"/>
          <w:highlight w:val="none"/>
          <w:lang w:val="en-US" w:eastAsia="zh-CN" w:bidi="ar-SA"/>
        </w:rPr>
      </w:pPr>
      <w:r>
        <w:rPr>
          <w:rFonts w:ascii="Times New Roman" w:hAnsi="宋体" w:eastAsia="宋体" w:cs="Times New Roman"/>
          <w:color w:val="auto"/>
          <w:kern w:val="2"/>
          <w:sz w:val="28"/>
          <w:szCs w:val="24"/>
          <w:highlight w:val="none"/>
          <w:lang w:val="en-US" w:eastAsia="zh-CN" w:bidi="ar-SA"/>
        </w:rPr>
        <w:t>如果供方在收到通知后</w:t>
      </w:r>
      <w:r>
        <w:rPr>
          <w:rFonts w:ascii="Times New Roman" w:hAnsi="Times New Roman" w:eastAsia="宋体" w:cs="Times New Roman"/>
          <w:color w:val="auto"/>
          <w:kern w:val="2"/>
          <w:sz w:val="28"/>
          <w:szCs w:val="24"/>
          <w:highlight w:val="none"/>
          <w:lang w:val="en-US" w:eastAsia="zh-CN" w:bidi="ar-SA"/>
        </w:rPr>
        <w:t>7</w:t>
      </w:r>
      <w:r>
        <w:rPr>
          <w:rFonts w:ascii="Times New Roman" w:hAnsi="宋体" w:eastAsia="宋体" w:cs="Times New Roman"/>
          <w:color w:val="auto"/>
          <w:kern w:val="2"/>
          <w:sz w:val="28"/>
          <w:szCs w:val="24"/>
          <w:highlight w:val="none"/>
          <w:lang w:val="en-US" w:eastAsia="zh-CN" w:bidi="ar-SA"/>
        </w:rPr>
        <w:t>天内没有解决问题，需方可采取必要的补救措施，但由此引发的风险和费用均由供方承担。</w:t>
      </w:r>
    </w:p>
    <w:p w14:paraId="677BD5DF">
      <w:pPr>
        <w:autoSpaceDE/>
        <w:autoSpaceDN/>
        <w:spacing w:line="480" w:lineRule="exact"/>
        <w:ind w:firstLine="540"/>
        <w:jc w:val="both"/>
        <w:rPr>
          <w:rFonts w:ascii="Times New Roman" w:hAnsi="Times New Roman" w:eastAsia="宋体" w:cs="Times New Roman"/>
          <w:color w:val="auto"/>
          <w:kern w:val="2"/>
          <w:sz w:val="28"/>
          <w:szCs w:val="24"/>
          <w:highlight w:val="none"/>
        </w:rPr>
      </w:pPr>
      <w:r>
        <w:rPr>
          <w:rFonts w:ascii="Times New Roman" w:hAnsi="宋体" w:eastAsia="宋体" w:cs="Times New Roman"/>
          <w:color w:val="auto"/>
          <w:kern w:val="2"/>
          <w:sz w:val="28"/>
          <w:szCs w:val="24"/>
          <w:highlight w:val="none"/>
        </w:rPr>
        <w:t>如供、需双方对货物的质量发生争议，可委托具有国家规定相关资质的第三方检验机构检验，检验和测试不论在何处发生，一切费用均由供方承担。</w:t>
      </w:r>
    </w:p>
    <w:p w14:paraId="63373F76">
      <w:pPr>
        <w:widowControl w:val="0"/>
        <w:spacing w:line="480" w:lineRule="exact"/>
        <w:ind w:firstLine="560" w:firstLineChars="200"/>
        <w:jc w:val="both"/>
        <w:rPr>
          <w:rFonts w:ascii="Times New Roman" w:hAnsi="宋体" w:eastAsia="宋体" w:cs="Times New Roman"/>
          <w:color w:val="auto"/>
          <w:kern w:val="2"/>
          <w:sz w:val="28"/>
          <w:szCs w:val="24"/>
          <w:highlight w:val="none"/>
          <w:lang w:val="en-US" w:eastAsia="zh-CN" w:bidi="ar-SA"/>
        </w:rPr>
      </w:pPr>
      <w:r>
        <w:rPr>
          <w:rFonts w:ascii="Times New Roman" w:hAnsi="宋体" w:eastAsia="宋体" w:cs="Times New Roman"/>
          <w:color w:val="auto"/>
          <w:kern w:val="2"/>
          <w:sz w:val="28"/>
          <w:szCs w:val="24"/>
          <w:highlight w:val="none"/>
          <w:lang w:val="en-US" w:eastAsia="zh-CN" w:bidi="ar-SA"/>
        </w:rPr>
        <w:t>七、验收</w:t>
      </w:r>
    </w:p>
    <w:p w14:paraId="4281B6DB">
      <w:pPr>
        <w:widowControl w:val="0"/>
        <w:spacing w:line="480" w:lineRule="exact"/>
        <w:ind w:firstLine="560" w:firstLineChars="200"/>
        <w:jc w:val="both"/>
        <w:rPr>
          <w:rFonts w:ascii="Times New Roman" w:hAnsi="宋体" w:eastAsia="宋体" w:cs="Times New Roman"/>
          <w:color w:val="auto"/>
          <w:kern w:val="2"/>
          <w:sz w:val="28"/>
          <w:szCs w:val="24"/>
          <w:highlight w:val="none"/>
          <w:lang w:val="en-US" w:eastAsia="zh-CN" w:bidi="ar-SA"/>
        </w:rPr>
      </w:pPr>
      <w:r>
        <w:rPr>
          <w:rFonts w:hint="eastAsia" w:ascii="Times New Roman" w:hAnsi="宋体" w:eastAsia="宋体" w:cs="Times New Roman"/>
          <w:color w:val="auto"/>
          <w:kern w:val="2"/>
          <w:sz w:val="28"/>
          <w:szCs w:val="24"/>
          <w:highlight w:val="none"/>
          <w:lang w:val="en-US" w:eastAsia="zh-CN" w:bidi="ar-SA"/>
        </w:rPr>
        <w:t>1.开箱验收：</w:t>
      </w:r>
      <w:r>
        <w:rPr>
          <w:rFonts w:ascii="Times New Roman" w:hAnsi="宋体" w:eastAsia="宋体" w:cs="Times New Roman"/>
          <w:color w:val="auto"/>
          <w:kern w:val="2"/>
          <w:sz w:val="28"/>
          <w:szCs w:val="24"/>
          <w:highlight w:val="none"/>
          <w:lang w:val="en-US" w:eastAsia="zh-CN" w:bidi="ar-SA"/>
        </w:rPr>
        <w:t>货物到达目的地后</w:t>
      </w:r>
      <w:r>
        <w:rPr>
          <w:rFonts w:hint="eastAsia" w:ascii="Times New Roman" w:hAnsi="宋体" w:eastAsia="宋体" w:cs="Times New Roman"/>
          <w:color w:val="auto"/>
          <w:kern w:val="2"/>
          <w:sz w:val="28"/>
          <w:szCs w:val="24"/>
          <w:highlight w:val="none"/>
          <w:lang w:val="en-US" w:eastAsia="zh-CN" w:bidi="ar-SA"/>
        </w:rPr>
        <w:t>，供方按照合同所列规格型号、技术参数以及数量等进行开箱验收，并</w:t>
      </w:r>
      <w:r>
        <w:rPr>
          <w:rFonts w:ascii="Times New Roman" w:hAnsi="宋体" w:eastAsia="宋体" w:cs="Times New Roman"/>
          <w:color w:val="auto"/>
          <w:kern w:val="2"/>
          <w:sz w:val="28"/>
          <w:szCs w:val="24"/>
          <w:highlight w:val="none"/>
          <w:lang w:val="en-US" w:eastAsia="zh-CN" w:bidi="ar-SA"/>
        </w:rPr>
        <w:t>按要求及时填写到货开箱验收报告（见附件四）</w:t>
      </w:r>
      <w:r>
        <w:rPr>
          <w:rFonts w:hint="eastAsia" w:ascii="Times New Roman" w:hAnsi="宋体" w:eastAsia="宋体" w:cs="Times New Roman"/>
          <w:color w:val="auto"/>
          <w:kern w:val="2"/>
          <w:sz w:val="28"/>
          <w:szCs w:val="24"/>
          <w:highlight w:val="none"/>
          <w:lang w:val="en-US" w:eastAsia="zh-CN" w:bidi="ar-SA"/>
        </w:rPr>
        <w:t xml:space="preserve">。      </w:t>
      </w:r>
    </w:p>
    <w:p w14:paraId="67CDBCD0">
      <w:pPr>
        <w:widowControl w:val="0"/>
        <w:spacing w:line="480" w:lineRule="exact"/>
        <w:ind w:firstLine="560" w:firstLineChars="200"/>
        <w:jc w:val="both"/>
        <w:rPr>
          <w:rFonts w:ascii="Times New Roman" w:hAnsi="宋体" w:eastAsia="宋体" w:cs="Times New Roman"/>
          <w:color w:val="auto"/>
          <w:kern w:val="2"/>
          <w:sz w:val="28"/>
          <w:szCs w:val="24"/>
          <w:highlight w:val="none"/>
          <w:lang w:val="en-US" w:eastAsia="zh-CN" w:bidi="ar-SA"/>
        </w:rPr>
      </w:pPr>
      <w:r>
        <w:rPr>
          <w:rFonts w:hint="eastAsia" w:ascii="Times New Roman" w:hAnsi="宋体" w:eastAsia="宋体" w:cs="Times New Roman"/>
          <w:color w:val="auto"/>
          <w:kern w:val="2"/>
          <w:sz w:val="28"/>
          <w:szCs w:val="24"/>
          <w:highlight w:val="none"/>
          <w:lang w:val="en-US" w:eastAsia="zh-CN" w:bidi="ar-SA"/>
        </w:rPr>
        <w:t>2.正式验收：货物开箱验收合格后，供</w:t>
      </w:r>
      <w:r>
        <w:rPr>
          <w:rFonts w:ascii="Times New Roman" w:hAnsi="宋体" w:eastAsia="宋体" w:cs="Times New Roman"/>
          <w:color w:val="auto"/>
          <w:kern w:val="2"/>
          <w:sz w:val="28"/>
          <w:szCs w:val="24"/>
          <w:highlight w:val="none"/>
          <w:lang w:val="en-US" w:eastAsia="zh-CN" w:bidi="ar-SA"/>
        </w:rPr>
        <w:t>方</w:t>
      </w:r>
      <w:r>
        <w:rPr>
          <w:rFonts w:hint="eastAsia" w:ascii="Times New Roman" w:hAnsi="宋体" w:eastAsia="宋体" w:cs="Times New Roman"/>
          <w:color w:val="auto"/>
          <w:kern w:val="2"/>
          <w:sz w:val="28"/>
          <w:szCs w:val="24"/>
          <w:highlight w:val="none"/>
          <w:lang w:val="en-US" w:eastAsia="zh-CN" w:bidi="ar-SA"/>
        </w:rPr>
        <w:t>尽快对货物进行</w:t>
      </w:r>
      <w:r>
        <w:rPr>
          <w:rFonts w:ascii="Times New Roman" w:hAnsi="宋体" w:eastAsia="宋体" w:cs="Times New Roman"/>
          <w:color w:val="auto"/>
          <w:kern w:val="2"/>
          <w:sz w:val="28"/>
          <w:szCs w:val="24"/>
          <w:highlight w:val="none"/>
          <w:lang w:val="en-US" w:eastAsia="zh-CN" w:bidi="ar-SA"/>
        </w:rPr>
        <w:t>安装</w:t>
      </w:r>
      <w:r>
        <w:rPr>
          <w:rFonts w:hint="eastAsia" w:ascii="Times New Roman" w:hAnsi="宋体" w:eastAsia="宋体" w:cs="Times New Roman"/>
          <w:color w:val="auto"/>
          <w:kern w:val="2"/>
          <w:sz w:val="28"/>
          <w:szCs w:val="24"/>
          <w:highlight w:val="none"/>
          <w:lang w:val="en-US" w:eastAsia="zh-CN" w:bidi="ar-SA"/>
        </w:rPr>
        <w:t>、</w:t>
      </w:r>
      <w:r>
        <w:rPr>
          <w:rFonts w:ascii="Times New Roman" w:hAnsi="宋体" w:eastAsia="宋体" w:cs="Times New Roman"/>
          <w:color w:val="auto"/>
          <w:kern w:val="2"/>
          <w:sz w:val="28"/>
          <w:szCs w:val="24"/>
          <w:highlight w:val="none"/>
          <w:lang w:val="en-US" w:eastAsia="zh-CN" w:bidi="ar-SA"/>
        </w:rPr>
        <w:t>调试</w:t>
      </w:r>
      <w:r>
        <w:rPr>
          <w:rFonts w:hint="eastAsia" w:ascii="Times New Roman" w:hAnsi="宋体" w:eastAsia="宋体" w:cs="Times New Roman"/>
          <w:color w:val="auto"/>
          <w:kern w:val="2"/>
          <w:sz w:val="28"/>
          <w:szCs w:val="24"/>
          <w:highlight w:val="none"/>
          <w:lang w:val="en-US" w:eastAsia="zh-CN" w:bidi="ar-SA"/>
        </w:rPr>
        <w:t>，完成使用</w:t>
      </w:r>
      <w:r>
        <w:rPr>
          <w:rFonts w:ascii="Times New Roman" w:hAnsi="宋体" w:eastAsia="宋体" w:cs="Times New Roman"/>
          <w:color w:val="auto"/>
          <w:kern w:val="2"/>
          <w:sz w:val="28"/>
          <w:szCs w:val="24"/>
          <w:highlight w:val="none"/>
          <w:lang w:val="en-US" w:eastAsia="zh-CN" w:bidi="ar-SA"/>
        </w:rPr>
        <w:t>培训，</w:t>
      </w:r>
      <w:r>
        <w:rPr>
          <w:rFonts w:hint="eastAsia" w:ascii="Times New Roman" w:hAnsi="宋体" w:eastAsia="宋体" w:cs="Times New Roman"/>
          <w:color w:val="auto"/>
          <w:kern w:val="2"/>
          <w:sz w:val="28"/>
          <w:szCs w:val="24"/>
          <w:highlight w:val="none"/>
          <w:lang w:val="en-US" w:eastAsia="zh-CN" w:bidi="ar-SA"/>
        </w:rPr>
        <w:t>确保货物正常运行后向需方提出货物验收申请，根据验收申请，需要组织相关人员或第三方进行正式验收。</w:t>
      </w:r>
    </w:p>
    <w:p w14:paraId="27313E2D">
      <w:pPr>
        <w:autoSpaceDE/>
        <w:autoSpaceDN/>
        <w:spacing w:line="480" w:lineRule="exact"/>
        <w:ind w:firstLine="560" w:firstLineChars="200"/>
        <w:jc w:val="both"/>
        <w:rPr>
          <w:rFonts w:ascii="Times New Roman" w:hAnsi="Times New Roman" w:eastAsia="宋体" w:cs="Times New Roman"/>
          <w:color w:val="auto"/>
          <w:kern w:val="2"/>
          <w:sz w:val="28"/>
          <w:szCs w:val="24"/>
          <w:highlight w:val="none"/>
        </w:rPr>
      </w:pPr>
      <w:r>
        <w:rPr>
          <w:rFonts w:ascii="Times New Roman" w:hAnsi="宋体" w:eastAsia="宋体" w:cs="Times New Roman"/>
          <w:color w:val="auto"/>
          <w:kern w:val="2"/>
          <w:sz w:val="28"/>
          <w:szCs w:val="24"/>
          <w:highlight w:val="none"/>
        </w:rPr>
        <w:t>需方严格按合同内容进行验收，供方不得变更合同中的货物品牌、型号、规格等。如因特殊原因需要变更，则必须向需方递交书面变更申请，并经同意后方可更换，供方应承担因更换而支付的一切费用。未经需方同意而进行变更，需方有权不予验收，并视为违约行为，同时要求供方按原合同执行。因更换而造成逾期交货，仍按逾期交货处理。</w:t>
      </w:r>
    </w:p>
    <w:p w14:paraId="7829081F">
      <w:pPr>
        <w:autoSpaceDE/>
        <w:autoSpaceDN/>
        <w:spacing w:line="480" w:lineRule="exact"/>
        <w:ind w:firstLine="560" w:firstLineChars="200"/>
        <w:jc w:val="both"/>
        <w:rPr>
          <w:rFonts w:ascii="Times New Roman" w:hAnsi="宋体" w:eastAsia="宋体" w:cs="Times New Roman"/>
          <w:color w:val="auto"/>
          <w:kern w:val="2"/>
          <w:sz w:val="28"/>
          <w:szCs w:val="24"/>
          <w:highlight w:val="none"/>
        </w:rPr>
      </w:pPr>
      <w:r>
        <w:rPr>
          <w:rFonts w:ascii="Times New Roman" w:hAnsi="宋体" w:eastAsia="宋体" w:cs="Times New Roman"/>
          <w:color w:val="auto"/>
          <w:kern w:val="2"/>
          <w:sz w:val="28"/>
          <w:szCs w:val="24"/>
          <w:highlight w:val="none"/>
        </w:rPr>
        <w:t>八、人员培训</w:t>
      </w:r>
    </w:p>
    <w:p w14:paraId="01B008AD">
      <w:pPr>
        <w:autoSpaceDE/>
        <w:autoSpaceDN/>
        <w:spacing w:line="480" w:lineRule="exact"/>
        <w:ind w:firstLine="560" w:firstLineChars="200"/>
        <w:jc w:val="both"/>
        <w:rPr>
          <w:rFonts w:ascii="Times New Roman" w:hAnsi="宋体" w:eastAsia="宋体" w:cs="Times New Roman"/>
          <w:color w:val="auto"/>
          <w:kern w:val="2"/>
          <w:sz w:val="28"/>
          <w:szCs w:val="24"/>
          <w:highlight w:val="none"/>
        </w:rPr>
      </w:pPr>
      <w:r>
        <w:rPr>
          <w:rFonts w:hint="eastAsia" w:ascii="Times New Roman" w:hAnsi="宋体" w:eastAsia="宋体" w:cs="Times New Roman"/>
          <w:color w:val="auto"/>
          <w:kern w:val="2"/>
          <w:sz w:val="28"/>
          <w:szCs w:val="24"/>
          <w:highlight w:val="none"/>
        </w:rPr>
        <w:t>供方应当安排技术人员免费为需方人员进行技术培训和现场指导，使购买的货物达到国家规定运行标准和使用要求。</w:t>
      </w:r>
    </w:p>
    <w:p w14:paraId="3B393060">
      <w:pPr>
        <w:autoSpaceDE/>
        <w:autoSpaceDN/>
        <w:spacing w:line="480" w:lineRule="exact"/>
        <w:ind w:firstLine="560" w:firstLineChars="200"/>
        <w:jc w:val="both"/>
        <w:rPr>
          <w:rFonts w:ascii="Times New Roman" w:hAnsi="宋体" w:eastAsia="宋体" w:cs="Times New Roman"/>
          <w:color w:val="auto"/>
          <w:kern w:val="2"/>
          <w:sz w:val="28"/>
          <w:szCs w:val="24"/>
          <w:highlight w:val="none"/>
        </w:rPr>
      </w:pPr>
      <w:r>
        <w:rPr>
          <w:rFonts w:ascii="Times New Roman" w:hAnsi="宋体" w:eastAsia="宋体" w:cs="Times New Roman"/>
          <w:color w:val="auto"/>
          <w:kern w:val="2"/>
          <w:sz w:val="28"/>
          <w:szCs w:val="24"/>
          <w:highlight w:val="none"/>
        </w:rPr>
        <w:t>九、付款方式及期限</w:t>
      </w:r>
    </w:p>
    <w:p w14:paraId="26D42E49">
      <w:pPr>
        <w:autoSpaceDE/>
        <w:autoSpaceDN/>
        <w:spacing w:line="480" w:lineRule="exact"/>
        <w:ind w:firstLine="560" w:firstLineChars="200"/>
        <w:jc w:val="both"/>
        <w:rPr>
          <w:rFonts w:ascii="Times New Roman" w:hAnsi="宋体" w:eastAsia="宋体" w:cs="Times New Roman"/>
          <w:color w:val="auto"/>
          <w:kern w:val="2"/>
          <w:sz w:val="28"/>
          <w:szCs w:val="24"/>
          <w:highlight w:val="none"/>
        </w:rPr>
      </w:pPr>
      <w:r>
        <w:rPr>
          <w:rFonts w:hint="eastAsia" w:ascii="Times New Roman" w:hAnsi="宋体" w:eastAsia="宋体" w:cs="Times New Roman"/>
          <w:color w:val="auto"/>
          <w:kern w:val="2"/>
          <w:sz w:val="28"/>
          <w:szCs w:val="24"/>
          <w:highlight w:val="none"/>
        </w:rPr>
        <w:t>1.货物合同签订后，需方向供方支付合同额 20%的预付款</w:t>
      </w:r>
      <w:r>
        <w:rPr>
          <w:rFonts w:ascii="Times New Roman" w:hAnsi="宋体" w:eastAsia="宋体" w:cs="Times New Roman"/>
          <w:color w:val="auto"/>
          <w:kern w:val="2"/>
          <w:sz w:val="28"/>
          <w:szCs w:val="24"/>
          <w:highlight w:val="none"/>
        </w:rPr>
        <w:t>（</w:t>
      </w:r>
      <w:r>
        <w:rPr>
          <w:rFonts w:hint="eastAsia" w:ascii="Times New Roman" w:hAnsi="宋体" w:eastAsia="宋体" w:cs="Times New Roman"/>
          <w:color w:val="auto"/>
          <w:kern w:val="2"/>
          <w:sz w:val="28"/>
          <w:szCs w:val="24"/>
          <w:highlight w:val="none"/>
        </w:rPr>
        <w:t>¥</w:t>
      </w:r>
      <w:permStart w:id="13" w:edGrp="everyone"/>
      <w:r>
        <w:rPr>
          <w:rFonts w:hint="eastAsia" w:ascii="Times New Roman" w:hAnsi="宋体" w:eastAsia="宋体" w:cs="Times New Roman"/>
          <w:color w:val="auto"/>
          <w:kern w:val="2"/>
          <w:sz w:val="28"/>
          <w:szCs w:val="24"/>
          <w:highlight w:val="none"/>
        </w:rPr>
        <w:t xml:space="preserve">       </w:t>
      </w:r>
      <w:r>
        <w:rPr>
          <w:rFonts w:ascii="Times New Roman" w:hAnsi="宋体" w:eastAsia="宋体" w:cs="Times New Roman"/>
          <w:color w:val="auto"/>
          <w:kern w:val="2"/>
          <w:sz w:val="28"/>
          <w:szCs w:val="24"/>
          <w:highlight w:val="none"/>
        </w:rPr>
        <w:t>元</w:t>
      </w:r>
      <w:permEnd w:id="13"/>
      <w:r>
        <w:rPr>
          <w:rFonts w:ascii="Times New Roman" w:hAnsi="宋体" w:eastAsia="宋体" w:cs="Times New Roman"/>
          <w:color w:val="auto"/>
          <w:kern w:val="2"/>
          <w:sz w:val="28"/>
          <w:szCs w:val="24"/>
          <w:highlight w:val="none"/>
        </w:rPr>
        <w:t>）</w:t>
      </w:r>
      <w:r>
        <w:rPr>
          <w:rFonts w:hint="eastAsia" w:ascii="Times New Roman" w:hAnsi="宋体" w:eastAsia="宋体" w:cs="Times New Roman"/>
          <w:color w:val="auto"/>
          <w:kern w:val="2"/>
          <w:sz w:val="28"/>
          <w:szCs w:val="24"/>
          <w:highlight w:val="none"/>
        </w:rPr>
        <w:t>，货物到达合同约定的交货地点并开箱验收合格后，需方向供方支付合同额 50%的货款</w:t>
      </w:r>
      <w:r>
        <w:rPr>
          <w:rFonts w:ascii="Times New Roman" w:hAnsi="宋体" w:eastAsia="宋体" w:cs="Times New Roman"/>
          <w:color w:val="auto"/>
          <w:kern w:val="2"/>
          <w:sz w:val="28"/>
          <w:szCs w:val="24"/>
          <w:highlight w:val="none"/>
        </w:rPr>
        <w:t>（</w:t>
      </w:r>
      <w:r>
        <w:rPr>
          <w:rFonts w:hint="eastAsia" w:ascii="Times New Roman" w:hAnsi="宋体" w:eastAsia="宋体" w:cs="Times New Roman"/>
          <w:color w:val="auto"/>
          <w:kern w:val="2"/>
          <w:sz w:val="28"/>
          <w:szCs w:val="24"/>
          <w:highlight w:val="none"/>
        </w:rPr>
        <w:t>¥</w:t>
      </w:r>
      <w:permStart w:id="14" w:edGrp="everyone"/>
      <w:r>
        <w:rPr>
          <w:rFonts w:hint="eastAsia" w:ascii="Times New Roman" w:hAnsi="宋体" w:eastAsia="宋体" w:cs="Times New Roman"/>
          <w:color w:val="auto"/>
          <w:kern w:val="2"/>
          <w:sz w:val="28"/>
          <w:szCs w:val="24"/>
          <w:highlight w:val="none"/>
        </w:rPr>
        <w:t xml:space="preserve">       </w:t>
      </w:r>
      <w:r>
        <w:rPr>
          <w:rFonts w:ascii="Times New Roman" w:hAnsi="宋体" w:eastAsia="宋体" w:cs="Times New Roman"/>
          <w:color w:val="auto"/>
          <w:kern w:val="2"/>
          <w:sz w:val="28"/>
          <w:szCs w:val="24"/>
          <w:highlight w:val="none"/>
        </w:rPr>
        <w:t>元</w:t>
      </w:r>
      <w:permEnd w:id="14"/>
      <w:r>
        <w:rPr>
          <w:rFonts w:ascii="Times New Roman" w:hAnsi="宋体" w:eastAsia="宋体" w:cs="Times New Roman"/>
          <w:color w:val="auto"/>
          <w:kern w:val="2"/>
          <w:sz w:val="28"/>
          <w:szCs w:val="24"/>
          <w:highlight w:val="none"/>
        </w:rPr>
        <w:t>）</w:t>
      </w:r>
      <w:r>
        <w:rPr>
          <w:rFonts w:hint="eastAsia" w:ascii="Times New Roman" w:hAnsi="宋体" w:eastAsia="宋体" w:cs="Times New Roman"/>
          <w:color w:val="auto"/>
          <w:kern w:val="2"/>
          <w:sz w:val="28"/>
          <w:szCs w:val="24"/>
          <w:highlight w:val="none"/>
        </w:rPr>
        <w:t>，货物经调试运行后并经供、需双方正式验收合格后，需方向供方支付剩余货款</w:t>
      </w:r>
      <w:r>
        <w:rPr>
          <w:rFonts w:ascii="Times New Roman" w:hAnsi="宋体" w:eastAsia="宋体" w:cs="Times New Roman"/>
          <w:color w:val="auto"/>
          <w:kern w:val="2"/>
          <w:sz w:val="28"/>
          <w:szCs w:val="24"/>
          <w:highlight w:val="none"/>
        </w:rPr>
        <w:t>（</w:t>
      </w:r>
      <w:r>
        <w:rPr>
          <w:rFonts w:hint="eastAsia" w:ascii="Times New Roman" w:hAnsi="宋体" w:eastAsia="宋体" w:cs="Times New Roman"/>
          <w:color w:val="auto"/>
          <w:kern w:val="2"/>
          <w:sz w:val="28"/>
          <w:szCs w:val="24"/>
          <w:highlight w:val="none"/>
        </w:rPr>
        <w:t>¥</w:t>
      </w:r>
      <w:permStart w:id="15" w:edGrp="everyone"/>
      <w:r>
        <w:rPr>
          <w:rFonts w:hint="eastAsia" w:ascii="Times New Roman" w:hAnsi="宋体" w:eastAsia="宋体" w:cs="Times New Roman"/>
          <w:color w:val="auto"/>
          <w:kern w:val="2"/>
          <w:sz w:val="28"/>
          <w:szCs w:val="24"/>
          <w:highlight w:val="none"/>
        </w:rPr>
        <w:t xml:space="preserve">       </w:t>
      </w:r>
      <w:r>
        <w:rPr>
          <w:rFonts w:ascii="Times New Roman" w:hAnsi="宋体" w:eastAsia="宋体" w:cs="Times New Roman"/>
          <w:color w:val="auto"/>
          <w:kern w:val="2"/>
          <w:sz w:val="28"/>
          <w:szCs w:val="24"/>
          <w:highlight w:val="none"/>
        </w:rPr>
        <w:t>元</w:t>
      </w:r>
      <w:permEnd w:id="15"/>
      <w:r>
        <w:rPr>
          <w:rFonts w:ascii="Times New Roman" w:hAnsi="宋体" w:eastAsia="宋体" w:cs="Times New Roman"/>
          <w:color w:val="auto"/>
          <w:kern w:val="2"/>
          <w:sz w:val="28"/>
          <w:szCs w:val="24"/>
          <w:highlight w:val="none"/>
        </w:rPr>
        <w:t>）</w:t>
      </w:r>
      <w:r>
        <w:rPr>
          <w:rFonts w:hint="eastAsia" w:ascii="Times New Roman" w:hAnsi="宋体" w:eastAsia="宋体" w:cs="Times New Roman"/>
          <w:color w:val="auto"/>
          <w:kern w:val="2"/>
          <w:sz w:val="28"/>
          <w:szCs w:val="24"/>
          <w:highlight w:val="none"/>
        </w:rPr>
        <w:t>。</w:t>
      </w:r>
    </w:p>
    <w:p w14:paraId="11E89079">
      <w:pPr>
        <w:autoSpaceDE/>
        <w:autoSpaceDN/>
        <w:spacing w:line="480" w:lineRule="exact"/>
        <w:ind w:firstLine="560" w:firstLineChars="200"/>
        <w:jc w:val="both"/>
        <w:rPr>
          <w:rFonts w:ascii="Times New Roman" w:hAnsi="宋体" w:eastAsia="宋体" w:cs="Times New Roman"/>
          <w:color w:val="auto"/>
          <w:kern w:val="2"/>
          <w:sz w:val="28"/>
          <w:szCs w:val="24"/>
          <w:highlight w:val="none"/>
        </w:rPr>
      </w:pPr>
      <w:r>
        <w:rPr>
          <w:rFonts w:hint="eastAsia" w:ascii="Times New Roman" w:hAnsi="宋体" w:eastAsia="宋体" w:cs="Times New Roman"/>
          <w:color w:val="auto"/>
          <w:kern w:val="2"/>
          <w:sz w:val="28"/>
          <w:szCs w:val="24"/>
          <w:highlight w:val="none"/>
        </w:rPr>
        <w:t>2.在支付预付款前，供方需按合同总金额开具增值税专用发票。</w:t>
      </w:r>
    </w:p>
    <w:p w14:paraId="7E92F961">
      <w:pPr>
        <w:autoSpaceDE/>
        <w:autoSpaceDN/>
        <w:spacing w:line="480" w:lineRule="exact"/>
        <w:ind w:firstLine="560" w:firstLineChars="200"/>
        <w:jc w:val="both"/>
        <w:rPr>
          <w:rFonts w:ascii="Times New Roman" w:hAnsi="宋体" w:eastAsia="宋体" w:cs="Times New Roman"/>
          <w:color w:val="auto"/>
          <w:kern w:val="2"/>
          <w:sz w:val="28"/>
          <w:szCs w:val="24"/>
          <w:highlight w:val="none"/>
        </w:rPr>
      </w:pPr>
      <w:r>
        <w:rPr>
          <w:rFonts w:hint="eastAsia" w:ascii="Times New Roman" w:hAnsi="宋体" w:eastAsia="宋体" w:cs="Times New Roman"/>
          <w:color w:val="auto"/>
          <w:kern w:val="2"/>
          <w:sz w:val="28"/>
          <w:szCs w:val="24"/>
          <w:highlight w:val="none"/>
        </w:rPr>
        <w:t>十</w:t>
      </w:r>
      <w:r>
        <w:rPr>
          <w:rFonts w:ascii="Times New Roman" w:hAnsi="宋体" w:eastAsia="宋体" w:cs="Times New Roman"/>
          <w:color w:val="auto"/>
          <w:kern w:val="2"/>
          <w:sz w:val="28"/>
          <w:szCs w:val="24"/>
          <w:highlight w:val="none"/>
        </w:rPr>
        <w:t xml:space="preserve">、免税 </w:t>
      </w:r>
    </w:p>
    <w:p w14:paraId="5C63DD84">
      <w:pPr>
        <w:autoSpaceDE/>
        <w:autoSpaceDN/>
        <w:spacing w:line="480" w:lineRule="exact"/>
        <w:ind w:firstLine="560" w:firstLineChars="200"/>
        <w:jc w:val="both"/>
        <w:rPr>
          <w:rFonts w:ascii="Times New Roman" w:hAnsi="宋体" w:eastAsia="宋体" w:cs="Times New Roman"/>
          <w:color w:val="auto"/>
          <w:kern w:val="2"/>
          <w:sz w:val="28"/>
          <w:szCs w:val="24"/>
          <w:highlight w:val="none"/>
        </w:rPr>
      </w:pPr>
      <w:r>
        <w:rPr>
          <w:rFonts w:ascii="Times New Roman" w:hAnsi="宋体" w:eastAsia="宋体" w:cs="Times New Roman"/>
          <w:color w:val="auto"/>
          <w:kern w:val="2"/>
          <w:sz w:val="28"/>
          <w:szCs w:val="24"/>
          <w:highlight w:val="none"/>
        </w:rPr>
        <w:t>免税产品应由</w:t>
      </w:r>
      <w:r>
        <w:rPr>
          <w:rFonts w:hint="eastAsia" w:ascii="Times New Roman" w:hAnsi="宋体" w:eastAsia="宋体" w:cs="Times New Roman"/>
          <w:color w:val="auto"/>
          <w:kern w:val="2"/>
          <w:sz w:val="28"/>
          <w:szCs w:val="24"/>
          <w:highlight w:val="none"/>
        </w:rPr>
        <w:t>供需</w:t>
      </w:r>
      <w:r>
        <w:rPr>
          <w:rFonts w:ascii="Times New Roman" w:hAnsi="宋体" w:eastAsia="宋体" w:cs="Times New Roman"/>
          <w:color w:val="auto"/>
          <w:kern w:val="2"/>
          <w:sz w:val="28"/>
          <w:szCs w:val="24"/>
          <w:highlight w:val="none"/>
        </w:rPr>
        <w:t>双方依据海关的要求签订委托进口代理协议，确认</w:t>
      </w:r>
      <w:r>
        <w:rPr>
          <w:rFonts w:hint="eastAsia" w:ascii="Times New Roman" w:hAnsi="宋体" w:eastAsia="宋体" w:cs="Times New Roman"/>
          <w:color w:val="auto"/>
          <w:kern w:val="2"/>
          <w:sz w:val="28"/>
          <w:szCs w:val="24"/>
          <w:highlight w:val="none"/>
        </w:rPr>
        <w:t>供需</w:t>
      </w:r>
      <w:r>
        <w:rPr>
          <w:rFonts w:ascii="Times New Roman" w:hAnsi="宋体" w:eastAsia="宋体" w:cs="Times New Roman"/>
          <w:color w:val="auto"/>
          <w:kern w:val="2"/>
          <w:sz w:val="28"/>
          <w:szCs w:val="24"/>
          <w:highlight w:val="none"/>
        </w:rPr>
        <w:t xml:space="preserve">双方的责任与义务。委托进口代理协议作为本合同的不可分割部分。 </w:t>
      </w:r>
    </w:p>
    <w:p w14:paraId="79636BA7">
      <w:pPr>
        <w:autoSpaceDE/>
        <w:autoSpaceDN/>
        <w:spacing w:line="480" w:lineRule="exact"/>
        <w:ind w:firstLine="560" w:firstLineChars="200"/>
        <w:jc w:val="both"/>
        <w:rPr>
          <w:rFonts w:ascii="Times New Roman" w:hAnsi="宋体" w:eastAsia="宋体" w:cs="Times New Roman"/>
          <w:color w:val="auto"/>
          <w:kern w:val="2"/>
          <w:sz w:val="28"/>
          <w:szCs w:val="24"/>
          <w:highlight w:val="none"/>
        </w:rPr>
      </w:pPr>
      <w:r>
        <w:rPr>
          <w:rFonts w:hint="eastAsia" w:ascii="Times New Roman" w:hAnsi="宋体" w:eastAsia="宋体" w:cs="Times New Roman"/>
          <w:color w:val="auto"/>
          <w:kern w:val="2"/>
          <w:sz w:val="28"/>
          <w:szCs w:val="24"/>
          <w:highlight w:val="none"/>
        </w:rPr>
        <w:t>十一、知识产</w:t>
      </w:r>
      <w:r>
        <w:rPr>
          <w:rFonts w:ascii="Times New Roman" w:hAnsi="宋体" w:eastAsia="宋体" w:cs="Times New Roman"/>
          <w:color w:val="auto"/>
          <w:kern w:val="2"/>
          <w:sz w:val="28"/>
          <w:szCs w:val="24"/>
          <w:highlight w:val="none"/>
        </w:rPr>
        <w:t xml:space="preserve">权 </w:t>
      </w:r>
    </w:p>
    <w:p w14:paraId="07AA09C9">
      <w:pPr>
        <w:autoSpaceDE/>
        <w:autoSpaceDN/>
        <w:spacing w:line="480" w:lineRule="exact"/>
        <w:ind w:firstLine="560" w:firstLineChars="200"/>
        <w:jc w:val="both"/>
        <w:rPr>
          <w:rFonts w:ascii="Times New Roman" w:hAnsi="宋体" w:eastAsia="宋体" w:cs="Times New Roman"/>
          <w:color w:val="auto"/>
          <w:kern w:val="2"/>
          <w:sz w:val="28"/>
          <w:szCs w:val="24"/>
          <w:highlight w:val="none"/>
        </w:rPr>
      </w:pPr>
      <w:r>
        <w:rPr>
          <w:rFonts w:hint="eastAsia" w:ascii="Times New Roman" w:hAnsi="宋体" w:eastAsia="宋体" w:cs="Times New Roman"/>
          <w:color w:val="auto"/>
          <w:kern w:val="2"/>
          <w:sz w:val="28"/>
          <w:szCs w:val="24"/>
          <w:highlight w:val="none"/>
        </w:rPr>
        <w:t>供</w:t>
      </w:r>
      <w:r>
        <w:rPr>
          <w:rFonts w:ascii="Times New Roman" w:hAnsi="宋体" w:eastAsia="宋体" w:cs="Times New Roman"/>
          <w:color w:val="auto"/>
          <w:kern w:val="2"/>
          <w:sz w:val="28"/>
          <w:szCs w:val="24"/>
          <w:highlight w:val="none"/>
        </w:rPr>
        <w:t>方应保证</w:t>
      </w:r>
      <w:r>
        <w:rPr>
          <w:rFonts w:hint="eastAsia" w:ascii="Times New Roman" w:hAnsi="宋体" w:eastAsia="宋体" w:cs="Times New Roman"/>
          <w:color w:val="auto"/>
          <w:kern w:val="2"/>
          <w:sz w:val="28"/>
          <w:szCs w:val="24"/>
          <w:highlight w:val="none"/>
        </w:rPr>
        <w:t>需</w:t>
      </w:r>
      <w:r>
        <w:rPr>
          <w:rFonts w:ascii="Times New Roman" w:hAnsi="宋体" w:eastAsia="宋体" w:cs="Times New Roman"/>
          <w:color w:val="auto"/>
          <w:kern w:val="2"/>
          <w:sz w:val="28"/>
          <w:szCs w:val="24"/>
          <w:highlight w:val="none"/>
        </w:rPr>
        <w:t xml:space="preserve">方在使用其所提供的产品时免受第三方提出侵犯其专利权、商标权或保护期等的起诉。 </w:t>
      </w:r>
    </w:p>
    <w:p w14:paraId="40A670D0">
      <w:pPr>
        <w:autoSpaceDE/>
        <w:autoSpaceDN/>
        <w:spacing w:line="480" w:lineRule="exact"/>
        <w:ind w:firstLine="560" w:firstLineChars="200"/>
        <w:jc w:val="both"/>
        <w:rPr>
          <w:rFonts w:ascii="Times New Roman" w:hAnsi="宋体" w:eastAsia="宋体" w:cs="Times New Roman"/>
          <w:color w:val="auto"/>
          <w:kern w:val="2"/>
          <w:sz w:val="28"/>
          <w:szCs w:val="24"/>
          <w:highlight w:val="none"/>
        </w:rPr>
      </w:pPr>
      <w:r>
        <w:rPr>
          <w:rFonts w:ascii="Times New Roman" w:hAnsi="宋体" w:eastAsia="宋体" w:cs="Times New Roman"/>
          <w:color w:val="auto"/>
          <w:kern w:val="2"/>
          <w:sz w:val="28"/>
          <w:szCs w:val="24"/>
          <w:highlight w:val="none"/>
        </w:rPr>
        <w:t>十</w:t>
      </w:r>
      <w:r>
        <w:rPr>
          <w:rFonts w:hint="eastAsia" w:ascii="Times New Roman" w:hAnsi="宋体" w:eastAsia="宋体" w:cs="Times New Roman"/>
          <w:color w:val="auto"/>
          <w:kern w:val="2"/>
          <w:sz w:val="28"/>
          <w:szCs w:val="24"/>
          <w:highlight w:val="none"/>
        </w:rPr>
        <w:t>二</w:t>
      </w:r>
      <w:r>
        <w:rPr>
          <w:rFonts w:ascii="Times New Roman" w:hAnsi="宋体" w:eastAsia="宋体" w:cs="Times New Roman"/>
          <w:color w:val="auto"/>
          <w:kern w:val="2"/>
          <w:sz w:val="28"/>
          <w:szCs w:val="24"/>
          <w:highlight w:val="none"/>
        </w:rPr>
        <w:t>、本合同的组成文件</w:t>
      </w:r>
    </w:p>
    <w:p w14:paraId="358B4C0F">
      <w:pPr>
        <w:autoSpaceDE/>
        <w:autoSpaceDN/>
        <w:spacing w:line="480" w:lineRule="exact"/>
        <w:ind w:firstLine="560" w:firstLineChars="200"/>
        <w:jc w:val="both"/>
        <w:rPr>
          <w:rFonts w:ascii="Times New Roman" w:hAnsi="宋体" w:eastAsia="宋体" w:cs="Times New Roman"/>
          <w:color w:val="auto"/>
          <w:kern w:val="2"/>
          <w:sz w:val="28"/>
          <w:szCs w:val="24"/>
          <w:highlight w:val="none"/>
        </w:rPr>
      </w:pPr>
      <w:r>
        <w:rPr>
          <w:rFonts w:hint="eastAsia" w:ascii="Times New Roman" w:hAnsi="宋体" w:eastAsia="宋体" w:cs="Times New Roman"/>
          <w:color w:val="auto"/>
          <w:kern w:val="2"/>
          <w:sz w:val="28"/>
          <w:szCs w:val="24"/>
          <w:highlight w:val="none"/>
        </w:rPr>
        <w:t>本</w:t>
      </w:r>
      <w:r>
        <w:rPr>
          <w:rFonts w:ascii="Times New Roman" w:hAnsi="宋体" w:eastAsia="宋体" w:cs="Times New Roman"/>
          <w:color w:val="auto"/>
          <w:kern w:val="2"/>
          <w:sz w:val="28"/>
          <w:szCs w:val="24"/>
          <w:highlight w:val="none"/>
        </w:rPr>
        <w:t>合同</w:t>
      </w:r>
      <w:r>
        <w:rPr>
          <w:rFonts w:hint="eastAsia" w:ascii="Times New Roman" w:hAnsi="宋体" w:eastAsia="宋体" w:cs="Times New Roman"/>
          <w:color w:val="auto"/>
          <w:kern w:val="2"/>
          <w:sz w:val="28"/>
          <w:szCs w:val="24"/>
          <w:highlight w:val="none"/>
        </w:rPr>
        <w:t>及附件、</w:t>
      </w:r>
      <w:r>
        <w:rPr>
          <w:rFonts w:ascii="Times New Roman" w:hAnsi="宋体" w:eastAsia="宋体" w:cs="Times New Roman"/>
          <w:color w:val="auto"/>
          <w:kern w:val="2"/>
          <w:sz w:val="28"/>
          <w:szCs w:val="24"/>
          <w:highlight w:val="none"/>
        </w:rPr>
        <w:t>投标</w:t>
      </w:r>
      <w:r>
        <w:rPr>
          <w:rFonts w:hint="eastAsia" w:ascii="Times New Roman" w:hAnsi="宋体" w:eastAsia="宋体" w:cs="Times New Roman"/>
          <w:color w:val="auto"/>
          <w:kern w:val="2"/>
          <w:sz w:val="28"/>
          <w:szCs w:val="24"/>
          <w:highlight w:val="none"/>
        </w:rPr>
        <w:t>（响应）文件</w:t>
      </w:r>
      <w:r>
        <w:rPr>
          <w:rFonts w:ascii="Times New Roman" w:hAnsi="宋体" w:eastAsia="宋体" w:cs="Times New Roman"/>
          <w:color w:val="auto"/>
          <w:kern w:val="2"/>
          <w:sz w:val="28"/>
          <w:szCs w:val="24"/>
          <w:highlight w:val="none"/>
        </w:rPr>
        <w:t>及其附件、招标</w:t>
      </w:r>
      <w:r>
        <w:rPr>
          <w:rFonts w:hint="eastAsia" w:ascii="Times New Roman" w:hAnsi="宋体" w:eastAsia="宋体" w:cs="Times New Roman"/>
          <w:color w:val="auto"/>
          <w:kern w:val="2"/>
          <w:sz w:val="28"/>
          <w:szCs w:val="24"/>
          <w:highlight w:val="none"/>
        </w:rPr>
        <w:t>（采购）</w:t>
      </w:r>
      <w:r>
        <w:rPr>
          <w:rFonts w:ascii="Times New Roman" w:hAnsi="宋体" w:eastAsia="宋体" w:cs="Times New Roman"/>
          <w:color w:val="auto"/>
          <w:kern w:val="2"/>
          <w:sz w:val="28"/>
          <w:szCs w:val="24"/>
          <w:highlight w:val="none"/>
        </w:rPr>
        <w:t>文件及补充通知</w:t>
      </w:r>
      <w:r>
        <w:rPr>
          <w:rFonts w:hint="eastAsia" w:ascii="Times New Roman" w:hAnsi="宋体" w:eastAsia="宋体" w:cs="Times New Roman"/>
          <w:color w:val="auto"/>
          <w:kern w:val="2"/>
          <w:sz w:val="28"/>
          <w:szCs w:val="24"/>
          <w:highlight w:val="none"/>
        </w:rPr>
        <w:t>、评审中的磋商（谈判）记录、</w:t>
      </w:r>
      <w:r>
        <w:rPr>
          <w:rFonts w:ascii="Times New Roman" w:hAnsi="宋体" w:eastAsia="宋体" w:cs="Times New Roman"/>
          <w:color w:val="auto"/>
          <w:kern w:val="2"/>
          <w:sz w:val="28"/>
          <w:szCs w:val="24"/>
          <w:highlight w:val="none"/>
        </w:rPr>
        <w:t>中标</w:t>
      </w:r>
      <w:r>
        <w:rPr>
          <w:rFonts w:hint="eastAsia" w:ascii="Times New Roman" w:hAnsi="宋体" w:eastAsia="宋体" w:cs="Times New Roman"/>
          <w:color w:val="auto"/>
          <w:kern w:val="2"/>
          <w:sz w:val="28"/>
          <w:szCs w:val="24"/>
          <w:highlight w:val="none"/>
        </w:rPr>
        <w:t>（成交）</w:t>
      </w:r>
      <w:r>
        <w:rPr>
          <w:rFonts w:ascii="Times New Roman" w:hAnsi="宋体" w:eastAsia="宋体" w:cs="Times New Roman"/>
          <w:color w:val="auto"/>
          <w:kern w:val="2"/>
          <w:sz w:val="28"/>
          <w:szCs w:val="24"/>
          <w:highlight w:val="none"/>
        </w:rPr>
        <w:t>通知书</w:t>
      </w:r>
      <w:r>
        <w:rPr>
          <w:rFonts w:hint="eastAsia" w:ascii="Times New Roman" w:hAnsi="宋体" w:eastAsia="宋体" w:cs="Times New Roman"/>
          <w:color w:val="auto"/>
          <w:kern w:val="2"/>
          <w:sz w:val="28"/>
          <w:szCs w:val="24"/>
          <w:highlight w:val="none"/>
        </w:rPr>
        <w:t>、</w:t>
      </w:r>
      <w:r>
        <w:rPr>
          <w:rFonts w:ascii="Times New Roman" w:hAnsi="宋体" w:eastAsia="宋体" w:cs="Times New Roman"/>
          <w:color w:val="auto"/>
          <w:kern w:val="2"/>
          <w:sz w:val="28"/>
          <w:szCs w:val="24"/>
          <w:highlight w:val="none"/>
        </w:rPr>
        <w:t>国家、行业或企业（以最高的为准）标准、规范及有关技术文件</w:t>
      </w:r>
      <w:r>
        <w:rPr>
          <w:rFonts w:hint="eastAsia" w:ascii="Times New Roman" w:hAnsi="宋体" w:eastAsia="宋体" w:cs="Times New Roman"/>
          <w:color w:val="auto"/>
          <w:kern w:val="2"/>
          <w:sz w:val="28"/>
          <w:szCs w:val="24"/>
          <w:highlight w:val="none"/>
        </w:rPr>
        <w:t>等</w:t>
      </w:r>
      <w:r>
        <w:rPr>
          <w:rFonts w:ascii="Times New Roman" w:hAnsi="宋体" w:eastAsia="宋体" w:cs="Times New Roman"/>
          <w:color w:val="auto"/>
          <w:kern w:val="2"/>
          <w:sz w:val="28"/>
          <w:szCs w:val="24"/>
          <w:highlight w:val="none"/>
        </w:rPr>
        <w:t xml:space="preserve">。 </w:t>
      </w:r>
    </w:p>
    <w:p w14:paraId="11168852">
      <w:pPr>
        <w:autoSpaceDE/>
        <w:autoSpaceDN/>
        <w:spacing w:line="480" w:lineRule="exact"/>
        <w:ind w:firstLine="560" w:firstLineChars="200"/>
        <w:jc w:val="both"/>
        <w:rPr>
          <w:rFonts w:ascii="Times New Roman" w:hAnsi="Times New Roman" w:eastAsia="宋体" w:cs="Times New Roman"/>
          <w:color w:val="auto"/>
          <w:kern w:val="2"/>
          <w:sz w:val="28"/>
          <w:szCs w:val="24"/>
          <w:highlight w:val="none"/>
        </w:rPr>
      </w:pPr>
      <w:r>
        <w:rPr>
          <w:rFonts w:ascii="Times New Roman" w:hAnsi="宋体" w:eastAsia="宋体" w:cs="Times New Roman"/>
          <w:color w:val="auto"/>
          <w:kern w:val="2"/>
          <w:sz w:val="28"/>
          <w:szCs w:val="24"/>
          <w:highlight w:val="none"/>
        </w:rPr>
        <w:t>十</w:t>
      </w:r>
      <w:r>
        <w:rPr>
          <w:rFonts w:hint="eastAsia" w:ascii="Times New Roman" w:hAnsi="宋体" w:eastAsia="宋体" w:cs="Times New Roman"/>
          <w:color w:val="auto"/>
          <w:kern w:val="2"/>
          <w:sz w:val="28"/>
          <w:szCs w:val="24"/>
          <w:highlight w:val="none"/>
        </w:rPr>
        <w:t>三</w:t>
      </w:r>
      <w:r>
        <w:rPr>
          <w:rFonts w:ascii="Times New Roman" w:hAnsi="宋体" w:eastAsia="宋体" w:cs="Times New Roman"/>
          <w:color w:val="auto"/>
          <w:kern w:val="2"/>
          <w:sz w:val="28"/>
          <w:szCs w:val="24"/>
          <w:highlight w:val="none"/>
        </w:rPr>
        <w:t>、违约与索赔</w:t>
      </w:r>
    </w:p>
    <w:p w14:paraId="569EE3F6">
      <w:pPr>
        <w:autoSpaceDE/>
        <w:autoSpaceDN/>
        <w:spacing w:line="480" w:lineRule="exact"/>
        <w:ind w:firstLine="560" w:firstLineChars="200"/>
        <w:jc w:val="both"/>
        <w:rPr>
          <w:rFonts w:ascii="Times New Roman" w:hAnsi="宋体" w:eastAsia="宋体" w:cs="Times New Roman"/>
          <w:color w:val="auto"/>
          <w:kern w:val="2"/>
          <w:sz w:val="28"/>
          <w:szCs w:val="24"/>
          <w:highlight w:val="none"/>
        </w:rPr>
      </w:pPr>
      <w:r>
        <w:rPr>
          <w:rFonts w:ascii="Times New Roman" w:hAnsi="宋体" w:eastAsia="宋体" w:cs="Times New Roman"/>
          <w:color w:val="auto"/>
          <w:kern w:val="2"/>
          <w:sz w:val="28"/>
          <w:szCs w:val="24"/>
          <w:highlight w:val="none"/>
        </w:rPr>
        <w:t>供方未按期交付货物的，应向需方偿付违约金，违约金按每周合同总</w:t>
      </w:r>
      <w:r>
        <w:rPr>
          <w:rFonts w:hint="eastAsia" w:ascii="Times New Roman" w:hAnsi="宋体" w:eastAsia="宋体" w:cs="Times New Roman"/>
          <w:color w:val="auto"/>
          <w:kern w:val="2"/>
          <w:sz w:val="28"/>
          <w:szCs w:val="24"/>
          <w:highlight w:val="none"/>
        </w:rPr>
        <w:t>价款</w:t>
      </w:r>
      <w:r>
        <w:rPr>
          <w:rFonts w:ascii="Times New Roman" w:hAnsi="宋体" w:eastAsia="宋体" w:cs="Times New Roman"/>
          <w:color w:val="auto"/>
          <w:kern w:val="2"/>
          <w:sz w:val="28"/>
          <w:szCs w:val="24"/>
          <w:highlight w:val="none"/>
        </w:rPr>
        <w:t>的1%计收。该违约金的最高限额为合同总</w:t>
      </w:r>
      <w:r>
        <w:rPr>
          <w:rFonts w:hint="eastAsia" w:ascii="Times New Roman" w:hAnsi="宋体" w:eastAsia="宋体" w:cs="Times New Roman"/>
          <w:color w:val="auto"/>
          <w:kern w:val="2"/>
          <w:sz w:val="28"/>
          <w:szCs w:val="24"/>
          <w:highlight w:val="none"/>
        </w:rPr>
        <w:t>价款</w:t>
      </w:r>
      <w:r>
        <w:rPr>
          <w:rFonts w:ascii="Times New Roman" w:hAnsi="宋体" w:eastAsia="宋体" w:cs="Times New Roman"/>
          <w:color w:val="auto"/>
          <w:kern w:val="2"/>
          <w:sz w:val="28"/>
          <w:szCs w:val="24"/>
          <w:highlight w:val="none"/>
        </w:rPr>
        <w:t>的</w:t>
      </w:r>
      <w:r>
        <w:rPr>
          <w:rFonts w:hint="eastAsia" w:ascii="Times New Roman" w:hAnsi="宋体" w:eastAsia="宋体" w:cs="Times New Roman"/>
          <w:color w:val="auto"/>
          <w:kern w:val="2"/>
          <w:sz w:val="28"/>
          <w:szCs w:val="24"/>
          <w:highlight w:val="none"/>
        </w:rPr>
        <w:t>10</w:t>
      </w:r>
      <w:r>
        <w:rPr>
          <w:rFonts w:ascii="Times New Roman" w:hAnsi="宋体" w:eastAsia="宋体" w:cs="Times New Roman"/>
          <w:color w:val="auto"/>
          <w:kern w:val="2"/>
          <w:sz w:val="28"/>
          <w:szCs w:val="24"/>
          <w:highlight w:val="none"/>
        </w:rPr>
        <w:t>%。一周按7天计算，不足7天按一周计算。如果达到最高限额，需方有权解除合同，</w:t>
      </w:r>
      <w:r>
        <w:rPr>
          <w:rFonts w:hint="eastAsia" w:ascii="Times New Roman" w:hAnsi="宋体" w:eastAsia="宋体" w:cs="Times New Roman"/>
          <w:color w:val="auto"/>
          <w:kern w:val="2"/>
          <w:sz w:val="28"/>
          <w:szCs w:val="24"/>
          <w:highlight w:val="none"/>
        </w:rPr>
        <w:t>要求供方返还已支付的预付款</w:t>
      </w:r>
      <w:r>
        <w:rPr>
          <w:rFonts w:ascii="Times New Roman" w:hAnsi="宋体" w:eastAsia="宋体" w:cs="Times New Roman"/>
          <w:color w:val="auto"/>
          <w:kern w:val="2"/>
          <w:sz w:val="28"/>
          <w:szCs w:val="24"/>
          <w:highlight w:val="none"/>
        </w:rPr>
        <w:t>同时保留向供方追诉的权利。</w:t>
      </w:r>
    </w:p>
    <w:p w14:paraId="6F1A19A5">
      <w:pPr>
        <w:autoSpaceDE/>
        <w:autoSpaceDN/>
        <w:spacing w:line="480" w:lineRule="exact"/>
        <w:ind w:firstLine="560" w:firstLineChars="200"/>
        <w:jc w:val="both"/>
        <w:rPr>
          <w:rFonts w:ascii="Times New Roman" w:hAnsi="宋体" w:eastAsia="宋体" w:cs="Times New Roman"/>
          <w:color w:val="auto"/>
          <w:kern w:val="2"/>
          <w:sz w:val="28"/>
          <w:szCs w:val="24"/>
          <w:highlight w:val="none"/>
        </w:rPr>
      </w:pPr>
      <w:r>
        <w:rPr>
          <w:rFonts w:ascii="Times New Roman" w:hAnsi="宋体" w:eastAsia="宋体" w:cs="Times New Roman"/>
          <w:color w:val="auto"/>
          <w:kern w:val="2"/>
          <w:sz w:val="28"/>
          <w:szCs w:val="24"/>
          <w:highlight w:val="none"/>
        </w:rPr>
        <w:t>供方不能交付货物的，应</w:t>
      </w:r>
      <w:r>
        <w:rPr>
          <w:rFonts w:hint="eastAsia" w:ascii="Times New Roman" w:hAnsi="宋体" w:eastAsia="宋体" w:cs="Times New Roman"/>
          <w:color w:val="auto"/>
          <w:kern w:val="2"/>
          <w:sz w:val="28"/>
          <w:szCs w:val="24"/>
          <w:highlight w:val="none"/>
        </w:rPr>
        <w:t>返回需方已支付的预付款，且向</w:t>
      </w:r>
      <w:r>
        <w:rPr>
          <w:rFonts w:ascii="Times New Roman" w:hAnsi="宋体" w:eastAsia="宋体" w:cs="Times New Roman"/>
          <w:color w:val="auto"/>
          <w:kern w:val="2"/>
          <w:sz w:val="28"/>
          <w:szCs w:val="24"/>
          <w:highlight w:val="none"/>
        </w:rPr>
        <w:t>需方偿付合同总</w:t>
      </w:r>
      <w:r>
        <w:rPr>
          <w:rFonts w:hint="eastAsia" w:ascii="Times New Roman" w:hAnsi="宋体" w:eastAsia="宋体" w:cs="Times New Roman"/>
          <w:color w:val="auto"/>
          <w:kern w:val="2"/>
          <w:sz w:val="28"/>
          <w:szCs w:val="24"/>
          <w:highlight w:val="none"/>
        </w:rPr>
        <w:t>价款10</w:t>
      </w:r>
      <w:r>
        <w:rPr>
          <w:rFonts w:ascii="Times New Roman" w:hAnsi="宋体" w:eastAsia="宋体" w:cs="Times New Roman"/>
          <w:color w:val="auto"/>
          <w:kern w:val="2"/>
          <w:sz w:val="28"/>
          <w:szCs w:val="24"/>
          <w:highlight w:val="none"/>
        </w:rPr>
        <w:t>%的违约金，同时需方有权解除合同。</w:t>
      </w:r>
    </w:p>
    <w:p w14:paraId="285A8C6D">
      <w:pPr>
        <w:autoSpaceDE/>
        <w:autoSpaceDN/>
        <w:spacing w:line="480" w:lineRule="exact"/>
        <w:ind w:firstLine="560" w:firstLineChars="200"/>
        <w:jc w:val="both"/>
        <w:rPr>
          <w:rFonts w:ascii="Times New Roman" w:hAnsi="宋体" w:eastAsia="宋体" w:cs="Times New Roman"/>
          <w:color w:val="auto"/>
          <w:kern w:val="2"/>
          <w:sz w:val="28"/>
          <w:szCs w:val="24"/>
          <w:highlight w:val="none"/>
        </w:rPr>
      </w:pPr>
      <w:r>
        <w:rPr>
          <w:rFonts w:ascii="Times New Roman" w:hAnsi="宋体" w:eastAsia="宋体" w:cs="Times New Roman"/>
          <w:color w:val="auto"/>
          <w:kern w:val="2"/>
          <w:sz w:val="28"/>
          <w:szCs w:val="24"/>
          <w:highlight w:val="none"/>
        </w:rPr>
        <w:t>如果供方对货物的偏差负有责任，而需方在规定的检验、安装、调试、验收和质量保证期内提出了索赔，供方应按照需方同意的下列一种或几种方式解决索赔事宜：</w:t>
      </w:r>
    </w:p>
    <w:p w14:paraId="235171C7">
      <w:pPr>
        <w:widowControl w:val="0"/>
        <w:tabs>
          <w:tab w:val="left" w:pos="1260"/>
        </w:tabs>
        <w:spacing w:line="480" w:lineRule="exact"/>
        <w:ind w:firstLine="560" w:firstLineChars="200"/>
        <w:jc w:val="both"/>
        <w:rPr>
          <w:rFonts w:ascii="Times New Roman" w:hAnsi="Times New Roman" w:eastAsia="宋体" w:cs="Times New Roman"/>
          <w:color w:val="auto"/>
          <w:kern w:val="2"/>
          <w:sz w:val="28"/>
          <w:szCs w:val="24"/>
          <w:highlight w:val="none"/>
          <w:lang w:val="en-US" w:eastAsia="zh-CN" w:bidi="ar-SA"/>
        </w:rPr>
      </w:pPr>
      <w:r>
        <w:rPr>
          <w:rFonts w:ascii="Times New Roman" w:hAnsi="Times New Roman" w:eastAsia="宋体" w:cs="Times New Roman"/>
          <w:color w:val="auto"/>
          <w:kern w:val="2"/>
          <w:sz w:val="28"/>
          <w:szCs w:val="24"/>
          <w:highlight w:val="none"/>
          <w:lang w:val="en-US" w:eastAsia="zh-CN" w:bidi="ar-SA"/>
        </w:rPr>
        <w:t>1.</w:t>
      </w:r>
      <w:r>
        <w:rPr>
          <w:rFonts w:ascii="Times New Roman" w:hAnsi="宋体" w:eastAsia="宋体" w:cs="Times New Roman"/>
          <w:color w:val="auto"/>
          <w:kern w:val="2"/>
          <w:sz w:val="28"/>
          <w:szCs w:val="24"/>
          <w:highlight w:val="none"/>
          <w:lang w:val="en-US" w:eastAsia="zh-CN" w:bidi="ar-SA"/>
        </w:rPr>
        <w:t>供方同意退货并用合同规定的货币将货款退还给需方，并承担由此发生的一切损失和费用，包括利息、银行手续费、运费、保险费、检验费、仓储费、装卸费以及为看管和保护退回货物所需的其它必要费用。</w:t>
      </w:r>
    </w:p>
    <w:p w14:paraId="563FE39F">
      <w:pPr>
        <w:widowControl w:val="0"/>
        <w:tabs>
          <w:tab w:val="left" w:pos="1260"/>
        </w:tabs>
        <w:spacing w:line="480" w:lineRule="exact"/>
        <w:ind w:firstLine="560" w:firstLineChars="200"/>
        <w:jc w:val="both"/>
        <w:rPr>
          <w:rFonts w:ascii="Times New Roman" w:hAnsi="Times New Roman" w:eastAsia="宋体" w:cs="Times New Roman"/>
          <w:color w:val="auto"/>
          <w:kern w:val="2"/>
          <w:sz w:val="28"/>
          <w:szCs w:val="24"/>
          <w:highlight w:val="none"/>
          <w:lang w:val="en-US" w:eastAsia="zh-CN" w:bidi="ar-SA"/>
        </w:rPr>
      </w:pPr>
      <w:r>
        <w:rPr>
          <w:rFonts w:ascii="Times New Roman" w:hAnsi="Times New Roman" w:eastAsia="宋体" w:cs="Times New Roman"/>
          <w:color w:val="auto"/>
          <w:kern w:val="2"/>
          <w:sz w:val="28"/>
          <w:szCs w:val="24"/>
          <w:highlight w:val="none"/>
          <w:lang w:val="en-US" w:eastAsia="zh-CN" w:bidi="ar-SA"/>
        </w:rPr>
        <w:t>2.</w:t>
      </w:r>
      <w:r>
        <w:rPr>
          <w:rFonts w:ascii="Times New Roman" w:hAnsi="宋体" w:eastAsia="宋体" w:cs="Times New Roman"/>
          <w:color w:val="auto"/>
          <w:kern w:val="2"/>
          <w:sz w:val="28"/>
          <w:szCs w:val="24"/>
          <w:highlight w:val="none"/>
          <w:lang w:val="en-US" w:eastAsia="zh-CN" w:bidi="ar-SA"/>
        </w:rPr>
        <w:t>根据货物的偏差情况、损坏程度以及需方所遭受损失的金额，经需供双方商定降低货物的价格。</w:t>
      </w:r>
    </w:p>
    <w:p w14:paraId="6A60B04A">
      <w:pPr>
        <w:widowControl w:val="0"/>
        <w:tabs>
          <w:tab w:val="left" w:pos="1260"/>
        </w:tabs>
        <w:spacing w:line="480" w:lineRule="exact"/>
        <w:ind w:firstLine="560" w:firstLineChars="200"/>
        <w:jc w:val="both"/>
        <w:rPr>
          <w:rFonts w:ascii="Times New Roman" w:hAnsi="Times New Roman" w:eastAsia="宋体" w:cs="Times New Roman"/>
          <w:color w:val="auto"/>
          <w:kern w:val="2"/>
          <w:sz w:val="28"/>
          <w:szCs w:val="24"/>
          <w:highlight w:val="none"/>
          <w:lang w:val="en-US" w:eastAsia="zh-CN" w:bidi="ar-SA"/>
        </w:rPr>
      </w:pPr>
      <w:r>
        <w:rPr>
          <w:rFonts w:ascii="Times New Roman" w:hAnsi="Times New Roman" w:eastAsia="宋体" w:cs="Times New Roman"/>
          <w:color w:val="auto"/>
          <w:kern w:val="2"/>
          <w:sz w:val="28"/>
          <w:szCs w:val="24"/>
          <w:highlight w:val="none"/>
          <w:lang w:val="en-US" w:eastAsia="zh-CN" w:bidi="ar-SA"/>
        </w:rPr>
        <w:t>3.</w:t>
      </w:r>
      <w:r>
        <w:rPr>
          <w:rFonts w:ascii="Times New Roman" w:hAnsi="宋体" w:eastAsia="宋体" w:cs="Times New Roman"/>
          <w:color w:val="auto"/>
          <w:kern w:val="2"/>
          <w:sz w:val="28"/>
          <w:szCs w:val="24"/>
          <w:highlight w:val="none"/>
          <w:lang w:val="en-US" w:eastAsia="zh-CN" w:bidi="ar-SA"/>
        </w:rPr>
        <w:t>用符合合同规定的规格、质量和性能要求的新零件、部件和（或）货物来更换有缺陷的部分和（或）修补缺陷部分，供方应承担一切费用和风险并负担需方蒙受的全部直接损失费用。同时，供方应延长所更换货物的质量保证期。</w:t>
      </w:r>
    </w:p>
    <w:p w14:paraId="0CAFC6C0">
      <w:pPr>
        <w:widowControl w:val="0"/>
        <w:spacing w:line="480" w:lineRule="exact"/>
        <w:ind w:firstLine="560" w:firstLineChars="200"/>
        <w:jc w:val="both"/>
        <w:rPr>
          <w:rFonts w:ascii="Times New Roman" w:hAnsi="Times New Roman" w:eastAsia="宋体" w:cs="Times New Roman"/>
          <w:color w:val="auto"/>
          <w:kern w:val="2"/>
          <w:sz w:val="28"/>
          <w:szCs w:val="24"/>
          <w:highlight w:val="none"/>
          <w:lang w:val="en-US" w:eastAsia="zh-CN" w:bidi="ar-SA"/>
        </w:rPr>
      </w:pPr>
      <w:r>
        <w:rPr>
          <w:rFonts w:ascii="Times New Roman" w:hAnsi="宋体" w:eastAsia="宋体" w:cs="Times New Roman"/>
          <w:color w:val="auto"/>
          <w:kern w:val="2"/>
          <w:sz w:val="28"/>
          <w:szCs w:val="24"/>
          <w:highlight w:val="none"/>
          <w:lang w:val="en-US" w:eastAsia="zh-CN" w:bidi="ar-SA"/>
        </w:rPr>
        <w:t>如果在需方发出索赔通知后三十（</w:t>
      </w:r>
      <w:r>
        <w:rPr>
          <w:rFonts w:ascii="Times New Roman" w:hAnsi="Times New Roman" w:eastAsia="宋体" w:cs="Times New Roman"/>
          <w:color w:val="auto"/>
          <w:kern w:val="2"/>
          <w:sz w:val="28"/>
          <w:szCs w:val="24"/>
          <w:highlight w:val="none"/>
          <w:lang w:val="en-US" w:eastAsia="zh-CN" w:bidi="ar-SA"/>
        </w:rPr>
        <w:t>30</w:t>
      </w:r>
      <w:r>
        <w:rPr>
          <w:rFonts w:ascii="Times New Roman" w:hAnsi="宋体" w:eastAsia="宋体" w:cs="Times New Roman"/>
          <w:color w:val="auto"/>
          <w:kern w:val="2"/>
          <w:sz w:val="28"/>
          <w:szCs w:val="24"/>
          <w:highlight w:val="none"/>
          <w:lang w:val="en-US" w:eastAsia="zh-CN" w:bidi="ar-SA"/>
        </w:rPr>
        <w:t>）天内，供方未作答复，需方所选择的上述索赔方式之一应视为已被供方接受。如供方未能在需方发出索赔通知后三十（</w:t>
      </w:r>
      <w:r>
        <w:rPr>
          <w:rFonts w:ascii="Times New Roman" w:hAnsi="Times New Roman" w:eastAsia="宋体" w:cs="Times New Roman"/>
          <w:color w:val="auto"/>
          <w:kern w:val="2"/>
          <w:sz w:val="28"/>
          <w:szCs w:val="24"/>
          <w:highlight w:val="none"/>
          <w:lang w:val="en-US" w:eastAsia="zh-CN" w:bidi="ar-SA"/>
        </w:rPr>
        <w:t>30</w:t>
      </w:r>
      <w:r>
        <w:rPr>
          <w:rFonts w:ascii="Times New Roman" w:hAnsi="宋体" w:eastAsia="宋体" w:cs="Times New Roman"/>
          <w:color w:val="auto"/>
          <w:kern w:val="2"/>
          <w:sz w:val="28"/>
          <w:szCs w:val="24"/>
          <w:highlight w:val="none"/>
          <w:lang w:val="en-US" w:eastAsia="zh-CN" w:bidi="ar-SA"/>
        </w:rPr>
        <w:t>）天内或需方同意的延长期限内，按照需方同意的上述规定的任何一种方法解决索赔事宜，需方将从履约保证金和合同货款中扣回索赔金额。</w:t>
      </w:r>
    </w:p>
    <w:p w14:paraId="204ACCD0">
      <w:pPr>
        <w:autoSpaceDE/>
        <w:autoSpaceDN/>
        <w:spacing w:line="480" w:lineRule="exact"/>
        <w:ind w:firstLine="560" w:firstLineChars="200"/>
        <w:jc w:val="both"/>
        <w:rPr>
          <w:rFonts w:ascii="Times New Roman" w:hAnsi="Times New Roman" w:eastAsia="宋体" w:cs="Times New Roman"/>
          <w:color w:val="auto"/>
          <w:kern w:val="2"/>
          <w:sz w:val="28"/>
          <w:szCs w:val="24"/>
          <w:highlight w:val="none"/>
        </w:rPr>
      </w:pPr>
      <w:r>
        <w:rPr>
          <w:rFonts w:ascii="Times New Roman" w:hAnsi="宋体" w:eastAsia="宋体" w:cs="Times New Roman"/>
          <w:color w:val="auto"/>
          <w:kern w:val="2"/>
          <w:sz w:val="28"/>
          <w:szCs w:val="24"/>
          <w:highlight w:val="none"/>
        </w:rPr>
        <w:t>需方将根据违约严重程度视情况将供方列入需方的不良诚信记录名单，并向政府有关部门报送不良诚信记录。</w:t>
      </w:r>
    </w:p>
    <w:p w14:paraId="6272F10F">
      <w:pPr>
        <w:autoSpaceDE/>
        <w:autoSpaceDN/>
        <w:spacing w:line="480" w:lineRule="exact"/>
        <w:ind w:firstLine="560" w:firstLineChars="200"/>
        <w:jc w:val="both"/>
        <w:rPr>
          <w:rFonts w:ascii="Times New Roman" w:hAnsi="宋体" w:eastAsia="宋体" w:cs="Times New Roman"/>
          <w:color w:val="auto"/>
          <w:kern w:val="2"/>
          <w:sz w:val="28"/>
          <w:szCs w:val="24"/>
          <w:highlight w:val="none"/>
        </w:rPr>
      </w:pPr>
      <w:r>
        <w:rPr>
          <w:rFonts w:ascii="Times New Roman" w:hAnsi="宋体" w:eastAsia="宋体" w:cs="Times New Roman"/>
          <w:color w:val="auto"/>
          <w:kern w:val="2"/>
          <w:sz w:val="28"/>
          <w:szCs w:val="24"/>
          <w:highlight w:val="none"/>
        </w:rPr>
        <w:t>十</w:t>
      </w:r>
      <w:r>
        <w:rPr>
          <w:rFonts w:hint="eastAsia" w:ascii="Times New Roman" w:hAnsi="宋体" w:eastAsia="宋体" w:cs="Times New Roman"/>
          <w:color w:val="auto"/>
          <w:kern w:val="2"/>
          <w:sz w:val="28"/>
          <w:szCs w:val="24"/>
          <w:highlight w:val="none"/>
        </w:rPr>
        <w:t>四</w:t>
      </w:r>
      <w:r>
        <w:rPr>
          <w:rFonts w:ascii="Times New Roman" w:hAnsi="宋体" w:eastAsia="宋体" w:cs="Times New Roman"/>
          <w:color w:val="auto"/>
          <w:kern w:val="2"/>
          <w:sz w:val="28"/>
          <w:szCs w:val="24"/>
          <w:highlight w:val="none"/>
        </w:rPr>
        <w:t>、本合同签订和履行适用中华人民共和国法律，因履行合同发生的争议，由供需双方直接协商解决，如协商不成</w:t>
      </w:r>
      <w:r>
        <w:rPr>
          <w:rFonts w:hint="eastAsia" w:ascii="Times New Roman" w:hAnsi="宋体" w:eastAsia="宋体" w:cs="Times New Roman"/>
          <w:color w:val="auto"/>
          <w:kern w:val="2"/>
          <w:sz w:val="28"/>
          <w:szCs w:val="24"/>
          <w:highlight w:val="none"/>
        </w:rPr>
        <w:t>可</w:t>
      </w:r>
      <w:r>
        <w:rPr>
          <w:rFonts w:ascii="Times New Roman" w:hAnsi="宋体" w:eastAsia="宋体" w:cs="Times New Roman"/>
          <w:color w:val="auto"/>
          <w:kern w:val="2"/>
          <w:sz w:val="28"/>
          <w:szCs w:val="24"/>
          <w:highlight w:val="none"/>
        </w:rPr>
        <w:t>向合同签订地人民法院</w:t>
      </w:r>
      <w:r>
        <w:rPr>
          <w:rFonts w:hint="eastAsia" w:ascii="Times New Roman" w:hAnsi="宋体" w:eastAsia="宋体" w:cs="Times New Roman"/>
          <w:color w:val="auto"/>
          <w:kern w:val="2"/>
          <w:sz w:val="28"/>
          <w:szCs w:val="24"/>
          <w:highlight w:val="none"/>
        </w:rPr>
        <w:t>提起</w:t>
      </w:r>
      <w:r>
        <w:rPr>
          <w:rFonts w:ascii="Times New Roman" w:hAnsi="宋体" w:eastAsia="宋体" w:cs="Times New Roman"/>
          <w:color w:val="auto"/>
          <w:kern w:val="2"/>
          <w:sz w:val="28"/>
          <w:szCs w:val="24"/>
          <w:highlight w:val="none"/>
        </w:rPr>
        <w:t>诉讼。</w:t>
      </w:r>
    </w:p>
    <w:p w14:paraId="09F3E6F8">
      <w:pPr>
        <w:widowControl w:val="0"/>
        <w:spacing w:line="480" w:lineRule="exact"/>
        <w:ind w:firstLine="560" w:firstLineChars="200"/>
        <w:jc w:val="both"/>
        <w:rPr>
          <w:rFonts w:ascii="Times New Roman" w:hAnsi="宋体" w:eastAsia="宋体" w:cs="Times New Roman"/>
          <w:color w:val="auto"/>
          <w:kern w:val="2"/>
          <w:sz w:val="28"/>
          <w:szCs w:val="24"/>
          <w:highlight w:val="none"/>
          <w:lang w:val="en-US" w:eastAsia="zh-CN" w:bidi="ar-SA"/>
        </w:rPr>
      </w:pPr>
      <w:r>
        <w:rPr>
          <w:rFonts w:ascii="Times New Roman" w:hAnsi="宋体" w:eastAsia="宋体" w:cs="Times New Roman"/>
          <w:color w:val="auto"/>
          <w:kern w:val="2"/>
          <w:sz w:val="28"/>
          <w:szCs w:val="24"/>
          <w:highlight w:val="none"/>
          <w:lang w:val="en-US" w:eastAsia="zh-CN" w:bidi="ar-SA"/>
        </w:rPr>
        <w:t>十</w:t>
      </w:r>
      <w:r>
        <w:rPr>
          <w:rFonts w:hint="eastAsia" w:ascii="Times New Roman" w:hAnsi="宋体" w:eastAsia="宋体" w:cs="Times New Roman"/>
          <w:color w:val="auto"/>
          <w:kern w:val="2"/>
          <w:sz w:val="28"/>
          <w:szCs w:val="24"/>
          <w:highlight w:val="none"/>
          <w:lang w:val="en-US" w:eastAsia="zh-CN" w:bidi="ar-SA"/>
        </w:rPr>
        <w:t>五</w:t>
      </w:r>
      <w:r>
        <w:rPr>
          <w:rFonts w:ascii="Times New Roman" w:hAnsi="宋体" w:eastAsia="宋体" w:cs="Times New Roman"/>
          <w:color w:val="auto"/>
          <w:kern w:val="2"/>
          <w:sz w:val="28"/>
          <w:szCs w:val="24"/>
          <w:highlight w:val="none"/>
          <w:lang w:val="en-US" w:eastAsia="zh-CN" w:bidi="ar-SA"/>
        </w:rPr>
        <w:t>、合同生效及其它</w:t>
      </w:r>
    </w:p>
    <w:p w14:paraId="0EDD5FD9">
      <w:pPr>
        <w:widowControl w:val="0"/>
        <w:tabs>
          <w:tab w:val="left" w:pos="1260"/>
        </w:tabs>
        <w:spacing w:line="480" w:lineRule="exact"/>
        <w:ind w:firstLine="560" w:firstLineChars="200"/>
        <w:jc w:val="both"/>
        <w:rPr>
          <w:rFonts w:ascii="Times New Roman" w:hAnsi="宋体" w:eastAsia="宋体" w:cs="Times New Roman"/>
          <w:color w:val="auto"/>
          <w:kern w:val="2"/>
          <w:sz w:val="28"/>
          <w:szCs w:val="24"/>
          <w:highlight w:val="none"/>
          <w:lang w:val="en-US" w:eastAsia="zh-CN" w:bidi="ar-SA"/>
        </w:rPr>
      </w:pPr>
      <w:r>
        <w:rPr>
          <w:rFonts w:hint="eastAsia" w:ascii="Times New Roman" w:hAnsi="宋体" w:eastAsia="宋体" w:cs="Times New Roman"/>
          <w:color w:val="auto"/>
          <w:kern w:val="2"/>
          <w:sz w:val="28"/>
          <w:szCs w:val="24"/>
          <w:highlight w:val="none"/>
          <w:lang w:val="en-US" w:eastAsia="zh-CN" w:bidi="ar-SA"/>
        </w:rPr>
        <w:t>1.</w:t>
      </w:r>
      <w:r>
        <w:rPr>
          <w:rFonts w:ascii="Times New Roman" w:hAnsi="宋体" w:eastAsia="宋体" w:cs="Times New Roman"/>
          <w:color w:val="auto"/>
          <w:kern w:val="2"/>
          <w:sz w:val="28"/>
          <w:szCs w:val="24"/>
          <w:highlight w:val="none"/>
          <w:lang w:val="en-US" w:eastAsia="zh-CN" w:bidi="ar-SA"/>
        </w:rPr>
        <w:t>本合同经双方代表签字、盖章后生效。</w:t>
      </w:r>
    </w:p>
    <w:p w14:paraId="01C1E25A">
      <w:pPr>
        <w:widowControl w:val="0"/>
        <w:tabs>
          <w:tab w:val="left" w:pos="1260"/>
        </w:tabs>
        <w:spacing w:line="480" w:lineRule="exact"/>
        <w:ind w:firstLine="560" w:firstLineChars="200"/>
        <w:jc w:val="both"/>
        <w:rPr>
          <w:rFonts w:ascii="Times New Roman" w:hAnsi="宋体" w:eastAsia="宋体" w:cs="Times New Roman"/>
          <w:color w:val="auto"/>
          <w:kern w:val="2"/>
          <w:sz w:val="28"/>
          <w:szCs w:val="24"/>
          <w:highlight w:val="none"/>
          <w:lang w:val="en-US" w:eastAsia="zh-CN" w:bidi="ar-SA"/>
        </w:rPr>
      </w:pPr>
      <w:r>
        <w:rPr>
          <w:rFonts w:hint="eastAsia" w:ascii="Times New Roman" w:hAnsi="宋体" w:eastAsia="宋体" w:cs="Times New Roman"/>
          <w:color w:val="auto"/>
          <w:kern w:val="2"/>
          <w:sz w:val="28"/>
          <w:szCs w:val="24"/>
          <w:highlight w:val="none"/>
          <w:lang w:val="en-US" w:eastAsia="zh-CN" w:bidi="ar-SA"/>
        </w:rPr>
        <w:t>2.</w:t>
      </w:r>
      <w:r>
        <w:rPr>
          <w:rFonts w:ascii="Times New Roman" w:hAnsi="宋体" w:eastAsia="宋体" w:cs="Times New Roman"/>
          <w:color w:val="auto"/>
          <w:kern w:val="2"/>
          <w:sz w:val="28"/>
          <w:szCs w:val="24"/>
          <w:highlight w:val="none"/>
          <w:lang w:val="en-US" w:eastAsia="zh-CN" w:bidi="ar-SA"/>
        </w:rPr>
        <w:t>本合同未尽事宜，供需双方可签订补充协议，与本合同具有同等法律效</w:t>
      </w:r>
    </w:p>
    <w:p w14:paraId="3502BE86">
      <w:pPr>
        <w:widowControl w:val="0"/>
        <w:tabs>
          <w:tab w:val="left" w:pos="1260"/>
        </w:tabs>
        <w:spacing w:line="480" w:lineRule="exact"/>
        <w:ind w:firstLine="560" w:firstLineChars="200"/>
        <w:jc w:val="both"/>
        <w:rPr>
          <w:rFonts w:ascii="Times New Roman" w:hAnsi="宋体" w:eastAsia="宋体" w:cs="Times New Roman"/>
          <w:color w:val="auto"/>
          <w:kern w:val="2"/>
          <w:sz w:val="28"/>
          <w:szCs w:val="24"/>
          <w:highlight w:val="none"/>
          <w:lang w:val="en-US" w:eastAsia="zh-CN" w:bidi="ar-SA"/>
        </w:rPr>
      </w:pPr>
      <w:r>
        <w:rPr>
          <w:rFonts w:ascii="Times New Roman" w:hAnsi="宋体" w:eastAsia="宋体" w:cs="Times New Roman"/>
          <w:color w:val="auto"/>
          <w:kern w:val="2"/>
          <w:sz w:val="28"/>
          <w:szCs w:val="24"/>
          <w:highlight w:val="none"/>
          <w:lang w:val="en-US" w:eastAsia="zh-CN" w:bidi="ar-SA"/>
        </w:rPr>
        <w:t>力。</w:t>
      </w:r>
    </w:p>
    <w:p w14:paraId="2DF9B06C">
      <w:pPr>
        <w:widowControl w:val="0"/>
        <w:spacing w:line="480" w:lineRule="exact"/>
        <w:ind w:firstLine="560" w:firstLineChars="200"/>
        <w:jc w:val="both"/>
        <w:rPr>
          <w:rFonts w:ascii="Times New Roman" w:hAnsi="宋体" w:eastAsia="宋体" w:cs="Times New Roman"/>
          <w:color w:val="auto"/>
          <w:kern w:val="2"/>
          <w:sz w:val="28"/>
          <w:szCs w:val="24"/>
          <w:highlight w:val="none"/>
          <w:lang w:val="en-US" w:eastAsia="zh-CN" w:bidi="ar-SA"/>
        </w:rPr>
      </w:pPr>
      <w:r>
        <w:rPr>
          <w:rFonts w:hint="eastAsia" w:ascii="Times New Roman" w:hAnsi="宋体" w:eastAsia="宋体" w:cs="Times New Roman"/>
          <w:color w:val="auto"/>
          <w:kern w:val="2"/>
          <w:sz w:val="28"/>
          <w:szCs w:val="24"/>
          <w:highlight w:val="none"/>
          <w:lang w:val="en-US" w:eastAsia="zh-CN" w:bidi="ar-SA"/>
        </w:rPr>
        <w:t>3.</w:t>
      </w:r>
      <w:r>
        <w:rPr>
          <w:rFonts w:ascii="Times New Roman" w:hAnsi="宋体" w:eastAsia="宋体" w:cs="Times New Roman"/>
          <w:color w:val="auto"/>
          <w:kern w:val="2"/>
          <w:sz w:val="28"/>
          <w:szCs w:val="24"/>
          <w:highlight w:val="none"/>
          <w:lang w:val="en-US" w:eastAsia="zh-CN" w:bidi="ar-SA"/>
        </w:rPr>
        <w:t>供方应当在本合同签订时向需方</w:t>
      </w:r>
      <w:r>
        <w:rPr>
          <w:rFonts w:hint="eastAsia" w:ascii="Times New Roman" w:hAnsi="宋体" w:eastAsia="宋体" w:cs="Times New Roman"/>
          <w:color w:val="auto"/>
          <w:kern w:val="2"/>
          <w:sz w:val="28"/>
          <w:szCs w:val="24"/>
          <w:highlight w:val="none"/>
          <w:lang w:val="en-US" w:eastAsia="zh-CN" w:bidi="ar-SA"/>
        </w:rPr>
        <w:t>提供</w:t>
      </w:r>
      <w:r>
        <w:rPr>
          <w:rFonts w:ascii="Times New Roman" w:hAnsi="宋体" w:eastAsia="宋体" w:cs="Times New Roman"/>
          <w:color w:val="auto"/>
          <w:kern w:val="2"/>
          <w:sz w:val="28"/>
          <w:szCs w:val="24"/>
          <w:highlight w:val="none"/>
          <w:lang w:val="en-US" w:eastAsia="zh-CN" w:bidi="ar-SA"/>
        </w:rPr>
        <w:t>本合同总价款</w:t>
      </w:r>
      <w:r>
        <w:rPr>
          <w:rFonts w:hint="eastAsia" w:ascii="Times New Roman" w:hAnsi="宋体" w:eastAsia="宋体" w:cs="Times New Roman"/>
          <w:color w:val="auto"/>
          <w:kern w:val="2"/>
          <w:sz w:val="28"/>
          <w:szCs w:val="24"/>
          <w:highlight w:val="none"/>
          <w:lang w:val="en-US" w:eastAsia="zh-CN" w:bidi="ar-SA"/>
        </w:rPr>
        <w:t>10</w:t>
      </w:r>
      <w:r>
        <w:rPr>
          <w:rFonts w:ascii="Times New Roman" w:hAnsi="宋体" w:eastAsia="宋体" w:cs="Times New Roman"/>
          <w:color w:val="auto"/>
          <w:kern w:val="2"/>
          <w:sz w:val="28"/>
          <w:szCs w:val="24"/>
          <w:highlight w:val="none"/>
          <w:lang w:val="en-US" w:eastAsia="zh-CN" w:bidi="ar-SA"/>
        </w:rPr>
        <w:t>%的</w:t>
      </w:r>
      <w:r>
        <w:rPr>
          <w:rFonts w:hint="eastAsia" w:ascii="Times New Roman" w:hAnsi="宋体" w:eastAsia="宋体" w:cs="Times New Roman"/>
          <w:color w:val="auto"/>
          <w:kern w:val="2"/>
          <w:sz w:val="28"/>
          <w:szCs w:val="24"/>
          <w:highlight w:val="none"/>
          <w:lang w:val="en-US" w:eastAsia="zh-CN" w:bidi="ar-SA"/>
        </w:rPr>
        <w:t>履约保函</w:t>
      </w:r>
      <w:r>
        <w:rPr>
          <w:rFonts w:ascii="Times New Roman" w:hAnsi="宋体" w:eastAsia="宋体" w:cs="Times New Roman"/>
          <w:color w:val="auto"/>
          <w:kern w:val="2"/>
          <w:sz w:val="28"/>
          <w:szCs w:val="24"/>
          <w:highlight w:val="none"/>
          <w:lang w:val="en-US" w:eastAsia="zh-CN" w:bidi="ar-SA"/>
        </w:rPr>
        <w:t>。</w:t>
      </w:r>
    </w:p>
    <w:p w14:paraId="53550D3D">
      <w:pPr>
        <w:widowControl w:val="0"/>
        <w:spacing w:line="480" w:lineRule="exact"/>
        <w:ind w:firstLine="560" w:firstLineChars="200"/>
        <w:jc w:val="both"/>
        <w:rPr>
          <w:rFonts w:ascii="Times New Roman" w:hAnsi="宋体" w:eastAsia="宋体" w:cs="Times New Roman"/>
          <w:color w:val="auto"/>
          <w:kern w:val="2"/>
          <w:sz w:val="28"/>
          <w:szCs w:val="24"/>
          <w:highlight w:val="none"/>
          <w:lang w:val="en-US" w:eastAsia="zh-CN" w:bidi="ar-SA"/>
        </w:rPr>
      </w:pPr>
      <w:r>
        <w:rPr>
          <w:rFonts w:hint="eastAsia" w:ascii="Times New Roman" w:hAnsi="宋体" w:eastAsia="宋体" w:cs="Times New Roman"/>
          <w:color w:val="auto"/>
          <w:kern w:val="2"/>
          <w:sz w:val="28"/>
          <w:szCs w:val="24"/>
          <w:highlight w:val="none"/>
          <w:lang w:val="en-US" w:eastAsia="zh-CN" w:bidi="ar-SA"/>
        </w:rPr>
        <w:t>4.</w:t>
      </w:r>
      <w:r>
        <w:rPr>
          <w:rFonts w:ascii="Times New Roman" w:hAnsi="宋体" w:eastAsia="宋体" w:cs="Times New Roman"/>
          <w:color w:val="auto"/>
          <w:kern w:val="2"/>
          <w:sz w:val="28"/>
          <w:szCs w:val="24"/>
          <w:highlight w:val="none"/>
          <w:lang w:val="en-US" w:eastAsia="zh-CN" w:bidi="ar-SA"/>
        </w:rPr>
        <w:t>本合同（共</w:t>
      </w:r>
      <w:permStart w:id="16" w:edGrp="everyone"/>
      <w:r>
        <w:rPr>
          <w:rFonts w:hint="eastAsia" w:ascii="Times New Roman" w:hAnsi="宋体" w:eastAsia="宋体" w:cs="Times New Roman"/>
          <w:color w:val="auto"/>
          <w:kern w:val="2"/>
          <w:sz w:val="28"/>
          <w:szCs w:val="24"/>
          <w:highlight w:val="none"/>
          <w:lang w:val="en-US" w:eastAsia="zh-CN" w:bidi="ar-SA"/>
        </w:rPr>
        <w:t xml:space="preserve">      </w:t>
      </w:r>
      <w:permEnd w:id="16"/>
      <w:r>
        <w:rPr>
          <w:rFonts w:ascii="Times New Roman" w:hAnsi="宋体" w:eastAsia="宋体" w:cs="Times New Roman"/>
          <w:color w:val="auto"/>
          <w:kern w:val="2"/>
          <w:sz w:val="28"/>
          <w:szCs w:val="24"/>
          <w:highlight w:val="none"/>
          <w:lang w:val="en-US" w:eastAsia="zh-CN" w:bidi="ar-SA"/>
        </w:rPr>
        <w:t>页）一式</w:t>
      </w:r>
      <w:permStart w:id="17" w:edGrp="everyone"/>
      <w:r>
        <w:rPr>
          <w:rFonts w:hint="eastAsia" w:ascii="Times New Roman" w:hAnsi="宋体" w:eastAsia="宋体" w:cs="Times New Roman"/>
          <w:color w:val="auto"/>
          <w:kern w:val="2"/>
          <w:sz w:val="28"/>
          <w:szCs w:val="24"/>
          <w:highlight w:val="none"/>
          <w:lang w:val="en-US" w:eastAsia="zh-CN" w:bidi="ar-SA"/>
        </w:rPr>
        <w:t>九</w:t>
      </w:r>
      <w:permEnd w:id="17"/>
      <w:r>
        <w:rPr>
          <w:rFonts w:ascii="Times New Roman" w:hAnsi="宋体" w:eastAsia="宋体" w:cs="Times New Roman"/>
          <w:color w:val="auto"/>
          <w:kern w:val="2"/>
          <w:sz w:val="28"/>
          <w:szCs w:val="24"/>
          <w:highlight w:val="none"/>
          <w:lang w:val="en-US" w:eastAsia="zh-CN" w:bidi="ar-SA"/>
        </w:rPr>
        <w:t>份，需方</w:t>
      </w:r>
      <w:permStart w:id="18" w:edGrp="everyone"/>
      <w:r>
        <w:rPr>
          <w:rFonts w:hint="eastAsia" w:ascii="Times New Roman" w:hAnsi="宋体" w:eastAsia="宋体" w:cs="Times New Roman"/>
          <w:color w:val="auto"/>
          <w:kern w:val="2"/>
          <w:sz w:val="28"/>
          <w:szCs w:val="24"/>
          <w:highlight w:val="none"/>
          <w:lang w:val="en-US" w:eastAsia="zh-CN" w:bidi="ar-SA"/>
        </w:rPr>
        <w:t>五</w:t>
      </w:r>
      <w:permEnd w:id="18"/>
      <w:r>
        <w:rPr>
          <w:rFonts w:ascii="Times New Roman" w:hAnsi="宋体" w:eastAsia="宋体" w:cs="Times New Roman"/>
          <w:color w:val="auto"/>
          <w:kern w:val="2"/>
          <w:sz w:val="28"/>
          <w:szCs w:val="24"/>
          <w:highlight w:val="none"/>
          <w:lang w:val="en-US" w:eastAsia="zh-CN" w:bidi="ar-SA"/>
        </w:rPr>
        <w:t>份，供方</w:t>
      </w:r>
      <w:permStart w:id="19" w:edGrp="everyone"/>
      <w:r>
        <w:rPr>
          <w:rFonts w:hint="eastAsia" w:ascii="Times New Roman" w:hAnsi="宋体" w:eastAsia="宋体" w:cs="Times New Roman"/>
          <w:color w:val="auto"/>
          <w:kern w:val="2"/>
          <w:sz w:val="28"/>
          <w:szCs w:val="24"/>
          <w:highlight w:val="none"/>
          <w:lang w:val="en-US" w:eastAsia="zh-CN" w:bidi="ar-SA"/>
        </w:rPr>
        <w:t>二</w:t>
      </w:r>
      <w:permEnd w:id="19"/>
      <w:r>
        <w:rPr>
          <w:rFonts w:ascii="Times New Roman" w:hAnsi="宋体" w:eastAsia="宋体" w:cs="Times New Roman"/>
          <w:color w:val="auto"/>
          <w:kern w:val="2"/>
          <w:sz w:val="28"/>
          <w:szCs w:val="24"/>
          <w:highlight w:val="none"/>
          <w:lang w:val="en-US" w:eastAsia="zh-CN" w:bidi="ar-SA"/>
        </w:rPr>
        <w:t>份，招标公司</w:t>
      </w:r>
      <w:permStart w:id="20" w:edGrp="everyone"/>
      <w:r>
        <w:rPr>
          <w:rFonts w:ascii="Times New Roman" w:hAnsi="宋体" w:eastAsia="宋体" w:cs="Times New Roman"/>
          <w:color w:val="auto"/>
          <w:kern w:val="2"/>
          <w:sz w:val="28"/>
          <w:szCs w:val="24"/>
          <w:highlight w:val="none"/>
          <w:lang w:val="en-US" w:eastAsia="zh-CN" w:bidi="ar-SA"/>
        </w:rPr>
        <w:t>二</w:t>
      </w:r>
      <w:permEnd w:id="20"/>
      <w:r>
        <w:rPr>
          <w:rFonts w:ascii="Times New Roman" w:hAnsi="宋体" w:eastAsia="宋体" w:cs="Times New Roman"/>
          <w:color w:val="auto"/>
          <w:kern w:val="2"/>
          <w:sz w:val="28"/>
          <w:szCs w:val="24"/>
          <w:highlight w:val="none"/>
          <w:lang w:val="en-US" w:eastAsia="zh-CN" w:bidi="ar-SA"/>
        </w:rPr>
        <w:t>份</w:t>
      </w:r>
    </w:p>
    <w:p w14:paraId="5DD121B8">
      <w:pPr>
        <w:widowControl w:val="0"/>
        <w:spacing w:line="480" w:lineRule="exact"/>
        <w:ind w:firstLine="560" w:firstLineChars="200"/>
        <w:jc w:val="both"/>
        <w:rPr>
          <w:rFonts w:ascii="Times New Roman" w:hAnsi="宋体" w:eastAsia="宋体" w:cs="Times New Roman"/>
          <w:color w:val="auto"/>
          <w:kern w:val="2"/>
          <w:sz w:val="28"/>
          <w:szCs w:val="24"/>
          <w:highlight w:val="none"/>
          <w:lang w:val="en-US" w:eastAsia="zh-CN" w:bidi="ar-SA"/>
        </w:rPr>
      </w:pPr>
      <w:r>
        <w:rPr>
          <w:rFonts w:ascii="Times New Roman" w:hAnsi="宋体" w:eastAsia="宋体" w:cs="Times New Roman"/>
          <w:color w:val="auto"/>
          <w:kern w:val="2"/>
          <w:sz w:val="28"/>
          <w:szCs w:val="24"/>
          <w:highlight w:val="none"/>
          <w:lang w:val="en-US" w:eastAsia="zh-CN" w:bidi="ar-SA"/>
        </w:rPr>
        <w:br w:type="page"/>
      </w:r>
    </w:p>
    <w:p w14:paraId="2B31952B">
      <w:pPr>
        <w:autoSpaceDE/>
        <w:autoSpaceDN/>
        <w:spacing w:line="480" w:lineRule="exact"/>
        <w:ind w:firstLine="560" w:firstLineChars="200"/>
        <w:jc w:val="both"/>
        <w:rPr>
          <w:rFonts w:ascii="Times New Roman" w:hAnsi="Times New Roman" w:eastAsia="宋体" w:cs="Times New Roman"/>
          <w:color w:val="auto"/>
          <w:kern w:val="2"/>
          <w:sz w:val="28"/>
          <w:szCs w:val="24"/>
          <w:highlight w:val="none"/>
        </w:rPr>
      </w:pPr>
    </w:p>
    <w:p w14:paraId="01DE3169">
      <w:pPr>
        <w:spacing w:line="480" w:lineRule="exact"/>
        <w:ind w:firstLine="560" w:firstLineChars="200"/>
        <w:rPr>
          <w:color w:val="auto"/>
          <w:sz w:val="28"/>
          <w:highlight w:val="none"/>
        </w:rPr>
        <w:sectPr>
          <w:headerReference r:id="rId4" w:type="default"/>
          <w:footerReference r:id="rId5" w:type="default"/>
          <w:footerReference r:id="rId6" w:type="even"/>
          <w:pgSz w:w="11906" w:h="16838"/>
          <w:pgMar w:top="1418" w:right="1230" w:bottom="1418" w:left="1230" w:header="851" w:footer="992" w:gutter="0"/>
          <w:cols w:space="720" w:num="1"/>
          <w:docGrid w:linePitch="312" w:charSpace="0"/>
        </w:sectPr>
      </w:pPr>
    </w:p>
    <w:p w14:paraId="26FDC9BE">
      <w:pPr>
        <w:widowControl/>
        <w:autoSpaceDE/>
        <w:autoSpaceDN/>
        <w:spacing w:line="480" w:lineRule="exact"/>
        <w:ind w:firstLine="480" w:firstLineChars="200"/>
        <w:jc w:val="both"/>
        <w:rPr>
          <w:rFonts w:hint="eastAsia" w:ascii="宋体" w:hAnsi="宋体" w:eastAsia="宋体" w:cs="宋体"/>
          <w:color w:val="auto"/>
          <w:kern w:val="2"/>
          <w:sz w:val="24"/>
          <w:szCs w:val="24"/>
          <w:highlight w:val="none"/>
          <w:lang w:val="zh-TW" w:eastAsia="zh-TW"/>
        </w:rPr>
      </w:pPr>
      <w:r>
        <w:rPr>
          <w:rFonts w:hint="eastAsia" w:ascii="宋体" w:hAnsi="宋体" w:eastAsia="宋体" w:cs="宋体"/>
          <w:color w:val="auto"/>
          <w:kern w:val="2"/>
          <w:sz w:val="24"/>
          <w:szCs w:val="24"/>
          <w:highlight w:val="none"/>
          <w:lang w:val="zh-TW" w:eastAsia="zh-TW"/>
        </w:rPr>
        <w:t>供方（开户名）：</w:t>
      </w:r>
      <w:permStart w:id="21" w:edGrp="everyone"/>
      <w:r>
        <w:rPr>
          <w:rFonts w:hint="eastAsia" w:ascii="宋体" w:hAnsi="宋体" w:eastAsia="宋体" w:cs="宋体"/>
          <w:color w:val="auto"/>
          <w:kern w:val="2"/>
          <w:sz w:val="24"/>
          <w:szCs w:val="24"/>
          <w:highlight w:val="none"/>
          <w:lang w:val="zh-TW" w:eastAsia="zh-TW"/>
        </w:rPr>
        <w:t xml:space="preserve">                                   </w:t>
      </w:r>
      <w:permEnd w:id="21"/>
    </w:p>
    <w:p w14:paraId="29C61A7B">
      <w:pPr>
        <w:widowControl/>
        <w:autoSpaceDE/>
        <w:autoSpaceDN/>
        <w:spacing w:line="480" w:lineRule="exact"/>
        <w:ind w:firstLine="480" w:firstLineChars="200"/>
        <w:jc w:val="both"/>
        <w:rPr>
          <w:rFonts w:hint="eastAsia" w:ascii="宋体" w:hAnsi="宋体" w:eastAsia="宋体" w:cs="宋体"/>
          <w:color w:val="auto"/>
          <w:kern w:val="2"/>
          <w:sz w:val="24"/>
          <w:szCs w:val="24"/>
          <w:highlight w:val="none"/>
          <w:lang w:val="zh-TW" w:eastAsia="zh-TW"/>
        </w:rPr>
      </w:pPr>
      <w:r>
        <w:rPr>
          <w:rFonts w:hint="eastAsia" w:ascii="宋体" w:hAnsi="宋体" w:eastAsia="宋体" w:cs="宋体"/>
          <w:color w:val="auto"/>
          <w:kern w:val="2"/>
          <w:sz w:val="24"/>
          <w:szCs w:val="24"/>
          <w:highlight w:val="none"/>
          <w:lang w:val="zh-TW" w:eastAsia="zh-TW"/>
        </w:rPr>
        <w:t>地址：</w:t>
      </w:r>
      <w:permStart w:id="22" w:edGrp="everyone"/>
      <w:r>
        <w:rPr>
          <w:rFonts w:hint="eastAsia" w:ascii="宋体" w:hAnsi="宋体" w:eastAsia="宋体" w:cs="宋体"/>
          <w:color w:val="auto"/>
          <w:kern w:val="2"/>
          <w:sz w:val="24"/>
          <w:szCs w:val="24"/>
          <w:highlight w:val="none"/>
          <w:lang w:val="zh-TW" w:eastAsia="zh-TW"/>
        </w:rPr>
        <w:t xml:space="preserve">                               </w:t>
      </w:r>
      <w:permEnd w:id="22"/>
    </w:p>
    <w:p w14:paraId="102BEC30">
      <w:pPr>
        <w:widowControl/>
        <w:autoSpaceDE/>
        <w:autoSpaceDN/>
        <w:spacing w:line="480" w:lineRule="exact"/>
        <w:ind w:firstLine="480" w:firstLineChars="200"/>
        <w:jc w:val="both"/>
        <w:rPr>
          <w:rFonts w:hint="eastAsia" w:ascii="宋体" w:hAnsi="宋体" w:eastAsia="宋体" w:cs="宋体"/>
          <w:color w:val="auto"/>
          <w:kern w:val="2"/>
          <w:sz w:val="24"/>
          <w:szCs w:val="24"/>
          <w:highlight w:val="none"/>
          <w:lang w:val="zh-TW" w:eastAsia="zh-TW"/>
        </w:rPr>
      </w:pPr>
      <w:permStart w:id="23" w:edGrp="everyone"/>
      <w:r>
        <w:rPr>
          <w:rFonts w:hint="eastAsia" w:ascii="宋体" w:hAnsi="宋体" w:eastAsia="宋体" w:cs="宋体"/>
          <w:color w:val="auto"/>
          <w:kern w:val="2"/>
          <w:sz w:val="24"/>
          <w:szCs w:val="24"/>
          <w:highlight w:val="none"/>
          <w:lang w:val="zh-TW" w:eastAsia="zh-TW"/>
        </w:rPr>
        <w:t xml:space="preserve">                                     </w:t>
      </w:r>
    </w:p>
    <w:permEnd w:id="23"/>
    <w:p w14:paraId="3F98B712">
      <w:pPr>
        <w:widowControl/>
        <w:autoSpaceDE/>
        <w:autoSpaceDN/>
        <w:spacing w:line="480" w:lineRule="exact"/>
        <w:ind w:firstLine="480" w:firstLineChars="200"/>
        <w:jc w:val="both"/>
        <w:rPr>
          <w:rFonts w:hint="eastAsia" w:ascii="宋体" w:hAnsi="宋体" w:eastAsia="宋体" w:cs="宋体"/>
          <w:color w:val="auto"/>
          <w:kern w:val="2"/>
          <w:sz w:val="24"/>
          <w:szCs w:val="24"/>
          <w:highlight w:val="none"/>
          <w:lang w:val="zh-TW" w:eastAsia="zh-TW"/>
        </w:rPr>
      </w:pPr>
    </w:p>
    <w:p w14:paraId="63B490F6">
      <w:pPr>
        <w:widowControl/>
        <w:autoSpaceDE/>
        <w:autoSpaceDN/>
        <w:spacing w:line="480" w:lineRule="exact"/>
        <w:ind w:firstLine="480" w:firstLineChars="200"/>
        <w:jc w:val="both"/>
        <w:rPr>
          <w:rFonts w:hint="eastAsia" w:ascii="宋体" w:hAnsi="宋体" w:eastAsia="宋体" w:cs="宋体"/>
          <w:color w:val="auto"/>
          <w:kern w:val="2"/>
          <w:sz w:val="24"/>
          <w:szCs w:val="24"/>
          <w:highlight w:val="none"/>
          <w:lang w:val="zh-TW" w:eastAsia="zh-TW"/>
        </w:rPr>
      </w:pPr>
      <w:r>
        <w:rPr>
          <w:rFonts w:hint="eastAsia" w:ascii="宋体" w:hAnsi="宋体" w:eastAsia="宋体" w:cs="宋体"/>
          <w:color w:val="auto"/>
          <w:kern w:val="2"/>
          <w:sz w:val="24"/>
          <w:szCs w:val="24"/>
          <w:highlight w:val="none"/>
          <w:lang w:val="zh-TW" w:eastAsia="zh-TW"/>
        </w:rPr>
        <w:t>委托代理人（签字）：</w:t>
      </w:r>
    </w:p>
    <w:p w14:paraId="3DAC2152">
      <w:pPr>
        <w:widowControl/>
        <w:autoSpaceDE/>
        <w:autoSpaceDN/>
        <w:spacing w:line="480" w:lineRule="exact"/>
        <w:ind w:firstLine="480" w:firstLineChars="200"/>
        <w:jc w:val="both"/>
        <w:rPr>
          <w:rFonts w:hint="eastAsia" w:ascii="宋体" w:hAnsi="宋体" w:eastAsia="宋体" w:cs="宋体"/>
          <w:color w:val="auto"/>
          <w:kern w:val="2"/>
          <w:sz w:val="24"/>
          <w:szCs w:val="24"/>
          <w:highlight w:val="none"/>
          <w:lang w:val="zh-TW" w:eastAsia="zh-TW"/>
        </w:rPr>
      </w:pPr>
      <w:r>
        <w:rPr>
          <w:rFonts w:hint="eastAsia" w:ascii="宋体" w:hAnsi="宋体" w:eastAsia="宋体" w:cs="宋体"/>
          <w:color w:val="auto"/>
          <w:kern w:val="2"/>
          <w:sz w:val="24"/>
          <w:szCs w:val="24"/>
          <w:highlight w:val="none"/>
          <w:lang w:val="zh-TW" w:eastAsia="zh-TW"/>
        </w:rPr>
        <w:t>电话：</w:t>
      </w:r>
      <w:permStart w:id="24" w:edGrp="everyone"/>
      <w:r>
        <w:rPr>
          <w:rFonts w:hint="eastAsia" w:ascii="宋体" w:hAnsi="宋体" w:eastAsia="宋体" w:cs="宋体"/>
          <w:color w:val="auto"/>
          <w:kern w:val="2"/>
          <w:sz w:val="24"/>
          <w:szCs w:val="24"/>
          <w:highlight w:val="none"/>
          <w:lang w:val="zh-TW" w:eastAsia="zh-TW"/>
        </w:rPr>
        <w:t xml:space="preserve">                  </w:t>
      </w:r>
      <w:permEnd w:id="24"/>
    </w:p>
    <w:p w14:paraId="06B3C586">
      <w:pPr>
        <w:widowControl/>
        <w:autoSpaceDE/>
        <w:autoSpaceDN/>
        <w:spacing w:line="480" w:lineRule="exact"/>
        <w:ind w:firstLine="480" w:firstLineChars="200"/>
        <w:jc w:val="both"/>
        <w:rPr>
          <w:rFonts w:hint="eastAsia" w:ascii="宋体" w:hAnsi="宋体" w:eastAsia="宋体" w:cs="宋体"/>
          <w:color w:val="auto"/>
          <w:kern w:val="2"/>
          <w:sz w:val="24"/>
          <w:szCs w:val="24"/>
          <w:highlight w:val="none"/>
          <w:lang w:val="zh-TW" w:eastAsia="zh-TW"/>
        </w:rPr>
      </w:pPr>
      <w:r>
        <w:rPr>
          <w:rFonts w:hint="eastAsia" w:ascii="宋体" w:hAnsi="宋体" w:eastAsia="宋体" w:cs="宋体"/>
          <w:color w:val="auto"/>
          <w:kern w:val="2"/>
          <w:sz w:val="24"/>
          <w:szCs w:val="24"/>
          <w:highlight w:val="none"/>
          <w:lang w:val="zh-TW" w:eastAsia="zh-TW"/>
        </w:rPr>
        <w:t>开户行：</w:t>
      </w:r>
      <w:permStart w:id="25" w:edGrp="everyone"/>
      <w:r>
        <w:rPr>
          <w:rFonts w:hint="eastAsia" w:ascii="宋体" w:hAnsi="宋体" w:eastAsia="宋体" w:cs="宋体"/>
          <w:color w:val="auto"/>
          <w:kern w:val="2"/>
          <w:sz w:val="24"/>
          <w:szCs w:val="24"/>
          <w:highlight w:val="none"/>
          <w:lang w:val="zh-TW" w:eastAsia="zh-TW"/>
        </w:rPr>
        <w:t xml:space="preserve">  </w:t>
      </w:r>
    </w:p>
    <w:p w14:paraId="3877E5FF">
      <w:pPr>
        <w:widowControl/>
        <w:autoSpaceDE/>
        <w:autoSpaceDN/>
        <w:spacing w:line="480" w:lineRule="exact"/>
        <w:ind w:firstLine="480" w:firstLineChars="200"/>
        <w:jc w:val="both"/>
        <w:rPr>
          <w:rFonts w:hint="eastAsia" w:ascii="宋体" w:hAnsi="宋体" w:eastAsia="宋体" w:cs="宋体"/>
          <w:color w:val="auto"/>
          <w:kern w:val="2"/>
          <w:sz w:val="24"/>
          <w:szCs w:val="24"/>
          <w:highlight w:val="none"/>
          <w:lang w:val="zh-TW" w:eastAsia="zh-TW"/>
        </w:rPr>
      </w:pPr>
      <w:r>
        <w:rPr>
          <w:rFonts w:hint="eastAsia" w:ascii="宋体" w:hAnsi="宋体" w:eastAsia="宋体" w:cs="宋体"/>
          <w:color w:val="auto"/>
          <w:kern w:val="2"/>
          <w:sz w:val="24"/>
          <w:szCs w:val="24"/>
          <w:highlight w:val="none"/>
          <w:lang w:val="zh-TW" w:eastAsia="zh-TW"/>
        </w:rPr>
        <w:t xml:space="preserve">                                   </w:t>
      </w:r>
      <w:permEnd w:id="25"/>
    </w:p>
    <w:p w14:paraId="140B94AB">
      <w:pPr>
        <w:widowControl/>
        <w:autoSpaceDE/>
        <w:autoSpaceDN/>
        <w:spacing w:line="480" w:lineRule="exact"/>
        <w:ind w:firstLine="480" w:firstLineChars="200"/>
        <w:jc w:val="both"/>
        <w:rPr>
          <w:rFonts w:hint="eastAsia" w:ascii="宋体" w:hAnsi="宋体" w:eastAsia="宋体" w:cs="宋体"/>
          <w:color w:val="auto"/>
          <w:kern w:val="2"/>
          <w:sz w:val="24"/>
          <w:szCs w:val="24"/>
          <w:highlight w:val="none"/>
          <w:lang w:val="zh-TW" w:eastAsia="zh-TW"/>
        </w:rPr>
      </w:pPr>
      <w:r>
        <w:rPr>
          <w:rFonts w:hint="eastAsia" w:ascii="宋体" w:hAnsi="宋体" w:eastAsia="宋体" w:cs="宋体"/>
          <w:color w:val="auto"/>
          <w:kern w:val="2"/>
          <w:sz w:val="24"/>
          <w:szCs w:val="24"/>
          <w:highlight w:val="none"/>
          <w:lang w:val="zh-TW" w:eastAsia="zh-TW"/>
        </w:rPr>
        <w:t>银行账号：</w:t>
      </w:r>
      <w:permStart w:id="26" w:edGrp="everyone"/>
      <w:r>
        <w:rPr>
          <w:rFonts w:hint="eastAsia" w:ascii="宋体" w:hAnsi="宋体" w:eastAsia="宋体" w:cs="宋体"/>
          <w:color w:val="auto"/>
          <w:kern w:val="2"/>
          <w:sz w:val="24"/>
          <w:szCs w:val="24"/>
          <w:highlight w:val="none"/>
          <w:lang w:val="zh-TW" w:eastAsia="zh-TW"/>
        </w:rPr>
        <w:t xml:space="preserve">                         </w:t>
      </w:r>
    </w:p>
    <w:permEnd w:id="26"/>
    <w:p w14:paraId="5069B5CA">
      <w:pPr>
        <w:widowControl/>
        <w:autoSpaceDE/>
        <w:autoSpaceDN/>
        <w:spacing w:line="480" w:lineRule="exact"/>
        <w:ind w:firstLine="480" w:firstLineChars="200"/>
        <w:jc w:val="both"/>
        <w:rPr>
          <w:rFonts w:hint="eastAsia" w:ascii="宋体" w:hAnsi="宋体" w:eastAsia="宋体" w:cs="宋体"/>
          <w:color w:val="auto"/>
          <w:kern w:val="2"/>
          <w:sz w:val="24"/>
          <w:szCs w:val="24"/>
          <w:highlight w:val="none"/>
          <w:lang w:val="zh-TW" w:eastAsia="zh-TW"/>
        </w:rPr>
      </w:pPr>
      <w:r>
        <w:rPr>
          <w:rFonts w:hint="eastAsia" w:ascii="宋体" w:hAnsi="宋体" w:eastAsia="宋体" w:cs="宋体"/>
          <w:color w:val="auto"/>
          <w:kern w:val="2"/>
          <w:sz w:val="24"/>
          <w:szCs w:val="24"/>
          <w:highlight w:val="none"/>
          <w:lang w:val="zh-TW" w:eastAsia="zh-TW"/>
        </w:rPr>
        <w:t>社会信用代码：</w:t>
      </w:r>
      <w:permStart w:id="27" w:edGrp="everyone"/>
      <w:r>
        <w:rPr>
          <w:rFonts w:hint="eastAsia" w:ascii="宋体" w:hAnsi="宋体" w:eastAsia="宋体" w:cs="宋体"/>
          <w:color w:val="auto"/>
          <w:kern w:val="2"/>
          <w:sz w:val="24"/>
          <w:szCs w:val="24"/>
          <w:highlight w:val="none"/>
          <w:lang w:val="zh-TW" w:eastAsia="zh-TW"/>
        </w:rPr>
        <w:t xml:space="preserve">                      </w:t>
      </w:r>
    </w:p>
    <w:permEnd w:id="27"/>
    <w:p w14:paraId="5B4EEBF4">
      <w:pPr>
        <w:widowControl/>
        <w:autoSpaceDE/>
        <w:autoSpaceDN/>
        <w:spacing w:line="480" w:lineRule="exact"/>
        <w:ind w:firstLine="480" w:firstLineChars="200"/>
        <w:jc w:val="both"/>
        <w:rPr>
          <w:rFonts w:hint="eastAsia" w:ascii="宋体" w:hAnsi="宋体" w:eastAsia="宋体" w:cs="宋体"/>
          <w:color w:val="auto"/>
          <w:kern w:val="2"/>
          <w:sz w:val="24"/>
          <w:szCs w:val="24"/>
          <w:highlight w:val="none"/>
          <w:lang w:val="zh-TW" w:eastAsia="zh-TW"/>
        </w:rPr>
      </w:pPr>
      <w:r>
        <w:rPr>
          <w:rFonts w:hint="eastAsia" w:ascii="宋体" w:hAnsi="宋体" w:eastAsia="宋体" w:cs="宋体"/>
          <w:color w:val="auto"/>
          <w:kern w:val="2"/>
          <w:sz w:val="24"/>
          <w:szCs w:val="24"/>
          <w:highlight w:val="none"/>
          <w:lang w:val="zh-TW" w:eastAsia="zh-TW"/>
        </w:rPr>
        <w:t>需方（开户名）：河南理工大学</w:t>
      </w:r>
    </w:p>
    <w:p w14:paraId="3AB4560E">
      <w:pPr>
        <w:widowControl/>
        <w:autoSpaceDE/>
        <w:autoSpaceDN/>
        <w:spacing w:line="480" w:lineRule="exact"/>
        <w:ind w:firstLine="480" w:firstLineChars="200"/>
        <w:jc w:val="both"/>
        <w:rPr>
          <w:rFonts w:hint="eastAsia" w:ascii="宋体" w:hAnsi="宋体" w:eastAsia="宋体" w:cs="宋体"/>
          <w:color w:val="auto"/>
          <w:kern w:val="2"/>
          <w:sz w:val="24"/>
          <w:szCs w:val="24"/>
          <w:highlight w:val="none"/>
          <w:lang w:val="zh-TW" w:eastAsia="zh-TW"/>
        </w:rPr>
      </w:pPr>
      <w:r>
        <w:rPr>
          <w:rFonts w:hint="eastAsia" w:ascii="宋体" w:hAnsi="宋体" w:eastAsia="宋体" w:cs="宋体"/>
          <w:color w:val="auto"/>
          <w:kern w:val="2"/>
          <w:sz w:val="24"/>
          <w:szCs w:val="24"/>
          <w:highlight w:val="none"/>
          <w:lang w:val="zh-TW" w:eastAsia="zh-TW"/>
        </w:rPr>
        <w:t>地址：河南省焦作市世纪路2001号</w:t>
      </w:r>
    </w:p>
    <w:p w14:paraId="1AEA47E9">
      <w:pPr>
        <w:widowControl/>
        <w:autoSpaceDE/>
        <w:autoSpaceDN/>
        <w:spacing w:line="480" w:lineRule="exact"/>
        <w:ind w:firstLine="480" w:firstLineChars="200"/>
        <w:jc w:val="both"/>
        <w:rPr>
          <w:rFonts w:hint="eastAsia" w:ascii="宋体" w:hAnsi="宋体" w:eastAsia="宋体" w:cs="宋体"/>
          <w:color w:val="auto"/>
          <w:kern w:val="2"/>
          <w:sz w:val="24"/>
          <w:szCs w:val="24"/>
          <w:highlight w:val="none"/>
          <w:lang w:val="zh-TW" w:eastAsia="zh-TW"/>
        </w:rPr>
      </w:pPr>
      <w:r>
        <w:rPr>
          <w:rFonts w:hint="eastAsia" w:ascii="宋体" w:hAnsi="宋体" w:eastAsia="宋体" w:cs="宋体"/>
          <w:color w:val="auto"/>
          <w:kern w:val="2"/>
          <w:sz w:val="24"/>
          <w:szCs w:val="24"/>
          <w:highlight w:val="none"/>
          <w:lang w:val="zh-TW" w:eastAsia="zh-TW"/>
        </w:rPr>
        <w:t>技术负责人（签字）：</w:t>
      </w:r>
    </w:p>
    <w:p w14:paraId="1C454985">
      <w:pPr>
        <w:widowControl/>
        <w:autoSpaceDE/>
        <w:autoSpaceDN/>
        <w:spacing w:line="480" w:lineRule="exact"/>
        <w:ind w:firstLine="480" w:firstLineChars="200"/>
        <w:jc w:val="both"/>
        <w:rPr>
          <w:rFonts w:hint="eastAsia" w:ascii="宋体" w:hAnsi="宋体" w:eastAsia="宋体" w:cs="宋体"/>
          <w:color w:val="auto"/>
          <w:kern w:val="2"/>
          <w:sz w:val="24"/>
          <w:szCs w:val="24"/>
          <w:highlight w:val="none"/>
          <w:lang w:val="zh-TW" w:eastAsia="zh-TW"/>
        </w:rPr>
      </w:pPr>
      <w:r>
        <w:rPr>
          <w:rFonts w:hint="eastAsia" w:ascii="宋体" w:hAnsi="宋体" w:eastAsia="宋体" w:cs="宋体"/>
          <w:color w:val="auto"/>
          <w:kern w:val="2"/>
          <w:sz w:val="24"/>
          <w:szCs w:val="24"/>
          <w:highlight w:val="none"/>
          <w:lang w:val="zh-TW" w:eastAsia="zh-TW"/>
        </w:rPr>
        <w:t>电话：</w:t>
      </w:r>
      <w:permStart w:id="28" w:edGrp="everyone"/>
      <w:r>
        <w:rPr>
          <w:rFonts w:hint="eastAsia" w:ascii="宋体" w:hAnsi="宋体" w:eastAsia="宋体" w:cs="宋体"/>
          <w:color w:val="auto"/>
          <w:kern w:val="2"/>
          <w:sz w:val="24"/>
          <w:szCs w:val="24"/>
          <w:highlight w:val="none"/>
          <w:lang w:val="zh-TW" w:eastAsia="zh-TW"/>
        </w:rPr>
        <w:t xml:space="preserve">    使用老师手机     </w:t>
      </w:r>
      <w:permEnd w:id="28"/>
    </w:p>
    <w:p w14:paraId="5CF881E8">
      <w:pPr>
        <w:widowControl/>
        <w:autoSpaceDE/>
        <w:autoSpaceDN/>
        <w:spacing w:line="480" w:lineRule="exact"/>
        <w:ind w:firstLine="480" w:firstLineChars="200"/>
        <w:jc w:val="both"/>
        <w:rPr>
          <w:rFonts w:hint="eastAsia" w:ascii="宋体" w:hAnsi="宋体" w:eastAsia="宋体" w:cs="宋体"/>
          <w:color w:val="auto"/>
          <w:kern w:val="2"/>
          <w:sz w:val="24"/>
          <w:szCs w:val="24"/>
          <w:highlight w:val="none"/>
          <w:lang w:val="zh-TW" w:eastAsia="zh-TW"/>
        </w:rPr>
      </w:pPr>
      <w:r>
        <w:rPr>
          <w:rFonts w:hint="eastAsia" w:ascii="宋体" w:hAnsi="宋体" w:eastAsia="宋体" w:cs="宋体"/>
          <w:color w:val="auto"/>
          <w:kern w:val="2"/>
          <w:sz w:val="24"/>
          <w:szCs w:val="24"/>
          <w:highlight w:val="none"/>
          <w:lang w:val="zh-TW" w:eastAsia="zh-TW"/>
        </w:rPr>
        <w:t>使用单位负责人（签字）：</w:t>
      </w:r>
    </w:p>
    <w:p w14:paraId="7DECD3BD">
      <w:pPr>
        <w:widowControl/>
        <w:autoSpaceDE/>
        <w:autoSpaceDN/>
        <w:spacing w:line="480" w:lineRule="exact"/>
        <w:ind w:firstLine="480" w:firstLineChars="200"/>
        <w:jc w:val="both"/>
        <w:rPr>
          <w:rFonts w:hint="eastAsia" w:ascii="宋体" w:hAnsi="宋体" w:eastAsia="宋体" w:cs="宋体"/>
          <w:color w:val="auto"/>
          <w:kern w:val="2"/>
          <w:sz w:val="24"/>
          <w:szCs w:val="24"/>
          <w:highlight w:val="none"/>
          <w:lang w:val="zh-TW" w:eastAsia="zh-TW"/>
        </w:rPr>
      </w:pPr>
      <w:r>
        <w:rPr>
          <w:rFonts w:hint="eastAsia" w:ascii="宋体" w:hAnsi="宋体" w:eastAsia="宋体" w:cs="宋体"/>
          <w:color w:val="auto"/>
          <w:kern w:val="2"/>
          <w:sz w:val="24"/>
          <w:szCs w:val="24"/>
          <w:highlight w:val="none"/>
          <w:lang w:val="zh-TW" w:eastAsia="zh-TW"/>
        </w:rPr>
        <w:t>委托代理人：</w:t>
      </w:r>
    </w:p>
    <w:p w14:paraId="4478BF80">
      <w:pPr>
        <w:widowControl/>
        <w:autoSpaceDE/>
        <w:autoSpaceDN/>
        <w:spacing w:line="480" w:lineRule="exact"/>
        <w:ind w:firstLine="480" w:firstLineChars="200"/>
        <w:jc w:val="both"/>
        <w:rPr>
          <w:rFonts w:hint="eastAsia" w:ascii="宋体" w:hAnsi="宋体" w:eastAsia="宋体" w:cs="宋体"/>
          <w:color w:val="auto"/>
          <w:kern w:val="2"/>
          <w:sz w:val="24"/>
          <w:szCs w:val="24"/>
          <w:highlight w:val="none"/>
          <w:lang w:val="zh-TW" w:eastAsia="zh-TW"/>
        </w:rPr>
      </w:pPr>
      <w:r>
        <w:rPr>
          <w:rFonts w:hint="eastAsia" w:ascii="宋体" w:hAnsi="宋体" w:eastAsia="宋体" w:cs="宋体"/>
          <w:color w:val="auto"/>
          <w:kern w:val="2"/>
          <w:sz w:val="24"/>
          <w:szCs w:val="24"/>
          <w:highlight w:val="none"/>
          <w:lang w:val="zh-TW" w:eastAsia="zh-TW"/>
        </w:rPr>
        <w:t>开户行：中国农业银行股份有限公司</w:t>
      </w:r>
    </w:p>
    <w:p w14:paraId="002C8E59">
      <w:pPr>
        <w:widowControl/>
        <w:autoSpaceDE/>
        <w:autoSpaceDN/>
        <w:spacing w:line="480" w:lineRule="exact"/>
        <w:ind w:firstLine="480" w:firstLineChars="200"/>
        <w:jc w:val="both"/>
        <w:rPr>
          <w:rFonts w:hint="eastAsia" w:ascii="宋体" w:hAnsi="宋体" w:eastAsia="宋体" w:cs="宋体"/>
          <w:color w:val="auto"/>
          <w:kern w:val="2"/>
          <w:sz w:val="24"/>
          <w:szCs w:val="24"/>
          <w:highlight w:val="none"/>
          <w:lang w:val="zh-TW" w:eastAsia="zh-TW"/>
        </w:rPr>
      </w:pPr>
      <w:r>
        <w:rPr>
          <w:rFonts w:hint="eastAsia" w:ascii="宋体" w:hAnsi="宋体" w:eastAsia="宋体" w:cs="宋体"/>
          <w:color w:val="auto"/>
          <w:kern w:val="2"/>
          <w:sz w:val="24"/>
          <w:szCs w:val="24"/>
          <w:highlight w:val="none"/>
          <w:lang w:val="zh-TW" w:eastAsia="zh-TW"/>
        </w:rPr>
        <w:t>焦作理工大学支行</w:t>
      </w:r>
    </w:p>
    <w:p w14:paraId="69F312FF">
      <w:pPr>
        <w:widowControl/>
        <w:autoSpaceDE/>
        <w:autoSpaceDN/>
        <w:spacing w:line="480" w:lineRule="exact"/>
        <w:ind w:firstLine="480" w:firstLineChars="200"/>
        <w:jc w:val="both"/>
        <w:rPr>
          <w:rFonts w:hint="eastAsia" w:ascii="宋体" w:hAnsi="宋体" w:eastAsia="宋体" w:cs="宋体"/>
          <w:color w:val="auto"/>
          <w:kern w:val="2"/>
          <w:sz w:val="24"/>
          <w:szCs w:val="24"/>
          <w:highlight w:val="none"/>
          <w:lang w:val="zh-TW" w:eastAsia="zh-TW"/>
        </w:rPr>
      </w:pPr>
      <w:r>
        <w:rPr>
          <w:rFonts w:hint="eastAsia" w:ascii="宋体" w:hAnsi="宋体" w:eastAsia="宋体" w:cs="宋体"/>
          <w:color w:val="auto"/>
          <w:kern w:val="2"/>
          <w:sz w:val="24"/>
          <w:szCs w:val="24"/>
          <w:highlight w:val="none"/>
          <w:lang w:val="zh-TW" w:eastAsia="zh-TW"/>
        </w:rPr>
        <w:t xml:space="preserve">银行账号：16302301040000264 </w:t>
      </w:r>
    </w:p>
    <w:p w14:paraId="680BE3D4">
      <w:pPr>
        <w:widowControl/>
        <w:autoSpaceDE/>
        <w:autoSpaceDN/>
        <w:spacing w:line="480" w:lineRule="exact"/>
        <w:ind w:firstLine="480" w:firstLineChars="200"/>
        <w:jc w:val="both"/>
        <w:rPr>
          <w:rFonts w:hint="eastAsia" w:ascii="宋体" w:hAnsi="宋体" w:eastAsia="宋体" w:cs="宋体"/>
          <w:color w:val="auto"/>
          <w:kern w:val="2"/>
          <w:sz w:val="24"/>
          <w:szCs w:val="24"/>
          <w:highlight w:val="none"/>
          <w:lang w:val="zh-TW" w:eastAsia="zh-TW"/>
        </w:rPr>
      </w:pPr>
      <w:r>
        <w:rPr>
          <w:rFonts w:hint="eastAsia" w:ascii="宋体" w:hAnsi="宋体" w:eastAsia="宋体" w:cs="宋体"/>
          <w:color w:val="auto"/>
          <w:kern w:val="2"/>
          <w:sz w:val="24"/>
          <w:szCs w:val="24"/>
          <w:highlight w:val="none"/>
          <w:lang w:val="zh-TW" w:eastAsia="zh-TW"/>
        </w:rPr>
        <w:t>社会信用代码：12410000721851120U</w:t>
      </w:r>
    </w:p>
    <w:p w14:paraId="451FF828">
      <w:pPr>
        <w:widowControl/>
        <w:spacing w:line="480" w:lineRule="exact"/>
        <w:ind w:firstLine="480" w:firstLineChars="200"/>
        <w:rPr>
          <w:rFonts w:hint="eastAsia" w:ascii="宋体" w:hAnsi="宋体" w:eastAsia="宋体" w:cs="宋体"/>
          <w:color w:val="auto"/>
          <w:sz w:val="24"/>
          <w:szCs w:val="24"/>
          <w:highlight w:val="none"/>
          <w:lang w:val="zh-TW" w:eastAsia="zh-TW"/>
        </w:rPr>
        <w:sectPr>
          <w:type w:val="continuous"/>
          <w:pgSz w:w="11906" w:h="16838"/>
          <w:pgMar w:top="1418" w:right="926" w:bottom="1418" w:left="900" w:header="851" w:footer="992" w:gutter="0"/>
          <w:cols w:space="106" w:num="2"/>
          <w:docGrid w:linePitch="312" w:charSpace="0"/>
        </w:sectPr>
      </w:pPr>
    </w:p>
    <w:p w14:paraId="47C7A7B9">
      <w:pPr>
        <w:autoSpaceDE/>
        <w:autoSpaceDN/>
        <w:spacing w:line="480" w:lineRule="exact"/>
        <w:ind w:right="-1285" w:rightChars="-584"/>
        <w:jc w:val="both"/>
        <w:rPr>
          <w:rFonts w:ascii="Times New Roman" w:hAnsi="宋体" w:eastAsia="宋体" w:cs="Times New Roman"/>
          <w:color w:val="auto"/>
          <w:kern w:val="2"/>
          <w:sz w:val="28"/>
          <w:szCs w:val="28"/>
          <w:highlight w:val="none"/>
        </w:rPr>
      </w:pPr>
    </w:p>
    <w:p w14:paraId="7074F2A9">
      <w:pPr>
        <w:widowControl/>
        <w:autoSpaceDE/>
        <w:autoSpaceDN/>
        <w:spacing w:line="480" w:lineRule="exact"/>
        <w:ind w:firstLine="480" w:firstLineChars="200"/>
        <w:jc w:val="both"/>
        <w:rPr>
          <w:rFonts w:hint="eastAsia" w:ascii="宋体" w:hAnsi="宋体" w:eastAsia="宋体" w:cs="宋体"/>
          <w:color w:val="auto"/>
          <w:kern w:val="2"/>
          <w:sz w:val="24"/>
          <w:szCs w:val="24"/>
          <w:highlight w:val="none"/>
          <w:lang w:val="zh-TW" w:eastAsia="zh-TW"/>
        </w:rPr>
      </w:pPr>
      <w:r>
        <w:rPr>
          <w:rFonts w:hint="eastAsia" w:ascii="宋体" w:hAnsi="宋体" w:eastAsia="宋体" w:cs="宋体"/>
          <w:color w:val="auto"/>
          <w:kern w:val="2"/>
          <w:sz w:val="24"/>
          <w:szCs w:val="24"/>
          <w:highlight w:val="none"/>
          <w:lang w:val="zh-TW" w:eastAsia="zh-TW"/>
        </w:rPr>
        <w:t>附件</w:t>
      </w:r>
    </w:p>
    <w:p w14:paraId="0F828A75">
      <w:pPr>
        <w:widowControl/>
        <w:autoSpaceDE/>
        <w:autoSpaceDN/>
        <w:spacing w:line="480" w:lineRule="exact"/>
        <w:ind w:firstLine="480" w:firstLineChars="200"/>
        <w:jc w:val="both"/>
        <w:rPr>
          <w:rFonts w:hint="eastAsia" w:ascii="宋体" w:hAnsi="宋体" w:eastAsia="宋体" w:cs="宋体"/>
          <w:color w:val="auto"/>
          <w:kern w:val="2"/>
          <w:sz w:val="24"/>
          <w:szCs w:val="24"/>
          <w:highlight w:val="none"/>
          <w:lang w:val="zh-TW" w:eastAsia="zh-TW"/>
        </w:rPr>
      </w:pPr>
      <w:r>
        <w:rPr>
          <w:rFonts w:hint="eastAsia" w:ascii="宋体" w:hAnsi="宋体" w:eastAsia="宋体" w:cs="宋体"/>
          <w:color w:val="auto"/>
          <w:kern w:val="2"/>
          <w:sz w:val="24"/>
          <w:szCs w:val="24"/>
          <w:highlight w:val="none"/>
          <w:lang w:val="zh-TW" w:eastAsia="zh-TW"/>
        </w:rPr>
        <w:t>一、货物规格价格一览表</w:t>
      </w:r>
    </w:p>
    <w:p w14:paraId="309D99A8">
      <w:pPr>
        <w:widowControl/>
        <w:autoSpaceDE/>
        <w:autoSpaceDN/>
        <w:spacing w:line="480" w:lineRule="exact"/>
        <w:ind w:firstLine="480" w:firstLineChars="200"/>
        <w:jc w:val="both"/>
        <w:rPr>
          <w:rFonts w:hint="eastAsia" w:ascii="宋体" w:hAnsi="宋体" w:eastAsia="宋体" w:cs="宋体"/>
          <w:color w:val="auto"/>
          <w:kern w:val="2"/>
          <w:sz w:val="24"/>
          <w:szCs w:val="24"/>
          <w:highlight w:val="none"/>
          <w:lang w:val="zh-TW" w:eastAsia="zh-TW"/>
        </w:rPr>
      </w:pPr>
      <w:r>
        <w:rPr>
          <w:rFonts w:hint="eastAsia" w:ascii="宋体" w:hAnsi="宋体" w:eastAsia="宋体" w:cs="宋体"/>
          <w:color w:val="auto"/>
          <w:kern w:val="2"/>
          <w:sz w:val="24"/>
          <w:szCs w:val="24"/>
          <w:highlight w:val="none"/>
          <w:lang w:val="zh-TW" w:eastAsia="zh-TW"/>
        </w:rPr>
        <w:t>二、货物主要技术参数</w:t>
      </w:r>
    </w:p>
    <w:p w14:paraId="181ADD10">
      <w:pPr>
        <w:widowControl/>
        <w:autoSpaceDE/>
        <w:autoSpaceDN/>
        <w:spacing w:line="480" w:lineRule="exact"/>
        <w:ind w:firstLine="480" w:firstLineChars="200"/>
        <w:jc w:val="both"/>
        <w:rPr>
          <w:rFonts w:hint="eastAsia" w:ascii="宋体" w:hAnsi="宋体" w:eastAsia="宋体" w:cs="宋体"/>
          <w:color w:val="auto"/>
          <w:kern w:val="2"/>
          <w:sz w:val="24"/>
          <w:szCs w:val="24"/>
          <w:highlight w:val="none"/>
          <w:lang w:val="zh-TW" w:eastAsia="zh-TW"/>
        </w:rPr>
      </w:pPr>
      <w:r>
        <w:rPr>
          <w:rFonts w:hint="eastAsia" w:ascii="宋体" w:hAnsi="宋体" w:eastAsia="宋体" w:cs="宋体"/>
          <w:color w:val="auto"/>
          <w:kern w:val="2"/>
          <w:sz w:val="24"/>
          <w:szCs w:val="24"/>
          <w:highlight w:val="none"/>
          <w:lang w:val="zh-TW" w:eastAsia="zh-TW"/>
        </w:rPr>
        <w:t>三、售后服务计划书</w:t>
      </w:r>
    </w:p>
    <w:p w14:paraId="73045160">
      <w:pPr>
        <w:widowControl/>
        <w:autoSpaceDE/>
        <w:autoSpaceDN/>
        <w:spacing w:line="480" w:lineRule="exact"/>
        <w:ind w:firstLine="480" w:firstLineChars="200"/>
        <w:jc w:val="both"/>
        <w:rPr>
          <w:rFonts w:hint="eastAsia" w:ascii="宋体" w:hAnsi="宋体" w:eastAsia="宋体" w:cs="宋体"/>
          <w:color w:val="auto"/>
          <w:kern w:val="2"/>
          <w:sz w:val="24"/>
          <w:szCs w:val="24"/>
          <w:highlight w:val="none"/>
          <w:lang w:val="zh-TW" w:eastAsia="zh-TW"/>
        </w:rPr>
      </w:pPr>
      <w:r>
        <w:rPr>
          <w:rFonts w:hint="eastAsia" w:ascii="宋体" w:hAnsi="宋体" w:eastAsia="宋体" w:cs="宋体"/>
          <w:color w:val="auto"/>
          <w:kern w:val="2"/>
          <w:sz w:val="24"/>
          <w:szCs w:val="24"/>
          <w:highlight w:val="none"/>
          <w:lang w:val="zh-TW" w:eastAsia="zh-TW"/>
        </w:rPr>
        <w:t>四、到货开箱验收报告</w:t>
      </w:r>
    </w:p>
    <w:p w14:paraId="166EAF63">
      <w:pPr>
        <w:tabs>
          <w:tab w:val="left" w:pos="6360"/>
        </w:tabs>
        <w:spacing w:line="500" w:lineRule="exact"/>
        <w:ind w:firstLine="151" w:firstLineChars="50"/>
        <w:rPr>
          <w:b/>
          <w:color w:val="auto"/>
          <w:sz w:val="30"/>
          <w:szCs w:val="30"/>
          <w:highlight w:val="none"/>
        </w:rPr>
      </w:pPr>
      <w:r>
        <w:rPr>
          <w:b/>
          <w:color w:val="auto"/>
          <w:sz w:val="30"/>
          <w:szCs w:val="30"/>
          <w:highlight w:val="none"/>
        </w:rPr>
        <w:br w:type="page"/>
      </w:r>
      <w:r>
        <w:rPr>
          <w:rFonts w:hAnsi="宋体"/>
          <w:b/>
          <w:color w:val="auto"/>
          <w:sz w:val="30"/>
          <w:szCs w:val="30"/>
          <w:highlight w:val="none"/>
        </w:rPr>
        <w:t>附件一</w:t>
      </w:r>
      <w:r>
        <w:rPr>
          <w:b/>
          <w:color w:val="auto"/>
          <w:sz w:val="30"/>
          <w:szCs w:val="30"/>
          <w:highlight w:val="none"/>
        </w:rPr>
        <w:t xml:space="preserve">               </w:t>
      </w:r>
    </w:p>
    <w:p w14:paraId="2F4B1A6B">
      <w:pPr>
        <w:tabs>
          <w:tab w:val="left" w:pos="6360"/>
        </w:tabs>
        <w:ind w:firstLine="151" w:firstLineChars="50"/>
        <w:jc w:val="center"/>
        <w:rPr>
          <w:b/>
          <w:color w:val="auto"/>
          <w:sz w:val="30"/>
          <w:szCs w:val="30"/>
          <w:highlight w:val="none"/>
        </w:rPr>
      </w:pPr>
      <w:r>
        <w:rPr>
          <w:rFonts w:hAnsi="宋体"/>
          <w:b/>
          <w:bCs/>
          <w:color w:val="auto"/>
          <w:sz w:val="30"/>
          <w:szCs w:val="30"/>
          <w:highlight w:val="none"/>
        </w:rPr>
        <w:t>货物规格</w:t>
      </w:r>
      <w:r>
        <w:rPr>
          <w:rFonts w:hint="eastAsia" w:hAnsi="宋体"/>
          <w:b/>
          <w:bCs/>
          <w:color w:val="auto"/>
          <w:sz w:val="30"/>
          <w:szCs w:val="30"/>
          <w:highlight w:val="none"/>
        </w:rPr>
        <w:t>价格</w:t>
      </w:r>
      <w:r>
        <w:rPr>
          <w:rFonts w:hAnsi="宋体"/>
          <w:b/>
          <w:bCs/>
          <w:color w:val="auto"/>
          <w:sz w:val="30"/>
          <w:szCs w:val="30"/>
          <w:highlight w:val="none"/>
        </w:rPr>
        <w:t>一览表</w:t>
      </w:r>
      <w:permStart w:id="29" w:edGrp="everyone"/>
    </w:p>
    <w:tbl>
      <w:tblPr>
        <w:tblStyle w:val="1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6"/>
        <w:gridCol w:w="2266"/>
        <w:gridCol w:w="3267"/>
        <w:gridCol w:w="973"/>
        <w:gridCol w:w="940"/>
        <w:gridCol w:w="976"/>
      </w:tblGrid>
      <w:tr w14:paraId="43443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414" w:type="pct"/>
            <w:vAlign w:val="center"/>
          </w:tcPr>
          <w:p w14:paraId="6F415036">
            <w:pPr>
              <w:spacing w:line="360" w:lineRule="exact"/>
              <w:jc w:val="center"/>
              <w:rPr>
                <w:b/>
                <w:color w:val="auto"/>
                <w:sz w:val="24"/>
                <w:highlight w:val="none"/>
              </w:rPr>
            </w:pPr>
            <w:r>
              <w:rPr>
                <w:rFonts w:hAnsi="宋体"/>
                <w:b/>
                <w:color w:val="auto"/>
                <w:sz w:val="24"/>
                <w:highlight w:val="none"/>
              </w:rPr>
              <w:t>序号</w:t>
            </w:r>
          </w:p>
        </w:tc>
        <w:tc>
          <w:tcPr>
            <w:tcW w:w="1243" w:type="pct"/>
            <w:vAlign w:val="center"/>
          </w:tcPr>
          <w:p w14:paraId="37AF238D">
            <w:pPr>
              <w:spacing w:line="360" w:lineRule="exact"/>
              <w:jc w:val="center"/>
              <w:rPr>
                <w:b/>
                <w:color w:val="auto"/>
                <w:sz w:val="24"/>
                <w:highlight w:val="none"/>
              </w:rPr>
            </w:pPr>
            <w:r>
              <w:rPr>
                <w:rFonts w:hAnsi="宋体"/>
                <w:b/>
                <w:color w:val="auto"/>
                <w:sz w:val="24"/>
                <w:highlight w:val="none"/>
              </w:rPr>
              <w:t>货物名称</w:t>
            </w:r>
          </w:p>
        </w:tc>
        <w:tc>
          <w:tcPr>
            <w:tcW w:w="1789" w:type="pct"/>
            <w:vAlign w:val="center"/>
          </w:tcPr>
          <w:p w14:paraId="54F39C7B">
            <w:pPr>
              <w:spacing w:line="360" w:lineRule="exact"/>
              <w:jc w:val="center"/>
              <w:rPr>
                <w:b/>
                <w:color w:val="auto"/>
                <w:sz w:val="24"/>
                <w:highlight w:val="none"/>
              </w:rPr>
            </w:pPr>
            <w:r>
              <w:rPr>
                <w:rFonts w:hAnsi="宋体"/>
                <w:b/>
                <w:color w:val="auto"/>
                <w:sz w:val="24"/>
                <w:highlight w:val="none"/>
              </w:rPr>
              <w:t>品牌型号及制造商</w:t>
            </w:r>
          </w:p>
        </w:tc>
        <w:tc>
          <w:tcPr>
            <w:tcW w:w="538" w:type="pct"/>
            <w:vAlign w:val="center"/>
          </w:tcPr>
          <w:p w14:paraId="20C706BB">
            <w:pPr>
              <w:spacing w:line="360" w:lineRule="exact"/>
              <w:jc w:val="center"/>
              <w:rPr>
                <w:b/>
                <w:color w:val="auto"/>
                <w:sz w:val="24"/>
                <w:highlight w:val="none"/>
              </w:rPr>
            </w:pPr>
            <w:r>
              <w:rPr>
                <w:rFonts w:hAnsi="宋体"/>
                <w:b/>
                <w:color w:val="auto"/>
                <w:sz w:val="24"/>
                <w:highlight w:val="none"/>
              </w:rPr>
              <w:t>数量</w:t>
            </w:r>
          </w:p>
        </w:tc>
        <w:tc>
          <w:tcPr>
            <w:tcW w:w="477" w:type="pct"/>
            <w:vAlign w:val="center"/>
          </w:tcPr>
          <w:p w14:paraId="0E5A0AEE">
            <w:pPr>
              <w:spacing w:line="360" w:lineRule="exact"/>
              <w:jc w:val="center"/>
              <w:rPr>
                <w:b/>
                <w:color w:val="auto"/>
                <w:sz w:val="24"/>
                <w:highlight w:val="none"/>
              </w:rPr>
            </w:pPr>
            <w:r>
              <w:rPr>
                <w:rFonts w:hAnsi="宋体"/>
                <w:b/>
                <w:color w:val="auto"/>
                <w:sz w:val="24"/>
                <w:highlight w:val="none"/>
              </w:rPr>
              <w:t>单价</w:t>
            </w:r>
          </w:p>
          <w:p w14:paraId="2F61FB84">
            <w:pPr>
              <w:spacing w:line="360" w:lineRule="exact"/>
              <w:jc w:val="center"/>
              <w:rPr>
                <w:b/>
                <w:color w:val="auto"/>
                <w:sz w:val="24"/>
                <w:highlight w:val="none"/>
              </w:rPr>
            </w:pPr>
            <w:r>
              <w:rPr>
                <w:rFonts w:hAnsi="宋体"/>
                <w:b/>
                <w:color w:val="auto"/>
                <w:sz w:val="24"/>
                <w:highlight w:val="none"/>
              </w:rPr>
              <w:t>（元）</w:t>
            </w:r>
          </w:p>
        </w:tc>
        <w:tc>
          <w:tcPr>
            <w:tcW w:w="539" w:type="pct"/>
            <w:vAlign w:val="center"/>
          </w:tcPr>
          <w:p w14:paraId="5CFAD37D">
            <w:pPr>
              <w:spacing w:line="360" w:lineRule="exact"/>
              <w:jc w:val="center"/>
              <w:rPr>
                <w:b/>
                <w:color w:val="auto"/>
                <w:sz w:val="24"/>
                <w:highlight w:val="none"/>
              </w:rPr>
            </w:pPr>
            <w:r>
              <w:rPr>
                <w:rFonts w:hAnsi="宋体"/>
                <w:b/>
                <w:color w:val="auto"/>
                <w:sz w:val="24"/>
                <w:highlight w:val="none"/>
              </w:rPr>
              <w:t>合计</w:t>
            </w:r>
          </w:p>
          <w:p w14:paraId="1D9048C4">
            <w:pPr>
              <w:spacing w:line="360" w:lineRule="exact"/>
              <w:jc w:val="center"/>
              <w:rPr>
                <w:b/>
                <w:color w:val="auto"/>
                <w:sz w:val="24"/>
                <w:highlight w:val="none"/>
              </w:rPr>
            </w:pPr>
            <w:r>
              <w:rPr>
                <w:rFonts w:hAnsi="宋体"/>
                <w:b/>
                <w:color w:val="auto"/>
                <w:sz w:val="24"/>
                <w:highlight w:val="none"/>
              </w:rPr>
              <w:t>（元）</w:t>
            </w:r>
          </w:p>
        </w:tc>
      </w:tr>
      <w:tr w14:paraId="4F709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414" w:type="pct"/>
            <w:vAlign w:val="center"/>
          </w:tcPr>
          <w:p w14:paraId="2C3E2EDE">
            <w:pPr>
              <w:spacing w:line="360" w:lineRule="exact"/>
              <w:jc w:val="center"/>
              <w:rPr>
                <w:rFonts w:hAnsi="宋体"/>
                <w:color w:val="auto"/>
                <w:sz w:val="24"/>
                <w:highlight w:val="none"/>
              </w:rPr>
            </w:pPr>
          </w:p>
        </w:tc>
        <w:tc>
          <w:tcPr>
            <w:tcW w:w="1243" w:type="pct"/>
            <w:vAlign w:val="center"/>
          </w:tcPr>
          <w:p w14:paraId="6898BAB6">
            <w:pPr>
              <w:spacing w:line="360" w:lineRule="exact"/>
              <w:jc w:val="center"/>
              <w:rPr>
                <w:rFonts w:hAnsi="宋体"/>
                <w:color w:val="auto"/>
                <w:sz w:val="24"/>
                <w:highlight w:val="none"/>
              </w:rPr>
            </w:pPr>
          </w:p>
        </w:tc>
        <w:tc>
          <w:tcPr>
            <w:tcW w:w="1789" w:type="pct"/>
            <w:vAlign w:val="center"/>
          </w:tcPr>
          <w:p w14:paraId="463FBD92">
            <w:pPr>
              <w:spacing w:line="360" w:lineRule="exact"/>
              <w:jc w:val="center"/>
              <w:rPr>
                <w:rFonts w:hAnsi="宋体"/>
                <w:color w:val="auto"/>
                <w:sz w:val="24"/>
                <w:highlight w:val="none"/>
              </w:rPr>
            </w:pPr>
          </w:p>
        </w:tc>
        <w:tc>
          <w:tcPr>
            <w:tcW w:w="538" w:type="pct"/>
            <w:vAlign w:val="center"/>
          </w:tcPr>
          <w:p w14:paraId="165861A2">
            <w:pPr>
              <w:spacing w:line="360" w:lineRule="exact"/>
              <w:jc w:val="center"/>
              <w:rPr>
                <w:rFonts w:hAnsi="宋体"/>
                <w:color w:val="auto"/>
                <w:sz w:val="24"/>
                <w:highlight w:val="none"/>
              </w:rPr>
            </w:pPr>
          </w:p>
        </w:tc>
        <w:tc>
          <w:tcPr>
            <w:tcW w:w="477" w:type="pct"/>
            <w:vAlign w:val="center"/>
          </w:tcPr>
          <w:p w14:paraId="57A6444A">
            <w:pPr>
              <w:widowControl/>
              <w:spacing w:line="360" w:lineRule="exact"/>
              <w:jc w:val="center"/>
              <w:rPr>
                <w:color w:val="auto"/>
                <w:sz w:val="24"/>
                <w:highlight w:val="none"/>
              </w:rPr>
            </w:pPr>
          </w:p>
        </w:tc>
        <w:tc>
          <w:tcPr>
            <w:tcW w:w="539" w:type="pct"/>
            <w:vAlign w:val="center"/>
          </w:tcPr>
          <w:p w14:paraId="2096ACD1">
            <w:pPr>
              <w:widowControl/>
              <w:spacing w:line="360" w:lineRule="exact"/>
              <w:jc w:val="center"/>
              <w:rPr>
                <w:color w:val="auto"/>
                <w:sz w:val="24"/>
                <w:highlight w:val="none"/>
              </w:rPr>
            </w:pPr>
          </w:p>
        </w:tc>
      </w:tr>
      <w:tr w14:paraId="6BD92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414" w:type="pct"/>
            <w:vAlign w:val="center"/>
          </w:tcPr>
          <w:p w14:paraId="2C742352">
            <w:pPr>
              <w:spacing w:line="360" w:lineRule="exact"/>
              <w:jc w:val="center"/>
              <w:rPr>
                <w:rFonts w:hAnsi="宋体"/>
                <w:color w:val="auto"/>
                <w:sz w:val="24"/>
                <w:highlight w:val="none"/>
              </w:rPr>
            </w:pPr>
          </w:p>
        </w:tc>
        <w:tc>
          <w:tcPr>
            <w:tcW w:w="1243" w:type="pct"/>
            <w:vAlign w:val="center"/>
          </w:tcPr>
          <w:p w14:paraId="7E7BD11C">
            <w:pPr>
              <w:spacing w:line="360" w:lineRule="exact"/>
              <w:jc w:val="center"/>
              <w:rPr>
                <w:rFonts w:hAnsi="宋体"/>
                <w:color w:val="auto"/>
                <w:sz w:val="24"/>
                <w:highlight w:val="none"/>
              </w:rPr>
            </w:pPr>
          </w:p>
        </w:tc>
        <w:tc>
          <w:tcPr>
            <w:tcW w:w="1789" w:type="pct"/>
            <w:vAlign w:val="center"/>
          </w:tcPr>
          <w:p w14:paraId="6F121495">
            <w:pPr>
              <w:spacing w:line="360" w:lineRule="exact"/>
              <w:jc w:val="center"/>
              <w:rPr>
                <w:rFonts w:hAnsi="宋体"/>
                <w:color w:val="auto"/>
                <w:sz w:val="24"/>
                <w:highlight w:val="none"/>
              </w:rPr>
            </w:pPr>
          </w:p>
        </w:tc>
        <w:tc>
          <w:tcPr>
            <w:tcW w:w="538" w:type="pct"/>
            <w:vAlign w:val="center"/>
          </w:tcPr>
          <w:p w14:paraId="23AC8A3F">
            <w:pPr>
              <w:spacing w:line="360" w:lineRule="exact"/>
              <w:jc w:val="center"/>
              <w:rPr>
                <w:rFonts w:hAnsi="宋体"/>
                <w:color w:val="auto"/>
                <w:sz w:val="24"/>
                <w:highlight w:val="none"/>
              </w:rPr>
            </w:pPr>
          </w:p>
        </w:tc>
        <w:tc>
          <w:tcPr>
            <w:tcW w:w="477" w:type="pct"/>
            <w:vAlign w:val="center"/>
          </w:tcPr>
          <w:p w14:paraId="2D405EF1">
            <w:pPr>
              <w:spacing w:line="360" w:lineRule="exact"/>
              <w:jc w:val="center"/>
              <w:rPr>
                <w:color w:val="auto"/>
                <w:sz w:val="24"/>
                <w:highlight w:val="none"/>
              </w:rPr>
            </w:pPr>
          </w:p>
        </w:tc>
        <w:tc>
          <w:tcPr>
            <w:tcW w:w="539" w:type="pct"/>
            <w:vAlign w:val="center"/>
          </w:tcPr>
          <w:p w14:paraId="1987050A">
            <w:pPr>
              <w:widowControl/>
              <w:spacing w:line="360" w:lineRule="exact"/>
              <w:jc w:val="center"/>
              <w:rPr>
                <w:color w:val="auto"/>
                <w:sz w:val="24"/>
                <w:highlight w:val="none"/>
              </w:rPr>
            </w:pPr>
          </w:p>
        </w:tc>
      </w:tr>
      <w:tr w14:paraId="28C51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5" w:hRule="atLeast"/>
          <w:jc w:val="center"/>
        </w:trPr>
        <w:tc>
          <w:tcPr>
            <w:tcW w:w="4461" w:type="pct"/>
            <w:gridSpan w:val="5"/>
            <w:vAlign w:val="center"/>
          </w:tcPr>
          <w:p w14:paraId="03D505EE">
            <w:pPr>
              <w:spacing w:line="360" w:lineRule="exact"/>
              <w:jc w:val="center"/>
              <w:rPr>
                <w:b/>
                <w:color w:val="auto"/>
                <w:sz w:val="24"/>
                <w:highlight w:val="none"/>
              </w:rPr>
            </w:pPr>
            <w:r>
              <w:rPr>
                <w:rFonts w:hAnsi="宋体"/>
                <w:b/>
                <w:color w:val="auto"/>
                <w:sz w:val="24"/>
                <w:highlight w:val="none"/>
              </w:rPr>
              <w:t>合计：</w:t>
            </w:r>
            <w:r>
              <w:rPr>
                <w:rFonts w:hint="eastAsia" w:hAnsi="宋体"/>
                <w:b/>
                <w:color w:val="auto"/>
                <w:sz w:val="24"/>
                <w:highlight w:val="none"/>
              </w:rPr>
              <w:t>人民币 元整</w:t>
            </w:r>
          </w:p>
        </w:tc>
        <w:tc>
          <w:tcPr>
            <w:tcW w:w="539" w:type="pct"/>
            <w:vAlign w:val="center"/>
          </w:tcPr>
          <w:p w14:paraId="1E511CA8">
            <w:pPr>
              <w:spacing w:line="360" w:lineRule="exact"/>
              <w:jc w:val="center"/>
              <w:rPr>
                <w:color w:val="auto"/>
                <w:sz w:val="24"/>
                <w:highlight w:val="none"/>
              </w:rPr>
            </w:pPr>
            <w:r>
              <w:rPr>
                <w:rFonts w:hint="eastAsia"/>
                <w:color w:val="auto"/>
                <w:sz w:val="24"/>
                <w:highlight w:val="none"/>
              </w:rPr>
              <w:t xml:space="preserve"> </w:t>
            </w:r>
          </w:p>
        </w:tc>
      </w:tr>
      <w:permEnd w:id="29"/>
    </w:tbl>
    <w:p w14:paraId="57FEFD50">
      <w:pPr>
        <w:spacing w:line="360" w:lineRule="auto"/>
        <w:rPr>
          <w:rFonts w:hAnsi="宋体"/>
          <w:b/>
          <w:color w:val="auto"/>
          <w:sz w:val="30"/>
          <w:szCs w:val="30"/>
          <w:highlight w:val="none"/>
        </w:rPr>
      </w:pPr>
    </w:p>
    <w:p w14:paraId="48B3E5A7">
      <w:pPr>
        <w:spacing w:line="360" w:lineRule="auto"/>
        <w:rPr>
          <w:b/>
          <w:color w:val="auto"/>
          <w:sz w:val="30"/>
          <w:szCs w:val="30"/>
          <w:highlight w:val="none"/>
        </w:rPr>
      </w:pPr>
      <w:r>
        <w:rPr>
          <w:rFonts w:hAnsi="宋体"/>
          <w:b/>
          <w:color w:val="auto"/>
          <w:sz w:val="30"/>
          <w:szCs w:val="30"/>
          <w:highlight w:val="none"/>
        </w:rPr>
        <w:br w:type="page"/>
      </w:r>
      <w:r>
        <w:rPr>
          <w:rFonts w:hAnsi="宋体"/>
          <w:b/>
          <w:color w:val="auto"/>
          <w:sz w:val="30"/>
          <w:szCs w:val="30"/>
          <w:highlight w:val="none"/>
        </w:rPr>
        <w:t>附件二</w:t>
      </w:r>
    </w:p>
    <w:p w14:paraId="387E042C">
      <w:pPr>
        <w:spacing w:line="360" w:lineRule="auto"/>
        <w:ind w:firstLine="3915" w:firstLineChars="1300"/>
        <w:rPr>
          <w:b/>
          <w:bCs/>
          <w:color w:val="auto"/>
          <w:sz w:val="30"/>
          <w:szCs w:val="30"/>
          <w:highlight w:val="none"/>
        </w:rPr>
      </w:pPr>
      <w:r>
        <w:rPr>
          <w:rFonts w:hAnsi="宋体"/>
          <w:b/>
          <w:bCs/>
          <w:color w:val="auto"/>
          <w:sz w:val="30"/>
          <w:szCs w:val="30"/>
          <w:highlight w:val="none"/>
        </w:rPr>
        <w:t>货物主要技术参数</w:t>
      </w:r>
      <w:permStart w:id="30" w:edGrp="everyone"/>
    </w:p>
    <w:tbl>
      <w:tblPr>
        <w:tblStyle w:val="15"/>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57"/>
        <w:gridCol w:w="1307"/>
        <w:gridCol w:w="7304"/>
      </w:tblGrid>
      <w:tr w14:paraId="502F1D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04" w:type="pct"/>
            <w:vAlign w:val="center"/>
          </w:tcPr>
          <w:p w14:paraId="5572D0EB">
            <w:pPr>
              <w:spacing w:line="360" w:lineRule="exact"/>
              <w:jc w:val="center"/>
              <w:rPr>
                <w:rFonts w:hAnsi="宋体"/>
                <w:b/>
                <w:color w:val="auto"/>
                <w:sz w:val="24"/>
                <w:highlight w:val="none"/>
              </w:rPr>
            </w:pPr>
            <w:r>
              <w:rPr>
                <w:rFonts w:hint="eastAsia" w:hAnsi="宋体"/>
                <w:b/>
                <w:color w:val="auto"/>
                <w:sz w:val="24"/>
                <w:highlight w:val="none"/>
              </w:rPr>
              <w:t>序号</w:t>
            </w:r>
          </w:p>
        </w:tc>
        <w:tc>
          <w:tcPr>
            <w:tcW w:w="713" w:type="pct"/>
            <w:vAlign w:val="center"/>
          </w:tcPr>
          <w:p w14:paraId="30C5A568">
            <w:pPr>
              <w:spacing w:line="360" w:lineRule="exact"/>
              <w:jc w:val="center"/>
              <w:rPr>
                <w:b/>
                <w:color w:val="auto"/>
                <w:sz w:val="24"/>
                <w:highlight w:val="none"/>
              </w:rPr>
            </w:pPr>
            <w:r>
              <w:rPr>
                <w:rFonts w:hAnsi="宋体"/>
                <w:b/>
                <w:color w:val="auto"/>
                <w:sz w:val="24"/>
                <w:highlight w:val="none"/>
              </w:rPr>
              <w:t>货物</w:t>
            </w:r>
          </w:p>
          <w:p w14:paraId="29675F0C">
            <w:pPr>
              <w:spacing w:line="360" w:lineRule="exact"/>
              <w:jc w:val="center"/>
              <w:rPr>
                <w:b/>
                <w:color w:val="auto"/>
                <w:sz w:val="24"/>
                <w:highlight w:val="none"/>
              </w:rPr>
            </w:pPr>
            <w:r>
              <w:rPr>
                <w:rFonts w:hAnsi="宋体"/>
                <w:b/>
                <w:color w:val="auto"/>
                <w:sz w:val="24"/>
                <w:highlight w:val="none"/>
              </w:rPr>
              <w:t>名称</w:t>
            </w:r>
          </w:p>
        </w:tc>
        <w:tc>
          <w:tcPr>
            <w:tcW w:w="3983" w:type="pct"/>
            <w:vAlign w:val="center"/>
          </w:tcPr>
          <w:p w14:paraId="7DB62825">
            <w:pPr>
              <w:spacing w:line="360" w:lineRule="exact"/>
              <w:jc w:val="center"/>
              <w:rPr>
                <w:b/>
                <w:color w:val="auto"/>
                <w:sz w:val="24"/>
                <w:highlight w:val="none"/>
              </w:rPr>
            </w:pPr>
            <w:r>
              <w:rPr>
                <w:rFonts w:hAnsi="宋体"/>
                <w:b/>
                <w:color w:val="auto"/>
                <w:sz w:val="24"/>
                <w:highlight w:val="none"/>
              </w:rPr>
              <w:t>技术参数</w:t>
            </w:r>
          </w:p>
        </w:tc>
      </w:tr>
      <w:tr w14:paraId="0353E4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04" w:type="pct"/>
            <w:vAlign w:val="center"/>
          </w:tcPr>
          <w:p w14:paraId="3A78C273">
            <w:pPr>
              <w:spacing w:line="360" w:lineRule="exact"/>
              <w:jc w:val="center"/>
              <w:rPr>
                <w:rFonts w:hAnsi="宋体"/>
                <w:b/>
                <w:color w:val="auto"/>
                <w:sz w:val="24"/>
                <w:highlight w:val="none"/>
              </w:rPr>
            </w:pPr>
          </w:p>
        </w:tc>
        <w:tc>
          <w:tcPr>
            <w:tcW w:w="713" w:type="pct"/>
            <w:vAlign w:val="center"/>
          </w:tcPr>
          <w:p w14:paraId="45C87EC2">
            <w:pPr>
              <w:spacing w:line="360" w:lineRule="exact"/>
              <w:jc w:val="center"/>
              <w:rPr>
                <w:rFonts w:hAnsi="宋体"/>
                <w:b/>
                <w:color w:val="auto"/>
                <w:sz w:val="24"/>
                <w:highlight w:val="none"/>
              </w:rPr>
            </w:pPr>
          </w:p>
        </w:tc>
        <w:tc>
          <w:tcPr>
            <w:tcW w:w="3983" w:type="pct"/>
            <w:vAlign w:val="center"/>
          </w:tcPr>
          <w:p w14:paraId="37B3AF2B">
            <w:pPr>
              <w:spacing w:line="360" w:lineRule="exact"/>
              <w:rPr>
                <w:b/>
                <w:color w:val="auto"/>
                <w:sz w:val="24"/>
                <w:highlight w:val="none"/>
              </w:rPr>
            </w:pPr>
          </w:p>
        </w:tc>
      </w:tr>
      <w:tr w14:paraId="4C6504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04" w:type="pct"/>
            <w:vAlign w:val="center"/>
          </w:tcPr>
          <w:p w14:paraId="4472FC10">
            <w:pPr>
              <w:spacing w:line="360" w:lineRule="exact"/>
              <w:jc w:val="center"/>
              <w:rPr>
                <w:rFonts w:hAnsi="宋体"/>
                <w:b/>
                <w:color w:val="auto"/>
                <w:sz w:val="24"/>
                <w:highlight w:val="none"/>
              </w:rPr>
            </w:pPr>
          </w:p>
        </w:tc>
        <w:tc>
          <w:tcPr>
            <w:tcW w:w="713" w:type="pct"/>
            <w:vAlign w:val="center"/>
          </w:tcPr>
          <w:p w14:paraId="0A3CD6AC">
            <w:pPr>
              <w:spacing w:line="360" w:lineRule="exact"/>
              <w:jc w:val="center"/>
              <w:rPr>
                <w:rFonts w:hAnsi="宋体"/>
                <w:b/>
                <w:color w:val="auto"/>
                <w:sz w:val="24"/>
                <w:highlight w:val="none"/>
              </w:rPr>
            </w:pPr>
          </w:p>
        </w:tc>
        <w:tc>
          <w:tcPr>
            <w:tcW w:w="3983" w:type="pct"/>
            <w:vAlign w:val="center"/>
          </w:tcPr>
          <w:p w14:paraId="5B043B55">
            <w:pPr>
              <w:spacing w:line="360" w:lineRule="exact"/>
              <w:jc w:val="left"/>
              <w:rPr>
                <w:b/>
                <w:color w:val="auto"/>
                <w:sz w:val="24"/>
                <w:highlight w:val="none"/>
              </w:rPr>
            </w:pPr>
          </w:p>
        </w:tc>
      </w:tr>
      <w:permEnd w:id="30"/>
    </w:tbl>
    <w:p w14:paraId="5A5FB81A">
      <w:pPr>
        <w:rPr>
          <w:b/>
          <w:bCs/>
          <w:color w:val="auto"/>
          <w:sz w:val="30"/>
          <w:szCs w:val="30"/>
          <w:highlight w:val="none"/>
        </w:rPr>
      </w:pPr>
    </w:p>
    <w:p w14:paraId="25269C88">
      <w:pPr>
        <w:rPr>
          <w:b/>
          <w:bCs/>
          <w:color w:val="auto"/>
          <w:sz w:val="30"/>
          <w:szCs w:val="30"/>
          <w:highlight w:val="none"/>
        </w:rPr>
      </w:pPr>
      <w:r>
        <w:rPr>
          <w:rFonts w:hAnsi="宋体"/>
          <w:b/>
          <w:bCs/>
          <w:color w:val="auto"/>
          <w:sz w:val="30"/>
          <w:szCs w:val="30"/>
          <w:highlight w:val="none"/>
        </w:rPr>
        <w:br w:type="page"/>
      </w:r>
      <w:r>
        <w:rPr>
          <w:rFonts w:hAnsi="宋体"/>
          <w:b/>
          <w:bCs/>
          <w:color w:val="auto"/>
          <w:sz w:val="30"/>
          <w:szCs w:val="30"/>
          <w:highlight w:val="none"/>
        </w:rPr>
        <w:t>附件三</w:t>
      </w:r>
      <w:r>
        <w:rPr>
          <w:b/>
          <w:bCs/>
          <w:color w:val="auto"/>
          <w:sz w:val="30"/>
          <w:szCs w:val="30"/>
          <w:highlight w:val="none"/>
        </w:rPr>
        <w:t xml:space="preserve">            </w:t>
      </w:r>
    </w:p>
    <w:p w14:paraId="554FD423">
      <w:pPr>
        <w:ind w:firstLine="3605" w:firstLineChars="1197"/>
        <w:rPr>
          <w:b/>
          <w:bCs/>
          <w:color w:val="auto"/>
          <w:sz w:val="30"/>
          <w:szCs w:val="30"/>
          <w:highlight w:val="none"/>
        </w:rPr>
      </w:pPr>
      <w:r>
        <w:rPr>
          <w:rFonts w:hAnsi="宋体"/>
          <w:b/>
          <w:bCs/>
          <w:color w:val="auto"/>
          <w:sz w:val="30"/>
          <w:szCs w:val="30"/>
          <w:highlight w:val="none"/>
        </w:rPr>
        <w:t>售后服务计划书</w:t>
      </w:r>
    </w:p>
    <w:p w14:paraId="728A2E89">
      <w:pPr>
        <w:rPr>
          <w:b/>
          <w:color w:val="auto"/>
          <w:sz w:val="30"/>
          <w:szCs w:val="30"/>
          <w:highlight w:val="none"/>
        </w:rPr>
      </w:pPr>
    </w:p>
    <w:p w14:paraId="3A282638">
      <w:pPr>
        <w:spacing w:line="360" w:lineRule="auto"/>
        <w:ind w:left="361" w:leftChars="164" w:firstLine="560" w:firstLineChars="200"/>
        <w:rPr>
          <w:color w:val="auto"/>
          <w:sz w:val="28"/>
          <w:szCs w:val="28"/>
          <w:highlight w:val="none"/>
        </w:rPr>
      </w:pPr>
      <w:permStart w:id="31" w:edGrp="everyone"/>
      <w:r>
        <w:rPr>
          <w:color w:val="auto"/>
          <w:sz w:val="28"/>
          <w:szCs w:val="28"/>
          <w:highlight w:val="none"/>
        </w:rPr>
        <w:t>1、</w:t>
      </w:r>
    </w:p>
    <w:p w14:paraId="314F1447">
      <w:pPr>
        <w:spacing w:line="360" w:lineRule="auto"/>
        <w:ind w:left="361" w:leftChars="164" w:firstLine="560" w:firstLineChars="200"/>
        <w:rPr>
          <w:color w:val="auto"/>
          <w:sz w:val="28"/>
          <w:szCs w:val="28"/>
          <w:highlight w:val="none"/>
        </w:rPr>
      </w:pPr>
      <w:r>
        <w:rPr>
          <w:color w:val="auto"/>
          <w:sz w:val="28"/>
          <w:szCs w:val="28"/>
          <w:highlight w:val="none"/>
        </w:rPr>
        <w:t>2、</w:t>
      </w:r>
    </w:p>
    <w:p w14:paraId="41C9AAC7">
      <w:pPr>
        <w:spacing w:line="360" w:lineRule="auto"/>
        <w:ind w:left="361" w:leftChars="164" w:firstLine="560" w:firstLineChars="200"/>
        <w:rPr>
          <w:color w:val="auto"/>
          <w:sz w:val="28"/>
          <w:szCs w:val="28"/>
          <w:highlight w:val="none"/>
        </w:rPr>
      </w:pPr>
      <w:r>
        <w:rPr>
          <w:color w:val="auto"/>
          <w:sz w:val="28"/>
          <w:szCs w:val="28"/>
          <w:highlight w:val="none"/>
        </w:rPr>
        <w:t>3、</w:t>
      </w:r>
    </w:p>
    <w:p w14:paraId="70A97CF7">
      <w:pPr>
        <w:spacing w:line="360" w:lineRule="auto"/>
        <w:ind w:left="361" w:leftChars="164" w:firstLine="560" w:firstLineChars="200"/>
        <w:rPr>
          <w:color w:val="auto"/>
          <w:sz w:val="28"/>
          <w:szCs w:val="28"/>
          <w:highlight w:val="none"/>
        </w:rPr>
      </w:pPr>
      <w:r>
        <w:rPr>
          <w:color w:val="auto"/>
          <w:sz w:val="28"/>
          <w:szCs w:val="28"/>
          <w:highlight w:val="none"/>
        </w:rPr>
        <w:t>4、</w:t>
      </w:r>
      <w:r>
        <w:rPr>
          <w:b/>
          <w:color w:val="auto"/>
          <w:sz w:val="28"/>
          <w:szCs w:val="28"/>
          <w:highlight w:val="none"/>
        </w:rPr>
        <w:t xml:space="preserve">售后单位及电话   </w:t>
      </w:r>
    </w:p>
    <w:p w14:paraId="312C066B">
      <w:pPr>
        <w:spacing w:line="360" w:lineRule="auto"/>
        <w:ind w:left="880" w:leftChars="400" w:firstLine="562" w:firstLineChars="200"/>
        <w:rPr>
          <w:color w:val="auto"/>
          <w:sz w:val="28"/>
          <w:highlight w:val="none"/>
        </w:rPr>
      </w:pPr>
      <w:r>
        <w:rPr>
          <w:b/>
          <w:color w:val="auto"/>
          <w:sz w:val="28"/>
          <w:szCs w:val="28"/>
          <w:highlight w:val="none"/>
        </w:rPr>
        <w:t>售后单位名称：</w:t>
      </w:r>
      <w:r>
        <w:rPr>
          <w:color w:val="auto"/>
          <w:sz w:val="28"/>
          <w:szCs w:val="28"/>
          <w:highlight w:val="none"/>
        </w:rPr>
        <w:t xml:space="preserve"> </w:t>
      </w:r>
    </w:p>
    <w:p w14:paraId="00FF05ED">
      <w:pPr>
        <w:spacing w:line="360" w:lineRule="auto"/>
        <w:ind w:left="880" w:leftChars="400" w:firstLine="562" w:firstLineChars="200"/>
        <w:rPr>
          <w:color w:val="auto"/>
          <w:sz w:val="28"/>
          <w:highlight w:val="none"/>
        </w:rPr>
      </w:pPr>
      <w:r>
        <w:rPr>
          <w:b/>
          <w:color w:val="auto"/>
          <w:sz w:val="28"/>
          <w:highlight w:val="none"/>
        </w:rPr>
        <w:t>联系人：</w:t>
      </w:r>
    </w:p>
    <w:p w14:paraId="5292FA69">
      <w:pPr>
        <w:spacing w:line="360" w:lineRule="auto"/>
        <w:ind w:firstLine="1405" w:firstLineChars="500"/>
        <w:rPr>
          <w:color w:val="auto"/>
          <w:sz w:val="28"/>
          <w:szCs w:val="28"/>
          <w:highlight w:val="none"/>
        </w:rPr>
      </w:pPr>
      <w:r>
        <w:rPr>
          <w:b/>
          <w:color w:val="auto"/>
          <w:sz w:val="28"/>
          <w:highlight w:val="none"/>
        </w:rPr>
        <w:t>电  话</w:t>
      </w:r>
      <w:r>
        <w:rPr>
          <w:color w:val="auto"/>
          <w:sz w:val="28"/>
          <w:highlight w:val="none"/>
        </w:rPr>
        <w:t>：</w:t>
      </w:r>
    </w:p>
    <w:permEnd w:id="31"/>
    <w:p w14:paraId="6B9D7984">
      <w:pPr>
        <w:ind w:firstLine="602" w:firstLineChars="200"/>
        <w:rPr>
          <w:b/>
          <w:color w:val="auto"/>
          <w:sz w:val="30"/>
          <w:szCs w:val="30"/>
          <w:highlight w:val="none"/>
        </w:rPr>
      </w:pPr>
      <w:r>
        <w:rPr>
          <w:rFonts w:hAnsi="宋体"/>
          <w:b/>
          <w:color w:val="auto"/>
          <w:sz w:val="30"/>
          <w:szCs w:val="30"/>
          <w:highlight w:val="none"/>
        </w:rPr>
        <w:br w:type="page"/>
      </w:r>
      <w:r>
        <w:rPr>
          <w:rFonts w:hAnsi="宋体"/>
          <w:b/>
          <w:color w:val="auto"/>
          <w:sz w:val="30"/>
          <w:szCs w:val="30"/>
          <w:highlight w:val="none"/>
        </w:rPr>
        <w:t>附件四</w:t>
      </w:r>
    </w:p>
    <w:p w14:paraId="134BAD6C">
      <w:pPr>
        <w:ind w:firstLine="3611" w:firstLineChars="1199"/>
        <w:rPr>
          <w:b/>
          <w:color w:val="auto"/>
          <w:sz w:val="30"/>
          <w:szCs w:val="30"/>
          <w:highlight w:val="none"/>
        </w:rPr>
      </w:pPr>
      <w:r>
        <w:rPr>
          <w:rFonts w:hAnsi="宋体"/>
          <w:b/>
          <w:color w:val="auto"/>
          <w:sz w:val="30"/>
          <w:szCs w:val="30"/>
          <w:highlight w:val="none"/>
        </w:rPr>
        <w:t>到货开箱验收报告</w:t>
      </w:r>
    </w:p>
    <w:p w14:paraId="5948D46F">
      <w:pPr>
        <w:jc w:val="center"/>
        <w:rPr>
          <w:color w:val="auto"/>
          <w:sz w:val="10"/>
          <w:szCs w:val="10"/>
          <w:highlight w:val="none"/>
        </w:rPr>
      </w:pP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8"/>
        <w:gridCol w:w="1345"/>
        <w:gridCol w:w="2246"/>
        <w:gridCol w:w="2619"/>
        <w:gridCol w:w="1258"/>
        <w:gridCol w:w="1378"/>
      </w:tblGrid>
      <w:tr w14:paraId="66A07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exact"/>
          <w:jc w:val="center"/>
        </w:trPr>
        <w:tc>
          <w:tcPr>
            <w:tcW w:w="2163" w:type="dxa"/>
            <w:gridSpan w:val="2"/>
            <w:tcBorders>
              <w:top w:val="single" w:color="auto" w:sz="4" w:space="0"/>
              <w:left w:val="single" w:color="auto" w:sz="4" w:space="0"/>
              <w:bottom w:val="single" w:color="auto" w:sz="4" w:space="0"/>
              <w:right w:val="single" w:color="auto" w:sz="4" w:space="0"/>
            </w:tcBorders>
            <w:vAlign w:val="center"/>
          </w:tcPr>
          <w:p w14:paraId="5A0A9C1C">
            <w:pPr>
              <w:jc w:val="center"/>
              <w:rPr>
                <w:color w:val="auto"/>
                <w:sz w:val="24"/>
                <w:highlight w:val="none"/>
              </w:rPr>
            </w:pPr>
            <w:permStart w:id="32" w:edGrp="everyone" w:colFirst="1" w:colLast="1"/>
            <w:r>
              <w:rPr>
                <w:rFonts w:hAnsi="宋体"/>
                <w:color w:val="auto"/>
                <w:sz w:val="24"/>
                <w:highlight w:val="none"/>
              </w:rPr>
              <w:t>供应商</w:t>
            </w:r>
          </w:p>
        </w:tc>
        <w:tc>
          <w:tcPr>
            <w:tcW w:w="7501" w:type="dxa"/>
            <w:gridSpan w:val="4"/>
            <w:tcBorders>
              <w:top w:val="single" w:color="auto" w:sz="4" w:space="0"/>
              <w:left w:val="single" w:color="auto" w:sz="4" w:space="0"/>
              <w:bottom w:val="single" w:color="auto" w:sz="4" w:space="0"/>
              <w:right w:val="single" w:color="auto" w:sz="4" w:space="0"/>
            </w:tcBorders>
            <w:vAlign w:val="center"/>
          </w:tcPr>
          <w:p w14:paraId="6413CCB0">
            <w:pPr>
              <w:jc w:val="center"/>
              <w:rPr>
                <w:color w:val="auto"/>
                <w:sz w:val="24"/>
                <w:highlight w:val="none"/>
              </w:rPr>
            </w:pPr>
          </w:p>
        </w:tc>
      </w:tr>
      <w:permEnd w:id="32"/>
      <w:tr w14:paraId="32BEE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exact"/>
          <w:jc w:val="center"/>
        </w:trPr>
        <w:tc>
          <w:tcPr>
            <w:tcW w:w="2163" w:type="dxa"/>
            <w:gridSpan w:val="2"/>
            <w:tcBorders>
              <w:top w:val="single" w:color="auto" w:sz="4" w:space="0"/>
              <w:left w:val="single" w:color="auto" w:sz="4" w:space="0"/>
              <w:bottom w:val="single" w:color="auto" w:sz="4" w:space="0"/>
              <w:right w:val="single" w:color="auto" w:sz="4" w:space="0"/>
            </w:tcBorders>
            <w:vAlign w:val="center"/>
          </w:tcPr>
          <w:p w14:paraId="3551680E">
            <w:pPr>
              <w:jc w:val="center"/>
              <w:rPr>
                <w:color w:val="auto"/>
                <w:sz w:val="24"/>
                <w:highlight w:val="none"/>
              </w:rPr>
            </w:pPr>
            <w:permStart w:id="33" w:edGrp="everyone" w:colFirst="1" w:colLast="1"/>
            <w:r>
              <w:rPr>
                <w:rFonts w:hAnsi="宋体"/>
                <w:color w:val="auto"/>
                <w:sz w:val="24"/>
                <w:highlight w:val="none"/>
              </w:rPr>
              <w:t>使用单位</w:t>
            </w:r>
          </w:p>
        </w:tc>
        <w:tc>
          <w:tcPr>
            <w:tcW w:w="7501" w:type="dxa"/>
            <w:gridSpan w:val="4"/>
            <w:tcBorders>
              <w:top w:val="single" w:color="auto" w:sz="4" w:space="0"/>
              <w:left w:val="single" w:color="auto" w:sz="4" w:space="0"/>
              <w:bottom w:val="single" w:color="auto" w:sz="4" w:space="0"/>
              <w:right w:val="single" w:color="auto" w:sz="4" w:space="0"/>
            </w:tcBorders>
            <w:vAlign w:val="center"/>
          </w:tcPr>
          <w:p w14:paraId="0F11A3A0">
            <w:pPr>
              <w:jc w:val="center"/>
              <w:rPr>
                <w:color w:val="auto"/>
                <w:sz w:val="24"/>
                <w:highlight w:val="none"/>
              </w:rPr>
            </w:pPr>
          </w:p>
        </w:tc>
      </w:tr>
      <w:permEnd w:id="33"/>
      <w:tr w14:paraId="7F5A6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exact"/>
          <w:jc w:val="center"/>
        </w:trPr>
        <w:tc>
          <w:tcPr>
            <w:tcW w:w="2163" w:type="dxa"/>
            <w:gridSpan w:val="2"/>
            <w:tcBorders>
              <w:top w:val="single" w:color="auto" w:sz="4" w:space="0"/>
              <w:left w:val="single" w:color="auto" w:sz="4" w:space="0"/>
              <w:bottom w:val="single" w:color="auto" w:sz="4" w:space="0"/>
              <w:right w:val="single" w:color="auto" w:sz="4" w:space="0"/>
            </w:tcBorders>
            <w:vAlign w:val="center"/>
          </w:tcPr>
          <w:p w14:paraId="6209A5F5">
            <w:pPr>
              <w:jc w:val="center"/>
              <w:rPr>
                <w:color w:val="auto"/>
                <w:sz w:val="24"/>
                <w:highlight w:val="none"/>
              </w:rPr>
            </w:pPr>
            <w:permStart w:id="34" w:edGrp="everyone" w:colFirst="1" w:colLast="1"/>
            <w:permStart w:id="35" w:edGrp="everyone" w:colFirst="3" w:colLast="3"/>
            <w:r>
              <w:rPr>
                <w:rFonts w:hAnsi="宋体"/>
                <w:color w:val="auto"/>
                <w:sz w:val="24"/>
                <w:highlight w:val="none"/>
              </w:rPr>
              <w:t>合同号</w:t>
            </w:r>
          </w:p>
        </w:tc>
        <w:tc>
          <w:tcPr>
            <w:tcW w:w="2246" w:type="dxa"/>
            <w:tcBorders>
              <w:top w:val="single" w:color="auto" w:sz="4" w:space="0"/>
              <w:left w:val="single" w:color="auto" w:sz="4" w:space="0"/>
              <w:bottom w:val="single" w:color="auto" w:sz="4" w:space="0"/>
              <w:right w:val="single" w:color="auto" w:sz="4" w:space="0"/>
            </w:tcBorders>
            <w:vAlign w:val="center"/>
          </w:tcPr>
          <w:p w14:paraId="27309B2C">
            <w:pPr>
              <w:jc w:val="center"/>
              <w:rPr>
                <w:color w:val="auto"/>
                <w:sz w:val="24"/>
                <w:highlight w:val="none"/>
              </w:rPr>
            </w:pPr>
          </w:p>
        </w:tc>
        <w:tc>
          <w:tcPr>
            <w:tcW w:w="2619" w:type="dxa"/>
            <w:tcBorders>
              <w:top w:val="single" w:color="auto" w:sz="4" w:space="0"/>
              <w:left w:val="single" w:color="auto" w:sz="4" w:space="0"/>
              <w:bottom w:val="single" w:color="auto" w:sz="4" w:space="0"/>
              <w:right w:val="single" w:color="auto" w:sz="4" w:space="0"/>
            </w:tcBorders>
            <w:vAlign w:val="center"/>
          </w:tcPr>
          <w:p w14:paraId="0EBDA16F">
            <w:pPr>
              <w:jc w:val="center"/>
              <w:rPr>
                <w:color w:val="auto"/>
                <w:sz w:val="24"/>
                <w:highlight w:val="none"/>
              </w:rPr>
            </w:pPr>
            <w:r>
              <w:rPr>
                <w:rFonts w:hAnsi="宋体"/>
                <w:color w:val="auto"/>
                <w:sz w:val="24"/>
                <w:highlight w:val="none"/>
              </w:rPr>
              <w:t>主要货物名称</w:t>
            </w:r>
          </w:p>
        </w:tc>
        <w:tc>
          <w:tcPr>
            <w:tcW w:w="2636" w:type="dxa"/>
            <w:gridSpan w:val="2"/>
            <w:tcBorders>
              <w:top w:val="single" w:color="auto" w:sz="4" w:space="0"/>
              <w:left w:val="single" w:color="auto" w:sz="4" w:space="0"/>
              <w:bottom w:val="single" w:color="auto" w:sz="4" w:space="0"/>
              <w:right w:val="single" w:color="auto" w:sz="4" w:space="0"/>
            </w:tcBorders>
            <w:vAlign w:val="center"/>
          </w:tcPr>
          <w:p w14:paraId="1BE6C684">
            <w:pPr>
              <w:jc w:val="center"/>
              <w:rPr>
                <w:color w:val="auto"/>
                <w:sz w:val="24"/>
                <w:highlight w:val="none"/>
              </w:rPr>
            </w:pPr>
          </w:p>
        </w:tc>
      </w:tr>
      <w:permEnd w:id="34"/>
      <w:permEnd w:id="35"/>
      <w:tr w14:paraId="7380C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3" w:hRule="exact"/>
          <w:jc w:val="center"/>
        </w:trPr>
        <w:tc>
          <w:tcPr>
            <w:tcW w:w="2163" w:type="dxa"/>
            <w:gridSpan w:val="2"/>
            <w:tcBorders>
              <w:top w:val="single" w:color="auto" w:sz="4" w:space="0"/>
              <w:left w:val="single" w:color="auto" w:sz="4" w:space="0"/>
              <w:bottom w:val="single" w:color="auto" w:sz="4" w:space="0"/>
              <w:right w:val="single" w:color="auto" w:sz="4" w:space="0"/>
            </w:tcBorders>
            <w:vAlign w:val="center"/>
          </w:tcPr>
          <w:p w14:paraId="4A8892C3">
            <w:pPr>
              <w:jc w:val="center"/>
              <w:rPr>
                <w:color w:val="auto"/>
                <w:sz w:val="24"/>
                <w:highlight w:val="none"/>
              </w:rPr>
            </w:pPr>
            <w:permStart w:id="36" w:edGrp="everyone" w:colFirst="1" w:colLast="1"/>
            <w:permStart w:id="37" w:edGrp="everyone" w:colFirst="3" w:colLast="3"/>
            <w:r>
              <w:rPr>
                <w:rFonts w:hAnsi="宋体"/>
                <w:color w:val="auto"/>
                <w:sz w:val="24"/>
                <w:highlight w:val="none"/>
              </w:rPr>
              <w:t>合同规定</w:t>
            </w:r>
          </w:p>
          <w:p w14:paraId="7473206C">
            <w:pPr>
              <w:jc w:val="center"/>
              <w:rPr>
                <w:color w:val="auto"/>
                <w:sz w:val="24"/>
                <w:highlight w:val="none"/>
              </w:rPr>
            </w:pPr>
            <w:r>
              <w:rPr>
                <w:rFonts w:hAnsi="宋体"/>
                <w:color w:val="auto"/>
                <w:sz w:val="24"/>
                <w:highlight w:val="none"/>
              </w:rPr>
              <w:t>到货日期</w:t>
            </w:r>
          </w:p>
        </w:tc>
        <w:tc>
          <w:tcPr>
            <w:tcW w:w="2246" w:type="dxa"/>
            <w:tcBorders>
              <w:top w:val="single" w:color="auto" w:sz="4" w:space="0"/>
              <w:left w:val="single" w:color="auto" w:sz="4" w:space="0"/>
              <w:bottom w:val="single" w:color="auto" w:sz="4" w:space="0"/>
              <w:right w:val="single" w:color="auto" w:sz="4" w:space="0"/>
            </w:tcBorders>
            <w:vAlign w:val="center"/>
          </w:tcPr>
          <w:p w14:paraId="7FAFCA6A">
            <w:pPr>
              <w:jc w:val="center"/>
              <w:rPr>
                <w:color w:val="auto"/>
                <w:sz w:val="24"/>
                <w:highlight w:val="none"/>
              </w:rPr>
            </w:pPr>
          </w:p>
        </w:tc>
        <w:tc>
          <w:tcPr>
            <w:tcW w:w="2619" w:type="dxa"/>
            <w:tcBorders>
              <w:top w:val="single" w:color="auto" w:sz="4" w:space="0"/>
              <w:left w:val="single" w:color="auto" w:sz="4" w:space="0"/>
              <w:bottom w:val="single" w:color="auto" w:sz="4" w:space="0"/>
              <w:right w:val="single" w:color="auto" w:sz="4" w:space="0"/>
            </w:tcBorders>
            <w:vAlign w:val="center"/>
          </w:tcPr>
          <w:p w14:paraId="15F53607">
            <w:pPr>
              <w:jc w:val="center"/>
              <w:rPr>
                <w:color w:val="auto"/>
                <w:sz w:val="24"/>
                <w:highlight w:val="none"/>
              </w:rPr>
            </w:pPr>
            <w:r>
              <w:rPr>
                <w:rFonts w:hAnsi="宋体"/>
                <w:color w:val="auto"/>
                <w:sz w:val="24"/>
                <w:highlight w:val="none"/>
              </w:rPr>
              <w:t>实际到货日期</w:t>
            </w:r>
          </w:p>
          <w:p w14:paraId="7B266535">
            <w:pPr>
              <w:jc w:val="center"/>
              <w:rPr>
                <w:color w:val="auto"/>
                <w:sz w:val="24"/>
                <w:highlight w:val="none"/>
              </w:rPr>
            </w:pPr>
            <w:r>
              <w:rPr>
                <w:color w:val="auto"/>
                <w:sz w:val="24"/>
                <w:highlight w:val="none"/>
              </w:rPr>
              <w:t>(</w:t>
            </w:r>
            <w:r>
              <w:rPr>
                <w:rFonts w:hint="eastAsia" w:hAnsi="宋体"/>
                <w:color w:val="auto"/>
                <w:sz w:val="24"/>
                <w:highlight w:val="none"/>
              </w:rPr>
              <w:t>由使用单位填写</w:t>
            </w:r>
            <w:r>
              <w:rPr>
                <w:color w:val="auto"/>
                <w:sz w:val="24"/>
                <w:highlight w:val="none"/>
              </w:rPr>
              <w:t>)</w:t>
            </w:r>
          </w:p>
        </w:tc>
        <w:tc>
          <w:tcPr>
            <w:tcW w:w="2636" w:type="dxa"/>
            <w:gridSpan w:val="2"/>
            <w:tcBorders>
              <w:top w:val="single" w:color="auto" w:sz="4" w:space="0"/>
              <w:left w:val="single" w:color="auto" w:sz="4" w:space="0"/>
              <w:bottom w:val="single" w:color="auto" w:sz="4" w:space="0"/>
              <w:right w:val="single" w:color="auto" w:sz="4" w:space="0"/>
            </w:tcBorders>
            <w:vAlign w:val="center"/>
          </w:tcPr>
          <w:p w14:paraId="0B05AB14">
            <w:pPr>
              <w:jc w:val="center"/>
              <w:rPr>
                <w:color w:val="auto"/>
                <w:sz w:val="24"/>
                <w:highlight w:val="none"/>
              </w:rPr>
            </w:pPr>
          </w:p>
        </w:tc>
      </w:tr>
      <w:permEnd w:id="36"/>
      <w:permEnd w:id="37"/>
      <w:tr w14:paraId="57DF6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exact"/>
          <w:jc w:val="center"/>
        </w:trPr>
        <w:tc>
          <w:tcPr>
            <w:tcW w:w="818" w:type="dxa"/>
            <w:vMerge w:val="restart"/>
            <w:tcBorders>
              <w:top w:val="single" w:color="auto" w:sz="4" w:space="0"/>
              <w:left w:val="single" w:color="auto" w:sz="4" w:space="0"/>
              <w:bottom w:val="single" w:color="auto" w:sz="4" w:space="0"/>
              <w:right w:val="single" w:color="auto" w:sz="4" w:space="0"/>
            </w:tcBorders>
            <w:vAlign w:val="center"/>
          </w:tcPr>
          <w:p w14:paraId="2E23CCE8">
            <w:pPr>
              <w:jc w:val="center"/>
              <w:rPr>
                <w:color w:val="auto"/>
                <w:sz w:val="24"/>
                <w:highlight w:val="none"/>
              </w:rPr>
            </w:pPr>
            <w:r>
              <w:rPr>
                <w:rFonts w:hAnsi="宋体"/>
                <w:color w:val="auto"/>
                <w:sz w:val="24"/>
                <w:highlight w:val="none"/>
              </w:rPr>
              <w:t>验收情况说明</w:t>
            </w:r>
          </w:p>
        </w:tc>
        <w:tc>
          <w:tcPr>
            <w:tcW w:w="6210" w:type="dxa"/>
            <w:gridSpan w:val="3"/>
            <w:tcBorders>
              <w:top w:val="single" w:color="auto" w:sz="4" w:space="0"/>
              <w:left w:val="single" w:color="auto" w:sz="4" w:space="0"/>
              <w:bottom w:val="single" w:color="auto" w:sz="4" w:space="0"/>
              <w:right w:val="single" w:color="auto" w:sz="4" w:space="0"/>
            </w:tcBorders>
            <w:vAlign w:val="center"/>
          </w:tcPr>
          <w:p w14:paraId="2E78AB23">
            <w:pPr>
              <w:rPr>
                <w:color w:val="auto"/>
                <w:sz w:val="24"/>
                <w:highlight w:val="none"/>
              </w:rPr>
            </w:pPr>
            <w:r>
              <w:rPr>
                <w:rFonts w:hAnsi="宋体"/>
                <w:color w:val="auto"/>
                <w:sz w:val="24"/>
                <w:highlight w:val="none"/>
              </w:rPr>
              <w:t>外包装情况</w:t>
            </w:r>
          </w:p>
        </w:tc>
        <w:tc>
          <w:tcPr>
            <w:tcW w:w="1258" w:type="dxa"/>
            <w:tcBorders>
              <w:top w:val="single" w:color="auto" w:sz="4" w:space="0"/>
              <w:left w:val="single" w:color="auto" w:sz="4" w:space="0"/>
              <w:bottom w:val="single" w:color="auto" w:sz="4" w:space="0"/>
              <w:right w:val="single" w:color="auto" w:sz="4" w:space="0"/>
            </w:tcBorders>
            <w:vAlign w:val="center"/>
          </w:tcPr>
          <w:p w14:paraId="664A22CC">
            <w:pPr>
              <w:jc w:val="center"/>
              <w:rPr>
                <w:color w:val="auto"/>
                <w:sz w:val="24"/>
                <w:highlight w:val="none"/>
              </w:rPr>
            </w:pPr>
            <w:r>
              <w:rPr>
                <w:rFonts w:hAnsi="宋体"/>
                <w:color w:val="auto"/>
                <w:sz w:val="24"/>
                <w:highlight w:val="none"/>
              </w:rPr>
              <w:t>合格</w:t>
            </w:r>
          </w:p>
        </w:tc>
        <w:tc>
          <w:tcPr>
            <w:tcW w:w="1378" w:type="dxa"/>
            <w:tcBorders>
              <w:top w:val="single" w:color="auto" w:sz="4" w:space="0"/>
              <w:left w:val="single" w:color="auto" w:sz="4" w:space="0"/>
              <w:bottom w:val="single" w:color="auto" w:sz="4" w:space="0"/>
              <w:right w:val="single" w:color="auto" w:sz="4" w:space="0"/>
            </w:tcBorders>
            <w:vAlign w:val="center"/>
          </w:tcPr>
          <w:p w14:paraId="4525D815">
            <w:pPr>
              <w:jc w:val="center"/>
              <w:rPr>
                <w:color w:val="auto"/>
                <w:sz w:val="24"/>
                <w:highlight w:val="none"/>
              </w:rPr>
            </w:pPr>
            <w:r>
              <w:rPr>
                <w:rFonts w:hAnsi="宋体"/>
                <w:color w:val="auto"/>
                <w:sz w:val="24"/>
                <w:highlight w:val="none"/>
              </w:rPr>
              <w:t>不合格</w:t>
            </w:r>
          </w:p>
        </w:tc>
      </w:tr>
      <w:tr w14:paraId="72357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exact"/>
          <w:jc w:val="center"/>
        </w:trPr>
        <w:tc>
          <w:tcPr>
            <w:tcW w:w="818" w:type="dxa"/>
            <w:vMerge w:val="continue"/>
            <w:tcBorders>
              <w:top w:val="single" w:color="auto" w:sz="4" w:space="0"/>
              <w:left w:val="single" w:color="auto" w:sz="4" w:space="0"/>
              <w:bottom w:val="single" w:color="auto" w:sz="4" w:space="0"/>
              <w:right w:val="single" w:color="auto" w:sz="4" w:space="0"/>
            </w:tcBorders>
            <w:vAlign w:val="center"/>
          </w:tcPr>
          <w:p w14:paraId="317E7935">
            <w:pPr>
              <w:widowControl/>
              <w:jc w:val="left"/>
              <w:rPr>
                <w:color w:val="auto"/>
                <w:sz w:val="24"/>
                <w:highlight w:val="none"/>
              </w:rPr>
            </w:pPr>
          </w:p>
        </w:tc>
        <w:tc>
          <w:tcPr>
            <w:tcW w:w="6210" w:type="dxa"/>
            <w:gridSpan w:val="3"/>
            <w:tcBorders>
              <w:top w:val="single" w:color="auto" w:sz="4" w:space="0"/>
              <w:left w:val="single" w:color="auto" w:sz="4" w:space="0"/>
              <w:bottom w:val="single" w:color="auto" w:sz="4" w:space="0"/>
              <w:right w:val="single" w:color="auto" w:sz="4" w:space="0"/>
            </w:tcBorders>
            <w:vAlign w:val="center"/>
          </w:tcPr>
          <w:p w14:paraId="5BFCC26A">
            <w:pPr>
              <w:rPr>
                <w:color w:val="auto"/>
                <w:sz w:val="24"/>
                <w:highlight w:val="none"/>
              </w:rPr>
            </w:pPr>
            <w:r>
              <w:rPr>
                <w:rFonts w:hAnsi="宋体"/>
                <w:color w:val="auto"/>
                <w:sz w:val="24"/>
                <w:highlight w:val="none"/>
              </w:rPr>
              <w:t>说明书、合格证、检验证、使用手册、维护手册、装箱清单等其它技术文档情况</w:t>
            </w:r>
          </w:p>
        </w:tc>
        <w:tc>
          <w:tcPr>
            <w:tcW w:w="1258" w:type="dxa"/>
            <w:tcBorders>
              <w:top w:val="single" w:color="auto" w:sz="4" w:space="0"/>
              <w:left w:val="single" w:color="auto" w:sz="4" w:space="0"/>
              <w:bottom w:val="single" w:color="auto" w:sz="4" w:space="0"/>
              <w:right w:val="single" w:color="auto" w:sz="4" w:space="0"/>
            </w:tcBorders>
            <w:vAlign w:val="center"/>
          </w:tcPr>
          <w:p w14:paraId="0ABB4663">
            <w:pPr>
              <w:jc w:val="center"/>
              <w:rPr>
                <w:color w:val="auto"/>
                <w:sz w:val="24"/>
                <w:highlight w:val="none"/>
              </w:rPr>
            </w:pPr>
            <w:r>
              <w:rPr>
                <w:rFonts w:hAnsi="宋体"/>
                <w:color w:val="auto"/>
                <w:sz w:val="24"/>
                <w:highlight w:val="none"/>
              </w:rPr>
              <w:t>齐全</w:t>
            </w:r>
          </w:p>
        </w:tc>
        <w:tc>
          <w:tcPr>
            <w:tcW w:w="1378" w:type="dxa"/>
            <w:tcBorders>
              <w:top w:val="single" w:color="auto" w:sz="4" w:space="0"/>
              <w:left w:val="single" w:color="auto" w:sz="4" w:space="0"/>
              <w:bottom w:val="single" w:color="auto" w:sz="4" w:space="0"/>
              <w:right w:val="single" w:color="auto" w:sz="4" w:space="0"/>
            </w:tcBorders>
            <w:vAlign w:val="center"/>
          </w:tcPr>
          <w:p w14:paraId="4D87EA54">
            <w:pPr>
              <w:jc w:val="center"/>
              <w:rPr>
                <w:color w:val="auto"/>
                <w:sz w:val="24"/>
                <w:highlight w:val="none"/>
              </w:rPr>
            </w:pPr>
            <w:r>
              <w:rPr>
                <w:rFonts w:hAnsi="宋体"/>
                <w:color w:val="auto"/>
                <w:sz w:val="24"/>
                <w:highlight w:val="none"/>
              </w:rPr>
              <w:t>不齐全</w:t>
            </w:r>
          </w:p>
        </w:tc>
      </w:tr>
      <w:tr w14:paraId="34444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exact"/>
          <w:jc w:val="center"/>
        </w:trPr>
        <w:tc>
          <w:tcPr>
            <w:tcW w:w="818" w:type="dxa"/>
            <w:vMerge w:val="continue"/>
            <w:tcBorders>
              <w:top w:val="single" w:color="auto" w:sz="4" w:space="0"/>
              <w:left w:val="single" w:color="auto" w:sz="4" w:space="0"/>
              <w:bottom w:val="single" w:color="auto" w:sz="4" w:space="0"/>
              <w:right w:val="single" w:color="auto" w:sz="4" w:space="0"/>
            </w:tcBorders>
            <w:vAlign w:val="center"/>
          </w:tcPr>
          <w:p w14:paraId="0770DEBC">
            <w:pPr>
              <w:widowControl/>
              <w:jc w:val="left"/>
              <w:rPr>
                <w:color w:val="auto"/>
                <w:sz w:val="24"/>
                <w:highlight w:val="none"/>
              </w:rPr>
            </w:pPr>
          </w:p>
        </w:tc>
        <w:tc>
          <w:tcPr>
            <w:tcW w:w="6210" w:type="dxa"/>
            <w:gridSpan w:val="3"/>
            <w:tcBorders>
              <w:top w:val="single" w:color="auto" w:sz="4" w:space="0"/>
              <w:left w:val="single" w:color="auto" w:sz="4" w:space="0"/>
              <w:bottom w:val="single" w:color="auto" w:sz="4" w:space="0"/>
              <w:right w:val="single" w:color="auto" w:sz="4" w:space="0"/>
            </w:tcBorders>
            <w:vAlign w:val="center"/>
          </w:tcPr>
          <w:p w14:paraId="101D857A">
            <w:pPr>
              <w:rPr>
                <w:color w:val="auto"/>
                <w:sz w:val="24"/>
                <w:highlight w:val="none"/>
              </w:rPr>
            </w:pPr>
            <w:r>
              <w:rPr>
                <w:rFonts w:hAnsi="宋体"/>
                <w:color w:val="auto"/>
                <w:sz w:val="24"/>
                <w:highlight w:val="none"/>
              </w:rPr>
              <w:t>外观质量（损伤、损坏、锈蚀情况）是否合格</w:t>
            </w:r>
          </w:p>
        </w:tc>
        <w:tc>
          <w:tcPr>
            <w:tcW w:w="1258" w:type="dxa"/>
            <w:tcBorders>
              <w:top w:val="single" w:color="auto" w:sz="4" w:space="0"/>
              <w:left w:val="single" w:color="auto" w:sz="4" w:space="0"/>
              <w:bottom w:val="single" w:color="auto" w:sz="4" w:space="0"/>
              <w:right w:val="single" w:color="auto" w:sz="4" w:space="0"/>
            </w:tcBorders>
            <w:vAlign w:val="center"/>
          </w:tcPr>
          <w:p w14:paraId="57964F1E">
            <w:pPr>
              <w:jc w:val="center"/>
              <w:rPr>
                <w:color w:val="auto"/>
                <w:sz w:val="24"/>
                <w:highlight w:val="none"/>
              </w:rPr>
            </w:pPr>
            <w:r>
              <w:rPr>
                <w:rFonts w:hAnsi="宋体"/>
                <w:color w:val="auto"/>
                <w:sz w:val="24"/>
                <w:highlight w:val="none"/>
              </w:rPr>
              <w:t>合格</w:t>
            </w:r>
          </w:p>
        </w:tc>
        <w:tc>
          <w:tcPr>
            <w:tcW w:w="1378" w:type="dxa"/>
            <w:tcBorders>
              <w:top w:val="single" w:color="auto" w:sz="4" w:space="0"/>
              <w:left w:val="single" w:color="auto" w:sz="4" w:space="0"/>
              <w:bottom w:val="single" w:color="auto" w:sz="4" w:space="0"/>
              <w:right w:val="single" w:color="auto" w:sz="4" w:space="0"/>
            </w:tcBorders>
            <w:vAlign w:val="center"/>
          </w:tcPr>
          <w:p w14:paraId="3C661BC6">
            <w:pPr>
              <w:jc w:val="center"/>
              <w:rPr>
                <w:color w:val="auto"/>
                <w:sz w:val="24"/>
                <w:highlight w:val="none"/>
              </w:rPr>
            </w:pPr>
            <w:r>
              <w:rPr>
                <w:rFonts w:hAnsi="宋体"/>
                <w:color w:val="auto"/>
                <w:sz w:val="24"/>
                <w:highlight w:val="none"/>
              </w:rPr>
              <w:t>不合格</w:t>
            </w:r>
          </w:p>
        </w:tc>
      </w:tr>
      <w:tr w14:paraId="13DD5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exact"/>
          <w:jc w:val="center"/>
        </w:trPr>
        <w:tc>
          <w:tcPr>
            <w:tcW w:w="818" w:type="dxa"/>
            <w:vMerge w:val="continue"/>
            <w:tcBorders>
              <w:top w:val="single" w:color="auto" w:sz="4" w:space="0"/>
              <w:left w:val="single" w:color="auto" w:sz="4" w:space="0"/>
              <w:bottom w:val="single" w:color="auto" w:sz="4" w:space="0"/>
              <w:right w:val="single" w:color="auto" w:sz="4" w:space="0"/>
            </w:tcBorders>
            <w:vAlign w:val="center"/>
          </w:tcPr>
          <w:p w14:paraId="3A7DD1DF">
            <w:pPr>
              <w:widowControl/>
              <w:jc w:val="left"/>
              <w:rPr>
                <w:color w:val="auto"/>
                <w:sz w:val="24"/>
                <w:highlight w:val="none"/>
              </w:rPr>
            </w:pPr>
          </w:p>
        </w:tc>
        <w:tc>
          <w:tcPr>
            <w:tcW w:w="6210" w:type="dxa"/>
            <w:gridSpan w:val="3"/>
            <w:tcBorders>
              <w:top w:val="single" w:color="auto" w:sz="4" w:space="0"/>
              <w:left w:val="single" w:color="auto" w:sz="4" w:space="0"/>
              <w:bottom w:val="single" w:color="auto" w:sz="4" w:space="0"/>
              <w:right w:val="single" w:color="auto" w:sz="4" w:space="0"/>
            </w:tcBorders>
            <w:vAlign w:val="center"/>
          </w:tcPr>
          <w:p w14:paraId="07E929B0">
            <w:pPr>
              <w:rPr>
                <w:color w:val="auto"/>
                <w:sz w:val="24"/>
                <w:highlight w:val="none"/>
              </w:rPr>
            </w:pPr>
            <w:r>
              <w:rPr>
                <w:rFonts w:hAnsi="宋体"/>
                <w:color w:val="auto"/>
                <w:sz w:val="24"/>
                <w:highlight w:val="none"/>
              </w:rPr>
              <w:t>主机、附件、零配件、工具等数量是否齐全（按合同、装箱单检查）</w:t>
            </w:r>
          </w:p>
        </w:tc>
        <w:tc>
          <w:tcPr>
            <w:tcW w:w="1258" w:type="dxa"/>
            <w:tcBorders>
              <w:top w:val="single" w:color="auto" w:sz="4" w:space="0"/>
              <w:left w:val="single" w:color="auto" w:sz="4" w:space="0"/>
              <w:bottom w:val="single" w:color="auto" w:sz="4" w:space="0"/>
              <w:right w:val="single" w:color="auto" w:sz="4" w:space="0"/>
            </w:tcBorders>
            <w:vAlign w:val="center"/>
          </w:tcPr>
          <w:p w14:paraId="16F0F7F7">
            <w:pPr>
              <w:jc w:val="center"/>
              <w:rPr>
                <w:color w:val="auto"/>
                <w:sz w:val="24"/>
                <w:highlight w:val="none"/>
              </w:rPr>
            </w:pPr>
            <w:r>
              <w:rPr>
                <w:rFonts w:hAnsi="宋体"/>
                <w:color w:val="auto"/>
                <w:sz w:val="24"/>
                <w:highlight w:val="none"/>
              </w:rPr>
              <w:t>齐全</w:t>
            </w:r>
          </w:p>
        </w:tc>
        <w:tc>
          <w:tcPr>
            <w:tcW w:w="1378" w:type="dxa"/>
            <w:tcBorders>
              <w:top w:val="single" w:color="auto" w:sz="4" w:space="0"/>
              <w:left w:val="single" w:color="auto" w:sz="4" w:space="0"/>
              <w:bottom w:val="single" w:color="auto" w:sz="4" w:space="0"/>
              <w:right w:val="single" w:color="auto" w:sz="4" w:space="0"/>
            </w:tcBorders>
            <w:vAlign w:val="center"/>
          </w:tcPr>
          <w:p w14:paraId="35658CF5">
            <w:pPr>
              <w:jc w:val="center"/>
              <w:rPr>
                <w:color w:val="auto"/>
                <w:sz w:val="24"/>
                <w:highlight w:val="none"/>
              </w:rPr>
            </w:pPr>
            <w:r>
              <w:rPr>
                <w:rFonts w:hAnsi="宋体"/>
                <w:color w:val="auto"/>
                <w:sz w:val="24"/>
                <w:highlight w:val="none"/>
              </w:rPr>
              <w:t>不齐全</w:t>
            </w:r>
          </w:p>
        </w:tc>
      </w:tr>
      <w:tr w14:paraId="04FF3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exact"/>
          <w:jc w:val="center"/>
        </w:trPr>
        <w:tc>
          <w:tcPr>
            <w:tcW w:w="818" w:type="dxa"/>
            <w:vMerge w:val="continue"/>
            <w:tcBorders>
              <w:top w:val="single" w:color="auto" w:sz="4" w:space="0"/>
              <w:left w:val="single" w:color="auto" w:sz="4" w:space="0"/>
              <w:bottom w:val="single" w:color="auto" w:sz="4" w:space="0"/>
              <w:right w:val="single" w:color="auto" w:sz="4" w:space="0"/>
            </w:tcBorders>
            <w:vAlign w:val="center"/>
          </w:tcPr>
          <w:p w14:paraId="2E890475">
            <w:pPr>
              <w:widowControl/>
              <w:jc w:val="left"/>
              <w:rPr>
                <w:color w:val="auto"/>
                <w:sz w:val="24"/>
                <w:highlight w:val="none"/>
              </w:rPr>
            </w:pPr>
          </w:p>
        </w:tc>
        <w:tc>
          <w:tcPr>
            <w:tcW w:w="6210" w:type="dxa"/>
            <w:gridSpan w:val="3"/>
            <w:tcBorders>
              <w:top w:val="single" w:color="auto" w:sz="4" w:space="0"/>
              <w:left w:val="single" w:color="auto" w:sz="4" w:space="0"/>
              <w:bottom w:val="single" w:color="auto" w:sz="4" w:space="0"/>
              <w:right w:val="single" w:color="auto" w:sz="4" w:space="0"/>
            </w:tcBorders>
            <w:vAlign w:val="center"/>
          </w:tcPr>
          <w:p w14:paraId="597CB706">
            <w:pPr>
              <w:rPr>
                <w:color w:val="auto"/>
                <w:sz w:val="24"/>
                <w:highlight w:val="none"/>
              </w:rPr>
            </w:pPr>
            <w:r>
              <w:rPr>
                <w:rFonts w:hAnsi="宋体"/>
                <w:color w:val="auto"/>
                <w:sz w:val="24"/>
                <w:highlight w:val="none"/>
              </w:rPr>
              <w:t>名称、规格、型号、制造商是否完全符合合同要求（按采购合同检查）</w:t>
            </w:r>
          </w:p>
        </w:tc>
        <w:tc>
          <w:tcPr>
            <w:tcW w:w="1258" w:type="dxa"/>
            <w:tcBorders>
              <w:top w:val="single" w:color="auto" w:sz="4" w:space="0"/>
              <w:left w:val="single" w:color="auto" w:sz="4" w:space="0"/>
              <w:bottom w:val="single" w:color="auto" w:sz="4" w:space="0"/>
              <w:right w:val="single" w:color="auto" w:sz="4" w:space="0"/>
            </w:tcBorders>
            <w:vAlign w:val="center"/>
          </w:tcPr>
          <w:p w14:paraId="208635B3">
            <w:pPr>
              <w:jc w:val="center"/>
              <w:rPr>
                <w:color w:val="auto"/>
                <w:sz w:val="24"/>
                <w:highlight w:val="none"/>
              </w:rPr>
            </w:pPr>
            <w:r>
              <w:rPr>
                <w:rFonts w:hAnsi="宋体"/>
                <w:color w:val="auto"/>
                <w:sz w:val="24"/>
                <w:highlight w:val="none"/>
              </w:rPr>
              <w:t>符合</w:t>
            </w:r>
          </w:p>
        </w:tc>
        <w:tc>
          <w:tcPr>
            <w:tcW w:w="1378" w:type="dxa"/>
            <w:tcBorders>
              <w:top w:val="single" w:color="auto" w:sz="4" w:space="0"/>
              <w:left w:val="single" w:color="auto" w:sz="4" w:space="0"/>
              <w:bottom w:val="single" w:color="auto" w:sz="4" w:space="0"/>
              <w:right w:val="single" w:color="auto" w:sz="4" w:space="0"/>
            </w:tcBorders>
            <w:vAlign w:val="center"/>
          </w:tcPr>
          <w:p w14:paraId="57C6E9AB">
            <w:pPr>
              <w:jc w:val="center"/>
              <w:rPr>
                <w:color w:val="auto"/>
                <w:sz w:val="24"/>
                <w:highlight w:val="none"/>
              </w:rPr>
            </w:pPr>
            <w:r>
              <w:rPr>
                <w:rFonts w:hAnsi="宋体"/>
                <w:color w:val="auto"/>
                <w:sz w:val="24"/>
                <w:highlight w:val="none"/>
              </w:rPr>
              <w:t>不符合</w:t>
            </w:r>
          </w:p>
        </w:tc>
      </w:tr>
      <w:tr w14:paraId="3AB84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5" w:hRule="exact"/>
          <w:jc w:val="center"/>
        </w:trPr>
        <w:tc>
          <w:tcPr>
            <w:tcW w:w="2163" w:type="dxa"/>
            <w:gridSpan w:val="2"/>
            <w:tcBorders>
              <w:top w:val="single" w:color="auto" w:sz="4" w:space="0"/>
              <w:left w:val="single" w:color="auto" w:sz="4" w:space="0"/>
              <w:bottom w:val="single" w:color="auto" w:sz="4" w:space="0"/>
              <w:right w:val="single" w:color="auto" w:sz="4" w:space="0"/>
            </w:tcBorders>
            <w:vAlign w:val="center"/>
          </w:tcPr>
          <w:p w14:paraId="4DDD0C4D">
            <w:pPr>
              <w:jc w:val="center"/>
              <w:rPr>
                <w:color w:val="auto"/>
                <w:sz w:val="24"/>
                <w:highlight w:val="none"/>
              </w:rPr>
            </w:pPr>
            <w:r>
              <w:rPr>
                <w:rFonts w:hAnsi="宋体"/>
                <w:color w:val="auto"/>
                <w:sz w:val="24"/>
                <w:highlight w:val="none"/>
              </w:rPr>
              <w:t>供应商</w:t>
            </w:r>
          </w:p>
          <w:p w14:paraId="342DC595">
            <w:pPr>
              <w:jc w:val="center"/>
              <w:rPr>
                <w:color w:val="auto"/>
                <w:sz w:val="24"/>
                <w:highlight w:val="none"/>
              </w:rPr>
            </w:pPr>
            <w:r>
              <w:rPr>
                <w:rFonts w:hAnsi="宋体"/>
                <w:color w:val="auto"/>
                <w:sz w:val="24"/>
                <w:highlight w:val="none"/>
              </w:rPr>
              <w:t>意见</w:t>
            </w:r>
          </w:p>
        </w:tc>
        <w:tc>
          <w:tcPr>
            <w:tcW w:w="7501" w:type="dxa"/>
            <w:gridSpan w:val="4"/>
            <w:tcBorders>
              <w:top w:val="single" w:color="auto" w:sz="4" w:space="0"/>
              <w:left w:val="single" w:color="auto" w:sz="4" w:space="0"/>
              <w:bottom w:val="single" w:color="auto" w:sz="4" w:space="0"/>
              <w:right w:val="single" w:color="auto" w:sz="4" w:space="0"/>
            </w:tcBorders>
          </w:tcPr>
          <w:p w14:paraId="5B01B646">
            <w:pPr>
              <w:rPr>
                <w:color w:val="auto"/>
                <w:sz w:val="24"/>
                <w:highlight w:val="none"/>
              </w:rPr>
            </w:pPr>
            <w:r>
              <w:rPr>
                <w:rFonts w:hAnsi="宋体"/>
                <w:color w:val="auto"/>
                <w:sz w:val="24"/>
                <w:highlight w:val="none"/>
              </w:rPr>
              <w:t>（上述验收情况是否属实，有无其他说明）</w:t>
            </w:r>
          </w:p>
          <w:p w14:paraId="6BBA90C4">
            <w:pPr>
              <w:rPr>
                <w:color w:val="auto"/>
                <w:sz w:val="24"/>
                <w:highlight w:val="none"/>
              </w:rPr>
            </w:pPr>
          </w:p>
          <w:p w14:paraId="6F509A46">
            <w:pPr>
              <w:rPr>
                <w:color w:val="auto"/>
                <w:sz w:val="24"/>
                <w:highlight w:val="none"/>
              </w:rPr>
            </w:pPr>
          </w:p>
          <w:p w14:paraId="023B5F01">
            <w:pPr>
              <w:rPr>
                <w:color w:val="auto"/>
                <w:sz w:val="24"/>
                <w:highlight w:val="none"/>
              </w:rPr>
            </w:pPr>
            <w:r>
              <w:rPr>
                <w:rFonts w:hAnsi="宋体"/>
                <w:color w:val="auto"/>
                <w:sz w:val="24"/>
                <w:highlight w:val="none"/>
              </w:rPr>
              <w:t>代表（签字）：</w:t>
            </w:r>
            <w:r>
              <w:rPr>
                <w:color w:val="auto"/>
                <w:sz w:val="24"/>
                <w:highlight w:val="none"/>
              </w:rPr>
              <w:t xml:space="preserve">                         </w:t>
            </w:r>
            <w:r>
              <w:rPr>
                <w:rFonts w:hAnsi="宋体"/>
                <w:color w:val="auto"/>
                <w:sz w:val="24"/>
                <w:highlight w:val="none"/>
              </w:rPr>
              <w:t>年</w:t>
            </w:r>
            <w:r>
              <w:rPr>
                <w:color w:val="auto"/>
                <w:sz w:val="24"/>
                <w:highlight w:val="none"/>
              </w:rPr>
              <w:t xml:space="preserve">    </w:t>
            </w:r>
            <w:r>
              <w:rPr>
                <w:rFonts w:hAnsi="宋体"/>
                <w:color w:val="auto"/>
                <w:sz w:val="24"/>
                <w:highlight w:val="none"/>
              </w:rPr>
              <w:t>月</w:t>
            </w:r>
            <w:r>
              <w:rPr>
                <w:color w:val="auto"/>
                <w:sz w:val="24"/>
                <w:highlight w:val="none"/>
              </w:rPr>
              <w:t xml:space="preserve">    </w:t>
            </w:r>
            <w:r>
              <w:rPr>
                <w:rFonts w:hAnsi="宋体"/>
                <w:color w:val="auto"/>
                <w:sz w:val="24"/>
                <w:highlight w:val="none"/>
              </w:rPr>
              <w:t>日</w:t>
            </w:r>
            <w:r>
              <w:rPr>
                <w:color w:val="auto"/>
                <w:sz w:val="24"/>
                <w:highlight w:val="none"/>
              </w:rPr>
              <w:t xml:space="preserve">                                                       </w:t>
            </w:r>
          </w:p>
        </w:tc>
      </w:tr>
      <w:tr w14:paraId="695D9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7" w:hRule="exact"/>
          <w:jc w:val="center"/>
        </w:trPr>
        <w:tc>
          <w:tcPr>
            <w:tcW w:w="2163" w:type="dxa"/>
            <w:gridSpan w:val="2"/>
            <w:tcBorders>
              <w:top w:val="single" w:color="auto" w:sz="4" w:space="0"/>
              <w:left w:val="single" w:color="auto" w:sz="4" w:space="0"/>
              <w:bottom w:val="single" w:color="auto" w:sz="4" w:space="0"/>
              <w:right w:val="single" w:color="auto" w:sz="4" w:space="0"/>
            </w:tcBorders>
            <w:vAlign w:val="center"/>
          </w:tcPr>
          <w:p w14:paraId="4ABAD937">
            <w:pPr>
              <w:jc w:val="center"/>
              <w:rPr>
                <w:color w:val="auto"/>
                <w:sz w:val="24"/>
                <w:highlight w:val="none"/>
              </w:rPr>
            </w:pPr>
            <w:r>
              <w:rPr>
                <w:rFonts w:hAnsi="宋体"/>
                <w:color w:val="auto"/>
                <w:sz w:val="24"/>
                <w:highlight w:val="none"/>
              </w:rPr>
              <w:t>使用单位</w:t>
            </w:r>
          </w:p>
          <w:p w14:paraId="7D2BEDA4">
            <w:pPr>
              <w:jc w:val="center"/>
              <w:rPr>
                <w:color w:val="auto"/>
                <w:sz w:val="24"/>
                <w:highlight w:val="none"/>
              </w:rPr>
            </w:pPr>
            <w:r>
              <w:rPr>
                <w:rFonts w:hAnsi="宋体"/>
                <w:color w:val="auto"/>
                <w:sz w:val="24"/>
                <w:highlight w:val="none"/>
              </w:rPr>
              <w:t>意见</w:t>
            </w:r>
          </w:p>
        </w:tc>
        <w:tc>
          <w:tcPr>
            <w:tcW w:w="7501" w:type="dxa"/>
            <w:gridSpan w:val="4"/>
            <w:tcBorders>
              <w:top w:val="single" w:color="auto" w:sz="4" w:space="0"/>
              <w:left w:val="single" w:color="auto" w:sz="4" w:space="0"/>
              <w:bottom w:val="single" w:color="auto" w:sz="4" w:space="0"/>
              <w:right w:val="single" w:color="auto" w:sz="4" w:space="0"/>
            </w:tcBorders>
          </w:tcPr>
          <w:p w14:paraId="1948A48A">
            <w:pPr>
              <w:rPr>
                <w:color w:val="auto"/>
                <w:sz w:val="24"/>
                <w:highlight w:val="none"/>
              </w:rPr>
            </w:pPr>
            <w:r>
              <w:rPr>
                <w:rFonts w:hAnsi="宋体"/>
                <w:color w:val="auto"/>
                <w:sz w:val="24"/>
                <w:highlight w:val="none"/>
              </w:rPr>
              <w:t>（上述验收情况是否属实，有无其他说明）</w:t>
            </w:r>
          </w:p>
          <w:p w14:paraId="12DD14A2">
            <w:pPr>
              <w:rPr>
                <w:color w:val="auto"/>
                <w:sz w:val="24"/>
                <w:highlight w:val="none"/>
              </w:rPr>
            </w:pPr>
          </w:p>
          <w:p w14:paraId="466D3DCE">
            <w:pPr>
              <w:rPr>
                <w:color w:val="auto"/>
                <w:sz w:val="24"/>
                <w:highlight w:val="none"/>
              </w:rPr>
            </w:pPr>
          </w:p>
          <w:p w14:paraId="67E8CF17">
            <w:pPr>
              <w:rPr>
                <w:color w:val="auto"/>
                <w:sz w:val="24"/>
                <w:highlight w:val="none"/>
              </w:rPr>
            </w:pPr>
            <w:r>
              <w:rPr>
                <w:rFonts w:hAnsi="宋体"/>
                <w:color w:val="auto"/>
                <w:sz w:val="24"/>
                <w:highlight w:val="none"/>
              </w:rPr>
              <w:t>负责人（签字）：</w:t>
            </w:r>
            <w:r>
              <w:rPr>
                <w:color w:val="auto"/>
                <w:sz w:val="24"/>
                <w:highlight w:val="none"/>
              </w:rPr>
              <w:t xml:space="preserve">                        </w:t>
            </w:r>
            <w:r>
              <w:rPr>
                <w:rFonts w:hAnsi="宋体"/>
                <w:color w:val="auto"/>
                <w:sz w:val="24"/>
                <w:highlight w:val="none"/>
              </w:rPr>
              <w:t>年</w:t>
            </w:r>
            <w:r>
              <w:rPr>
                <w:color w:val="auto"/>
                <w:sz w:val="24"/>
                <w:highlight w:val="none"/>
              </w:rPr>
              <w:t xml:space="preserve">    </w:t>
            </w:r>
            <w:r>
              <w:rPr>
                <w:rFonts w:hAnsi="宋体"/>
                <w:color w:val="auto"/>
                <w:sz w:val="24"/>
                <w:highlight w:val="none"/>
              </w:rPr>
              <w:t>月</w:t>
            </w:r>
            <w:r>
              <w:rPr>
                <w:color w:val="auto"/>
                <w:sz w:val="24"/>
                <w:highlight w:val="none"/>
              </w:rPr>
              <w:t xml:space="preserve">    </w:t>
            </w:r>
            <w:r>
              <w:rPr>
                <w:rFonts w:hAnsi="宋体"/>
                <w:color w:val="auto"/>
                <w:sz w:val="24"/>
                <w:highlight w:val="none"/>
              </w:rPr>
              <w:t>日</w:t>
            </w:r>
          </w:p>
        </w:tc>
      </w:tr>
      <w:tr w14:paraId="11FF9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9" w:hRule="exact"/>
          <w:jc w:val="center"/>
        </w:trPr>
        <w:tc>
          <w:tcPr>
            <w:tcW w:w="2163" w:type="dxa"/>
            <w:gridSpan w:val="2"/>
            <w:tcBorders>
              <w:top w:val="single" w:color="auto" w:sz="4" w:space="0"/>
              <w:left w:val="single" w:color="auto" w:sz="4" w:space="0"/>
              <w:bottom w:val="single" w:color="auto" w:sz="4" w:space="0"/>
              <w:right w:val="single" w:color="auto" w:sz="4" w:space="0"/>
            </w:tcBorders>
            <w:vAlign w:val="center"/>
          </w:tcPr>
          <w:p w14:paraId="4726E1D2">
            <w:pPr>
              <w:tabs>
                <w:tab w:val="left" w:pos="6120"/>
              </w:tabs>
              <w:adjustRightInd w:val="0"/>
              <w:snapToGrid w:val="0"/>
              <w:jc w:val="center"/>
              <w:rPr>
                <w:color w:val="auto"/>
                <w:sz w:val="24"/>
                <w:highlight w:val="none"/>
              </w:rPr>
            </w:pPr>
            <w:r>
              <w:rPr>
                <w:rFonts w:hAnsi="宋体"/>
                <w:color w:val="auto"/>
                <w:sz w:val="24"/>
                <w:highlight w:val="none"/>
              </w:rPr>
              <w:t>校档案室</w:t>
            </w:r>
          </w:p>
          <w:p w14:paraId="39B219B2">
            <w:pPr>
              <w:tabs>
                <w:tab w:val="left" w:pos="6120"/>
              </w:tabs>
              <w:adjustRightInd w:val="0"/>
              <w:snapToGrid w:val="0"/>
              <w:jc w:val="center"/>
              <w:rPr>
                <w:color w:val="auto"/>
                <w:sz w:val="24"/>
                <w:highlight w:val="none"/>
              </w:rPr>
            </w:pPr>
            <w:r>
              <w:rPr>
                <w:rFonts w:hAnsi="宋体"/>
                <w:color w:val="auto"/>
                <w:sz w:val="24"/>
                <w:highlight w:val="none"/>
              </w:rPr>
              <w:t>意见</w:t>
            </w:r>
          </w:p>
        </w:tc>
        <w:tc>
          <w:tcPr>
            <w:tcW w:w="7501" w:type="dxa"/>
            <w:gridSpan w:val="4"/>
            <w:tcBorders>
              <w:top w:val="single" w:color="auto" w:sz="4" w:space="0"/>
              <w:left w:val="single" w:color="auto" w:sz="4" w:space="0"/>
              <w:bottom w:val="single" w:color="auto" w:sz="4" w:space="0"/>
              <w:right w:val="single" w:color="auto" w:sz="4" w:space="0"/>
            </w:tcBorders>
          </w:tcPr>
          <w:p w14:paraId="0090846E">
            <w:pPr>
              <w:adjustRightInd w:val="0"/>
              <w:snapToGrid w:val="0"/>
              <w:spacing w:before="120" w:beforeLines="50"/>
              <w:rPr>
                <w:color w:val="auto"/>
                <w:sz w:val="24"/>
                <w:highlight w:val="none"/>
              </w:rPr>
            </w:pPr>
            <w:r>
              <w:rPr>
                <w:rFonts w:hAnsi="宋体"/>
                <w:color w:val="auto"/>
                <w:sz w:val="24"/>
                <w:highlight w:val="none"/>
              </w:rPr>
              <w:t>大型仪器设备存档资料：</w:t>
            </w:r>
          </w:p>
          <w:p w14:paraId="43351D5E">
            <w:pPr>
              <w:rPr>
                <w:color w:val="auto"/>
                <w:sz w:val="24"/>
                <w:highlight w:val="none"/>
              </w:rPr>
            </w:pPr>
            <w:r>
              <w:rPr>
                <w:color w:val="auto"/>
                <w:sz w:val="24"/>
                <w:highlight w:val="none"/>
              </w:rPr>
              <w:t xml:space="preserve"> </w:t>
            </w:r>
          </w:p>
          <w:p w14:paraId="67B47BD5">
            <w:pPr>
              <w:tabs>
                <w:tab w:val="left" w:pos="3832"/>
                <w:tab w:val="left" w:pos="6120"/>
              </w:tabs>
              <w:adjustRightInd w:val="0"/>
              <w:snapToGrid w:val="0"/>
              <w:rPr>
                <w:color w:val="auto"/>
                <w:sz w:val="24"/>
                <w:highlight w:val="none"/>
              </w:rPr>
            </w:pPr>
            <w:r>
              <w:rPr>
                <w:rFonts w:hAnsi="宋体"/>
                <w:color w:val="auto"/>
                <w:sz w:val="24"/>
                <w:highlight w:val="none"/>
              </w:rPr>
              <w:t>负责人（签字）：</w:t>
            </w:r>
            <w:r>
              <w:rPr>
                <w:color w:val="auto"/>
                <w:sz w:val="24"/>
                <w:highlight w:val="none"/>
              </w:rPr>
              <w:t xml:space="preserve">                        </w:t>
            </w:r>
            <w:r>
              <w:rPr>
                <w:rFonts w:hAnsi="宋体"/>
                <w:color w:val="auto"/>
                <w:sz w:val="24"/>
                <w:highlight w:val="none"/>
              </w:rPr>
              <w:t>年</w:t>
            </w:r>
            <w:r>
              <w:rPr>
                <w:color w:val="auto"/>
                <w:sz w:val="24"/>
                <w:highlight w:val="none"/>
              </w:rPr>
              <w:t xml:space="preserve">    </w:t>
            </w:r>
            <w:r>
              <w:rPr>
                <w:rFonts w:hAnsi="宋体"/>
                <w:color w:val="auto"/>
                <w:sz w:val="24"/>
                <w:highlight w:val="none"/>
              </w:rPr>
              <w:t>月</w:t>
            </w:r>
            <w:r>
              <w:rPr>
                <w:color w:val="auto"/>
                <w:sz w:val="24"/>
                <w:highlight w:val="none"/>
              </w:rPr>
              <w:t xml:space="preserve">    </w:t>
            </w:r>
            <w:r>
              <w:rPr>
                <w:rFonts w:hAnsi="宋体"/>
                <w:color w:val="auto"/>
                <w:sz w:val="24"/>
                <w:highlight w:val="none"/>
              </w:rPr>
              <w:t>日</w:t>
            </w:r>
          </w:p>
        </w:tc>
      </w:tr>
    </w:tbl>
    <w:p w14:paraId="76E19692">
      <w:pPr>
        <w:spacing w:line="280" w:lineRule="exact"/>
        <w:ind w:firstLine="480" w:firstLineChars="200"/>
        <w:rPr>
          <w:color w:val="auto"/>
          <w:highlight w:val="none"/>
        </w:rPr>
      </w:pPr>
      <w:r>
        <w:rPr>
          <w:rFonts w:hAnsi="宋体"/>
          <w:color w:val="auto"/>
          <w:sz w:val="24"/>
          <w:highlight w:val="none"/>
        </w:rPr>
        <w:t>注：本表填写完毕，请</w:t>
      </w:r>
      <w:r>
        <w:rPr>
          <w:rFonts w:hint="eastAsia" w:hAnsi="宋体"/>
          <w:color w:val="auto"/>
          <w:sz w:val="24"/>
          <w:highlight w:val="none"/>
        </w:rPr>
        <w:t>使用部门在实际到货后一周内</w:t>
      </w:r>
      <w:r>
        <w:rPr>
          <w:rFonts w:hAnsi="宋体"/>
          <w:color w:val="auto"/>
          <w:sz w:val="24"/>
          <w:highlight w:val="none"/>
        </w:rPr>
        <w:t>送交国资处</w:t>
      </w:r>
      <w:permStart w:id="38" w:edGrp="everyone"/>
      <w:r>
        <w:rPr>
          <w:rFonts w:hAnsi="宋体"/>
          <w:b/>
          <w:color w:val="auto"/>
          <w:sz w:val="24"/>
          <w:highlight w:val="none"/>
        </w:rPr>
        <w:t>资产管理科</w:t>
      </w:r>
      <w:permEnd w:id="38"/>
      <w:r>
        <w:rPr>
          <w:rFonts w:hAnsi="宋体"/>
          <w:color w:val="auto"/>
          <w:sz w:val="24"/>
          <w:highlight w:val="none"/>
        </w:rPr>
        <w:t>备查。</w:t>
      </w:r>
    </w:p>
    <w:sectPr>
      <w:headerReference r:id="rId7" w:type="default"/>
      <w:footerReference r:id="rId8" w:type="default"/>
      <w:pgSz w:w="11900" w:h="16840"/>
      <w:pgMar w:top="1417" w:right="1474" w:bottom="1417" w:left="1474" w:header="0" w:footer="998" w:gutter="0"/>
      <w:pgNumType w:fmt="decimal"/>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MS UI Gothic">
    <w:panose1 w:val="020B0600070205080204"/>
    <w:charset w:val="80"/>
    <w:family w:val="swiss"/>
    <w:pitch w:val="default"/>
    <w:sig w:usb0="E00002FF" w:usb1="6AC7FDFB" w:usb2="08000012" w:usb3="00000000" w:csb0="4002009F" w:csb1="DFD70000"/>
  </w:font>
  <w:font w:name="华文宋体">
    <w:altName w:val="宋体"/>
    <w:panose1 w:val="02010600040101010101"/>
    <w:charset w:val="86"/>
    <w:family w:val="auto"/>
    <w:pitch w:val="default"/>
    <w:sig w:usb0="00000000" w:usb1="00000000" w:usb2="00000000" w:usb3="00000000" w:csb0="0004009F" w:csb1="DFD70000"/>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90CF6E">
    <w:pPr>
      <w:pStyle w:val="7"/>
      <w:spacing w:line="14" w:lineRule="auto"/>
      <w:rPr>
        <w:sz w:val="20"/>
      </w:rPr>
    </w:pPr>
    <w:r>
      <w:rPr>
        <w:rFonts w:hint="eastAsi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260350" cy="139700"/>
              <wp:effectExtent l="0" t="0" r="0" b="0"/>
              <wp:wrapNone/>
              <wp:docPr id="2" name="docshape7"/>
              <wp:cNvGraphicFramePr/>
              <a:graphic xmlns:a="http://schemas.openxmlformats.org/drawingml/2006/main">
                <a:graphicData uri="http://schemas.microsoft.com/office/word/2010/wordprocessingShape">
                  <wps:wsp>
                    <wps:cNvSpPr txBox="1">
                      <a:spLocks noChangeArrowheads="1"/>
                    </wps:cNvSpPr>
                    <wps:spPr bwMode="auto">
                      <a:xfrm>
                        <a:off x="0" y="0"/>
                        <a:ext cx="260350" cy="139700"/>
                      </a:xfrm>
                      <a:prstGeom prst="rect">
                        <a:avLst/>
                      </a:prstGeom>
                      <a:noFill/>
                      <a:ln>
                        <a:noFill/>
                      </a:ln>
                    </wps:spPr>
                    <wps:txbx>
                      <w:txbxContent>
                        <w:p w14:paraId="09B75D6A">
                          <w:pPr>
                            <w:spacing w:line="220" w:lineRule="exact"/>
                            <w:ind w:left="60"/>
                            <w:rPr>
                              <w:rFonts w:ascii="Times New Roman" w:hAnsi="Times New Roman" w:cs="Times New Roman"/>
                              <w:sz w:val="18"/>
                            </w:rPr>
                          </w:pPr>
                        </w:p>
                      </w:txbxContent>
                    </wps:txbx>
                    <wps:bodyPr rot="0" vert="horz" wrap="square" lIns="0" tIns="0" rIns="0" bIns="0" anchor="t" anchorCtr="0" upright="1">
                      <a:noAutofit/>
                    </wps:bodyPr>
                  </wps:wsp>
                </a:graphicData>
              </a:graphic>
            </wp:anchor>
          </w:drawing>
        </mc:Choice>
        <mc:Fallback>
          <w:pict>
            <v:shape id="docshape7" o:spid="_x0000_s1026" o:spt="202" type="#_x0000_t202" style="position:absolute;left:0pt;margin-top:0pt;height:11pt;width:20.5pt;mso-position-horizontal:center;mso-position-horizontal-relative:margin;z-index:251659264;mso-width-relative:page;mso-height-relative:page;" filled="f" stroked="f" coordsize="21600,21600" o:gfxdata="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Bvx8NO0wAAAAMBAAAPAAAAAAAAAAEAIAAAACIAAABkcnMvZG93bnJldi54bWxQ&#10;SwECFAAUAAAACACHTuJAKUtY2/wBAAACBAAADgAAAAAAAAABACAAAAAiAQAAZHJzL2Uyb0RvYy54&#10;bWxQSwUGAAAAAAYABgBZAQAAkAUAAAAA&#10;">
              <v:fill on="f" focussize="0,0"/>
              <v:stroke on="f"/>
              <v:imagedata o:title=""/>
              <o:lock v:ext="edit" aspectratio="f"/>
              <v:textbox inset="0mm,0mm,0mm,0mm">
                <w:txbxContent>
                  <w:p w14:paraId="09B75D6A">
                    <w:pPr>
                      <w:spacing w:line="220" w:lineRule="exact"/>
                      <w:ind w:left="60"/>
                      <w:rPr>
                        <w:rFonts w:ascii="Times New Roman" w:hAnsi="Times New Roman" w:cs="Times New Roman"/>
                        <w:sz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B18297">
    <w:pPr>
      <w:framePr w:wrap="around" w:vAnchor="text" w:hAnchor="margin" w:xAlign="center" w:y="1"/>
      <w:widowControl w:val="0"/>
      <w:tabs>
        <w:tab w:val="center" w:pos="4153"/>
        <w:tab w:val="right" w:pos="8306"/>
      </w:tabs>
      <w:snapToGrid w:val="0"/>
      <w:jc w:val="left"/>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21"/>
        <w:szCs w:val="24"/>
        <w:lang w:val="en-US" w:eastAsia="zh-CN" w:bidi="ar-SA"/>
      </w:rPr>
      <w:instrText xml:space="preserve">PAGE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21"/>
        <w:szCs w:val="24"/>
        <w:lang w:val="en-US" w:eastAsia="zh-CN" w:bidi="ar-SA"/>
      </w:rPr>
      <w:t>3</w:t>
    </w:r>
    <w:r>
      <w:rPr>
        <w:rFonts w:ascii="Times New Roman" w:hAnsi="Times New Roman" w:eastAsia="宋体" w:cs="Times New Roman"/>
        <w:kern w:val="2"/>
        <w:sz w:val="18"/>
        <w:szCs w:val="18"/>
        <w:lang w:val="en-US" w:eastAsia="zh-CN" w:bidi="ar-SA"/>
      </w:rPr>
      <w:fldChar w:fldCharType="end"/>
    </w:r>
  </w:p>
  <w:p w14:paraId="0F983C10">
    <w:pPr>
      <w:widowControl w:val="0"/>
      <w:tabs>
        <w:tab w:val="center" w:pos="4153"/>
        <w:tab w:val="right" w:pos="8306"/>
      </w:tabs>
      <w:snapToGrid w:val="0"/>
      <w:jc w:val="left"/>
      <w:rPr>
        <w:rFonts w:ascii="Times New Roman" w:hAnsi="Times New Roman" w:eastAsia="宋体" w:cs="Times New Roman"/>
        <w:kern w:val="2"/>
        <w:sz w:val="18"/>
        <w:szCs w:val="18"/>
        <w:lang w:val="en-US" w:eastAsia="zh-CN" w:bidi="ar-S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7D8F6D">
    <w:pPr>
      <w:framePr w:wrap="around" w:vAnchor="text" w:hAnchor="margin" w:xAlign="center" w:y="1"/>
      <w:widowControl w:val="0"/>
      <w:tabs>
        <w:tab w:val="center" w:pos="4153"/>
        <w:tab w:val="right" w:pos="8306"/>
      </w:tabs>
      <w:snapToGrid w:val="0"/>
      <w:jc w:val="left"/>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21"/>
        <w:szCs w:val="24"/>
        <w:lang w:val="en-US" w:eastAsia="zh-CN" w:bidi="ar-SA"/>
      </w:rPr>
      <w:instrText xml:space="preserve">PAGE  </w:instrText>
    </w:r>
    <w:r>
      <w:rPr>
        <w:rFonts w:ascii="Times New Roman" w:hAnsi="Times New Roman" w:eastAsia="宋体" w:cs="Times New Roman"/>
        <w:kern w:val="2"/>
        <w:sz w:val="18"/>
        <w:szCs w:val="18"/>
        <w:lang w:val="en-US" w:eastAsia="zh-CN" w:bidi="ar-SA"/>
      </w:rPr>
      <w:fldChar w:fldCharType="end"/>
    </w:r>
  </w:p>
  <w:p w14:paraId="0CBDF8FC">
    <w:pPr>
      <w:widowControl w:val="0"/>
      <w:tabs>
        <w:tab w:val="center" w:pos="4153"/>
        <w:tab w:val="right" w:pos="8306"/>
      </w:tabs>
      <w:snapToGrid w:val="0"/>
      <w:jc w:val="left"/>
      <w:rPr>
        <w:rFonts w:ascii="Times New Roman" w:hAnsi="Times New Roman" w:eastAsia="宋体" w:cs="Times New Roman"/>
        <w:kern w:val="2"/>
        <w:sz w:val="18"/>
        <w:szCs w:val="18"/>
        <w:lang w:val="en-US" w:eastAsia="zh-CN" w:bidi="ar-S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91A8A1">
    <w:pPr>
      <w:pStyle w:val="7"/>
      <w:spacing w:line="14" w:lineRule="auto"/>
      <w:rPr>
        <w:sz w:val="20"/>
      </w:rPr>
    </w:pPr>
    <w:r>
      <w:rPr>
        <w:sz w:val="2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FE35E8">
                          <w:pPr>
                            <w:pStyle w:val="9"/>
                          </w:pPr>
                          <w:r>
                            <w:t xml:space="preserve">第 </w:t>
                          </w:r>
                          <w:r>
                            <w:fldChar w:fldCharType="begin"/>
                          </w:r>
                          <w:r>
                            <w:instrText xml:space="preserve"> PAGE  \* MERGEFORMAT </w:instrText>
                          </w:r>
                          <w:r>
                            <w:fldChar w:fldCharType="separate"/>
                          </w:r>
                          <w:r>
                            <w:t>85</w:t>
                          </w:r>
                          <w:r>
                            <w:fldChar w:fldCharType="end"/>
                          </w:r>
                          <w:r>
                            <w:t xml:space="preserve"> 页 共 </w:t>
                          </w:r>
                          <w:r>
                            <w:fldChar w:fldCharType="begin"/>
                          </w:r>
                          <w:r>
                            <w:instrText xml:space="preserve"> NUMPAGES  \* MERGEFORMAT </w:instrText>
                          </w:r>
                          <w:r>
                            <w:fldChar w:fldCharType="separate"/>
                          </w:r>
                          <w:r>
                            <w:t>91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62FE35E8">
                    <w:pPr>
                      <w:pStyle w:val="9"/>
                    </w:pPr>
                    <w:r>
                      <w:t xml:space="preserve">第 </w:t>
                    </w:r>
                    <w:r>
                      <w:fldChar w:fldCharType="begin"/>
                    </w:r>
                    <w:r>
                      <w:instrText xml:space="preserve"> PAGE  \* MERGEFORMAT </w:instrText>
                    </w:r>
                    <w:r>
                      <w:fldChar w:fldCharType="separate"/>
                    </w:r>
                    <w:r>
                      <w:t>85</w:t>
                    </w:r>
                    <w:r>
                      <w:fldChar w:fldCharType="end"/>
                    </w:r>
                    <w:r>
                      <w:t xml:space="preserve"> 页 共 </w:t>
                    </w:r>
                    <w:r>
                      <w:fldChar w:fldCharType="begin"/>
                    </w:r>
                    <w:r>
                      <w:instrText xml:space="preserve"> NUMPAGES  \* MERGEFORMAT </w:instrText>
                    </w:r>
                    <w:r>
                      <w:fldChar w:fldCharType="separate"/>
                    </w:r>
                    <w:r>
                      <w:t>91</w:t>
                    </w:r>
                    <w:r>
                      <w:fldChar w:fldCharType="end"/>
                    </w:r>
                    <w:r>
                      <w:t xml:space="preserve"> 页</w:t>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260350" cy="1397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260350" cy="139700"/>
                      </a:xfrm>
                      <a:prstGeom prst="rect">
                        <a:avLst/>
                      </a:prstGeom>
                      <a:noFill/>
                      <a:ln>
                        <a:noFill/>
                      </a:ln>
                    </wps:spPr>
                    <wps:txbx>
                      <w:txbxContent>
                        <w:p w14:paraId="14BB8D96">
                          <w:pPr>
                            <w:spacing w:line="220" w:lineRule="exact"/>
                            <w:rPr>
                              <w:rFonts w:ascii="Times New Roman" w:hAnsi="Times New Roman" w:cs="Times New Roman"/>
                              <w:sz w:val="18"/>
                            </w:rPr>
                          </w:pPr>
                          <w:r>
                            <w:rPr>
                              <w:rFonts w:ascii="Times New Roman" w:hAnsi="Times New Roman" w:cs="Times New Roman"/>
                              <w:sz w:val="18"/>
                            </w:rPr>
                            <w:t xml:space="preserve">   共 </w:t>
                          </w:r>
                          <w:r>
                            <w:rPr>
                              <w:rFonts w:ascii="Times New Roman" w:hAnsi="Times New Roman" w:cs="Times New Roman"/>
                              <w:sz w:val="18"/>
                            </w:rPr>
                            <w:fldChar w:fldCharType="begin"/>
                          </w:r>
                          <w:r>
                            <w:rPr>
                              <w:rFonts w:ascii="Times New Roman" w:hAnsi="Times New Roman" w:cs="Times New Roman"/>
                              <w:sz w:val="18"/>
                            </w:rPr>
                            <w:instrText xml:space="preserve"> NUMPAGES  \* MERGEFORMAT </w:instrText>
                          </w:r>
                          <w:r>
                            <w:rPr>
                              <w:rFonts w:ascii="Times New Roman" w:hAnsi="Times New Roman" w:cs="Times New Roman"/>
                              <w:sz w:val="18"/>
                            </w:rPr>
                            <w:fldChar w:fldCharType="separate"/>
                          </w:r>
                          <w:r>
                            <w:rPr>
                              <w:rFonts w:ascii="Times New Roman" w:hAnsi="Times New Roman" w:cs="Times New Roman"/>
                              <w:sz w:val="18"/>
                            </w:rPr>
                            <w:t>91</w:t>
                          </w:r>
                          <w:r>
                            <w:rPr>
                              <w:rFonts w:ascii="Times New Roman" w:hAnsi="Times New Roman" w:cs="Times New Roman"/>
                              <w:sz w:val="18"/>
                            </w:rPr>
                            <w:fldChar w:fldCharType="end"/>
                          </w:r>
                          <w:r>
                            <w:rPr>
                              <w:rFonts w:ascii="Times New Roman" w:hAnsi="Times New Roman" w:cs="Times New Roman"/>
                              <w:sz w:val="18"/>
                            </w:rPr>
                            <w:t xml:space="preserve"> 页</w:t>
                          </w:r>
                        </w:p>
                      </w:txbxContent>
                    </wps:txbx>
                    <wps:bodyPr lIns="0" tIns="0" rIns="0" bIns="0" upright="1"/>
                  </wps:wsp>
                </a:graphicData>
              </a:graphic>
            </wp:anchor>
          </w:drawing>
        </mc:Choice>
        <mc:Fallback>
          <w:pict>
            <v:shape id="_x0000_s1026" o:spid="_x0000_s1026" o:spt="202" type="#_x0000_t202" style="position:absolute;left:0pt;margin-top:0pt;height:11pt;width:20.5pt;mso-position-horizontal:center;mso-position-horizontal-relative:margin;z-index:251660288;mso-width-relative:page;mso-height-relative:page;" filled="f" stroked="f" coordsize="21600,21600" o:gfxdata="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G/Hw07TAAAAAwEAAA8AAAAAAAAAAQAgAAAAIgAAAGRycy9kb3ducmV2LnhtbFBLAQIUABQAAAAI&#10;AIdO4kDyXeybuQEAAHEDAAAOAAAAAAAAAAEAIAAAACIBAABkcnMvZTJvRG9jLnhtbFBLBQYAAAAA&#10;BgAGAFkBAABNBQAAAAA=&#10;">
              <v:fill on="f" focussize="0,0"/>
              <v:stroke on="f"/>
              <v:imagedata o:title=""/>
              <o:lock v:ext="edit" aspectratio="f"/>
              <v:textbox inset="0mm,0mm,0mm,0mm">
                <w:txbxContent>
                  <w:p w14:paraId="14BB8D96">
                    <w:pPr>
                      <w:spacing w:line="220" w:lineRule="exact"/>
                      <w:rPr>
                        <w:rFonts w:ascii="Times New Roman" w:hAnsi="Times New Roman" w:cs="Times New Roman"/>
                        <w:sz w:val="18"/>
                      </w:rPr>
                    </w:pPr>
                    <w:r>
                      <w:rPr>
                        <w:rFonts w:ascii="Times New Roman" w:hAnsi="Times New Roman" w:cs="Times New Roman"/>
                        <w:sz w:val="18"/>
                      </w:rPr>
                      <w:t xml:space="preserve">   共 </w:t>
                    </w:r>
                    <w:r>
                      <w:rPr>
                        <w:rFonts w:ascii="Times New Roman" w:hAnsi="Times New Roman" w:cs="Times New Roman"/>
                        <w:sz w:val="18"/>
                      </w:rPr>
                      <w:fldChar w:fldCharType="begin"/>
                    </w:r>
                    <w:r>
                      <w:rPr>
                        <w:rFonts w:ascii="Times New Roman" w:hAnsi="Times New Roman" w:cs="Times New Roman"/>
                        <w:sz w:val="18"/>
                      </w:rPr>
                      <w:instrText xml:space="preserve"> NUMPAGES  \* MERGEFORMAT </w:instrText>
                    </w:r>
                    <w:r>
                      <w:rPr>
                        <w:rFonts w:ascii="Times New Roman" w:hAnsi="Times New Roman" w:cs="Times New Roman"/>
                        <w:sz w:val="18"/>
                      </w:rPr>
                      <w:fldChar w:fldCharType="separate"/>
                    </w:r>
                    <w:r>
                      <w:rPr>
                        <w:rFonts w:ascii="Times New Roman" w:hAnsi="Times New Roman" w:cs="Times New Roman"/>
                        <w:sz w:val="18"/>
                      </w:rPr>
                      <w:t>91</w:t>
                    </w:r>
                    <w:r>
                      <w:rPr>
                        <w:rFonts w:ascii="Times New Roman" w:hAnsi="Times New Roman" w:cs="Times New Roman"/>
                        <w:sz w:val="18"/>
                      </w:rPr>
                      <w:fldChar w:fldCharType="end"/>
                    </w:r>
                    <w:r>
                      <w:rPr>
                        <w:rFonts w:ascii="Times New Roman" w:hAnsi="Times New Roman" w:cs="Times New Roman"/>
                        <w:sz w:val="18"/>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9DD3DF">
    <w:pPr>
      <w:widowControl w:val="0"/>
      <w:pBdr>
        <w:bottom w:val="none" w:color="auto" w:sz="0" w:space="0"/>
      </w:pBdr>
      <w:tabs>
        <w:tab w:val="center" w:pos="4153"/>
        <w:tab w:val="right" w:pos="8306"/>
      </w:tabs>
      <w:snapToGrid w:val="0"/>
      <w:jc w:val="center"/>
      <w:rPr>
        <w:rFonts w:ascii="Times New Roman" w:hAnsi="Times New Roman" w:eastAsia="宋体" w:cs="Times New Roman"/>
        <w:kern w:val="2"/>
        <w:sz w:val="18"/>
        <w:szCs w:val="18"/>
        <w:lang w:val="en-US" w:eastAsia="zh-CN" w:bidi="ar-S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DAE295">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3D717A"/>
    <w:multiLevelType w:val="multilevel"/>
    <w:tmpl w:val="8A3D717A"/>
    <w:lvl w:ilvl="0" w:tentative="0">
      <w:start w:val="26"/>
      <w:numFmt w:val="decimal"/>
      <w:lvlText w:val="%1."/>
      <w:lvlJc w:val="left"/>
      <w:pPr>
        <w:ind w:left="999" w:hanging="562"/>
        <w:jc w:val="left"/>
      </w:pPr>
      <w:rPr>
        <w:rFonts w:hint="default" w:ascii="仿宋" w:hAnsi="仿宋" w:eastAsia="仿宋" w:cs="仿宋"/>
        <w:b/>
        <w:bCs/>
        <w:i w:val="0"/>
        <w:iCs w:val="0"/>
        <w:spacing w:val="-2"/>
        <w:w w:val="99"/>
        <w:sz w:val="28"/>
        <w:szCs w:val="28"/>
        <w:lang w:val="en-US" w:eastAsia="zh-CN" w:bidi="ar-SA"/>
      </w:rPr>
    </w:lvl>
    <w:lvl w:ilvl="1" w:tentative="0">
      <w:start w:val="1"/>
      <w:numFmt w:val="decimal"/>
      <w:lvlText w:val="%1.%2"/>
      <w:lvlJc w:val="left"/>
      <w:pPr>
        <w:ind w:left="1066" w:hanging="629"/>
        <w:jc w:val="left"/>
      </w:pPr>
      <w:rPr>
        <w:rFonts w:hint="default" w:ascii="仿宋" w:hAnsi="仿宋" w:eastAsia="仿宋" w:cs="仿宋"/>
        <w:b w:val="0"/>
        <w:bCs w:val="0"/>
        <w:i w:val="0"/>
        <w:iCs w:val="0"/>
        <w:spacing w:val="-2"/>
        <w:w w:val="100"/>
        <w:sz w:val="28"/>
        <w:szCs w:val="28"/>
        <w:lang w:val="en-US" w:eastAsia="zh-CN" w:bidi="ar-SA"/>
      </w:rPr>
    </w:lvl>
    <w:lvl w:ilvl="2" w:tentative="0">
      <w:start w:val="1"/>
      <w:numFmt w:val="decimal"/>
      <w:lvlText w:val="（%3）"/>
      <w:lvlJc w:val="left"/>
      <w:pPr>
        <w:ind w:left="437" w:hanging="707"/>
        <w:jc w:val="left"/>
      </w:pPr>
      <w:rPr>
        <w:rFonts w:hint="default" w:ascii="仿宋" w:hAnsi="仿宋" w:eastAsia="仿宋" w:cs="仿宋"/>
        <w:b w:val="0"/>
        <w:bCs w:val="0"/>
        <w:i w:val="0"/>
        <w:iCs w:val="0"/>
        <w:spacing w:val="-1"/>
        <w:w w:val="100"/>
        <w:sz w:val="26"/>
        <w:szCs w:val="26"/>
        <w:lang w:val="en-US" w:eastAsia="zh-CN" w:bidi="ar-SA"/>
      </w:rPr>
    </w:lvl>
    <w:lvl w:ilvl="3" w:tentative="0">
      <w:start w:val="0"/>
      <w:numFmt w:val="bullet"/>
      <w:lvlText w:val="•"/>
      <w:lvlJc w:val="left"/>
      <w:pPr>
        <w:ind w:left="1080" w:hanging="707"/>
      </w:pPr>
      <w:rPr>
        <w:rFonts w:hint="default"/>
        <w:lang w:val="en-US" w:eastAsia="zh-CN" w:bidi="ar-SA"/>
      </w:rPr>
    </w:lvl>
    <w:lvl w:ilvl="4" w:tentative="0">
      <w:start w:val="0"/>
      <w:numFmt w:val="bullet"/>
      <w:lvlText w:val="•"/>
      <w:lvlJc w:val="left"/>
      <w:pPr>
        <w:ind w:left="1700" w:hanging="707"/>
      </w:pPr>
      <w:rPr>
        <w:rFonts w:hint="default"/>
        <w:lang w:val="en-US" w:eastAsia="zh-CN" w:bidi="ar-SA"/>
      </w:rPr>
    </w:lvl>
    <w:lvl w:ilvl="5" w:tentative="0">
      <w:start w:val="0"/>
      <w:numFmt w:val="bullet"/>
      <w:lvlText w:val="•"/>
      <w:lvlJc w:val="left"/>
      <w:pPr>
        <w:ind w:left="1911" w:hanging="707"/>
      </w:pPr>
      <w:rPr>
        <w:rFonts w:hint="default"/>
        <w:lang w:val="en-US" w:eastAsia="zh-CN" w:bidi="ar-SA"/>
      </w:rPr>
    </w:lvl>
    <w:lvl w:ilvl="6" w:tentative="0">
      <w:start w:val="0"/>
      <w:numFmt w:val="bullet"/>
      <w:lvlText w:val="•"/>
      <w:lvlJc w:val="left"/>
      <w:pPr>
        <w:ind w:left="2122" w:hanging="707"/>
      </w:pPr>
      <w:rPr>
        <w:rFonts w:hint="default"/>
        <w:lang w:val="en-US" w:eastAsia="zh-CN" w:bidi="ar-SA"/>
      </w:rPr>
    </w:lvl>
    <w:lvl w:ilvl="7" w:tentative="0">
      <w:start w:val="0"/>
      <w:numFmt w:val="bullet"/>
      <w:lvlText w:val="•"/>
      <w:lvlJc w:val="left"/>
      <w:pPr>
        <w:ind w:left="2333" w:hanging="707"/>
      </w:pPr>
      <w:rPr>
        <w:rFonts w:hint="default"/>
        <w:lang w:val="en-US" w:eastAsia="zh-CN" w:bidi="ar-SA"/>
      </w:rPr>
    </w:lvl>
    <w:lvl w:ilvl="8" w:tentative="0">
      <w:start w:val="0"/>
      <w:numFmt w:val="bullet"/>
      <w:lvlText w:val="•"/>
      <w:lvlJc w:val="left"/>
      <w:pPr>
        <w:ind w:left="2544" w:hanging="707"/>
      </w:pPr>
      <w:rPr>
        <w:rFonts w:hint="default"/>
        <w:lang w:val="en-US" w:eastAsia="zh-CN" w:bidi="ar-SA"/>
      </w:rPr>
    </w:lvl>
  </w:abstractNum>
  <w:abstractNum w:abstractNumId="1">
    <w:nsid w:val="966B5263"/>
    <w:multiLevelType w:val="singleLevel"/>
    <w:tmpl w:val="966B5263"/>
    <w:lvl w:ilvl="0" w:tentative="0">
      <w:start w:val="24"/>
      <w:numFmt w:val="decimal"/>
      <w:suff w:val="space"/>
      <w:lvlText w:val="%1."/>
      <w:lvlJc w:val="left"/>
    </w:lvl>
  </w:abstractNum>
  <w:abstractNum w:abstractNumId="2">
    <w:nsid w:val="B2BF8746"/>
    <w:multiLevelType w:val="multilevel"/>
    <w:tmpl w:val="B2BF8746"/>
    <w:lvl w:ilvl="0" w:tentative="0">
      <w:start w:val="1"/>
      <w:numFmt w:val="decimal"/>
      <w:lvlText w:val="%1."/>
      <w:lvlJc w:val="left"/>
      <w:pPr>
        <w:ind w:left="1504" w:hanging="564"/>
        <w:jc w:val="left"/>
      </w:pPr>
      <w:rPr>
        <w:rFonts w:hint="default" w:ascii="仿宋" w:hAnsi="仿宋" w:eastAsia="仿宋" w:cs="仿宋"/>
        <w:b/>
        <w:bCs/>
        <w:i w:val="0"/>
        <w:iCs w:val="0"/>
        <w:spacing w:val="0"/>
        <w:w w:val="99"/>
        <w:sz w:val="28"/>
        <w:szCs w:val="28"/>
        <w:lang w:val="en-US" w:eastAsia="zh-CN" w:bidi="ar-SA"/>
      </w:rPr>
    </w:lvl>
    <w:lvl w:ilvl="1" w:tentative="0">
      <w:start w:val="2"/>
      <w:numFmt w:val="decimal"/>
      <w:lvlText w:val="（%2）"/>
      <w:lvlJc w:val="left"/>
      <w:pPr>
        <w:ind w:left="940" w:hanging="706"/>
        <w:jc w:val="left"/>
      </w:pPr>
      <w:rPr>
        <w:rFonts w:hint="default" w:ascii="仿宋" w:hAnsi="仿宋" w:eastAsia="仿宋" w:cs="仿宋"/>
        <w:b/>
        <w:bCs/>
        <w:i w:val="0"/>
        <w:iCs w:val="0"/>
        <w:spacing w:val="-1"/>
        <w:w w:val="99"/>
        <w:sz w:val="26"/>
        <w:szCs w:val="26"/>
        <w:lang w:val="en-US" w:eastAsia="zh-CN" w:bidi="ar-SA"/>
      </w:rPr>
    </w:lvl>
    <w:lvl w:ilvl="2" w:tentative="0">
      <w:start w:val="1"/>
      <w:numFmt w:val="decimal"/>
      <w:lvlText w:val="%3."/>
      <w:lvlJc w:val="left"/>
      <w:pPr>
        <w:ind w:left="423" w:hanging="423"/>
        <w:jc w:val="right"/>
      </w:pPr>
      <w:rPr>
        <w:rFonts w:hint="default" w:ascii="宋体" w:hAnsi="宋体" w:eastAsia="宋体" w:cs="宋体"/>
        <w:b/>
        <w:bCs/>
        <w:i w:val="0"/>
        <w:iCs w:val="0"/>
        <w:spacing w:val="0"/>
        <w:w w:val="99"/>
        <w:sz w:val="28"/>
        <w:szCs w:val="28"/>
        <w:lang w:val="en-US" w:eastAsia="zh-CN" w:bidi="ar-SA"/>
      </w:rPr>
    </w:lvl>
    <w:lvl w:ilvl="3" w:tentative="0">
      <w:start w:val="0"/>
      <w:numFmt w:val="bullet"/>
      <w:lvlText w:val="•"/>
      <w:lvlJc w:val="left"/>
      <w:pPr>
        <w:ind w:left="4195" w:hanging="423"/>
      </w:pPr>
      <w:rPr>
        <w:rFonts w:hint="default"/>
        <w:lang w:val="en-US" w:eastAsia="zh-CN" w:bidi="ar-SA"/>
      </w:rPr>
    </w:lvl>
    <w:lvl w:ilvl="4" w:tentative="0">
      <w:start w:val="0"/>
      <w:numFmt w:val="bullet"/>
      <w:lvlText w:val="•"/>
      <w:lvlJc w:val="left"/>
      <w:pPr>
        <w:ind w:left="5050" w:hanging="423"/>
      </w:pPr>
      <w:rPr>
        <w:rFonts w:hint="default"/>
        <w:lang w:val="en-US" w:eastAsia="zh-CN" w:bidi="ar-SA"/>
      </w:rPr>
    </w:lvl>
    <w:lvl w:ilvl="5" w:tentative="0">
      <w:start w:val="0"/>
      <w:numFmt w:val="bullet"/>
      <w:lvlText w:val="•"/>
      <w:lvlJc w:val="left"/>
      <w:pPr>
        <w:ind w:left="5905" w:hanging="423"/>
      </w:pPr>
      <w:rPr>
        <w:rFonts w:hint="default"/>
        <w:lang w:val="en-US" w:eastAsia="zh-CN" w:bidi="ar-SA"/>
      </w:rPr>
    </w:lvl>
    <w:lvl w:ilvl="6" w:tentative="0">
      <w:start w:val="0"/>
      <w:numFmt w:val="bullet"/>
      <w:lvlText w:val="•"/>
      <w:lvlJc w:val="left"/>
      <w:pPr>
        <w:ind w:left="6760" w:hanging="423"/>
      </w:pPr>
      <w:rPr>
        <w:rFonts w:hint="default"/>
        <w:lang w:val="en-US" w:eastAsia="zh-CN" w:bidi="ar-SA"/>
      </w:rPr>
    </w:lvl>
    <w:lvl w:ilvl="7" w:tentative="0">
      <w:start w:val="0"/>
      <w:numFmt w:val="bullet"/>
      <w:lvlText w:val="•"/>
      <w:lvlJc w:val="left"/>
      <w:pPr>
        <w:ind w:left="7615" w:hanging="423"/>
      </w:pPr>
      <w:rPr>
        <w:rFonts w:hint="default"/>
        <w:lang w:val="en-US" w:eastAsia="zh-CN" w:bidi="ar-SA"/>
      </w:rPr>
    </w:lvl>
    <w:lvl w:ilvl="8" w:tentative="0">
      <w:start w:val="0"/>
      <w:numFmt w:val="bullet"/>
      <w:lvlText w:val="•"/>
      <w:lvlJc w:val="left"/>
      <w:pPr>
        <w:ind w:left="8470" w:hanging="423"/>
      </w:pPr>
      <w:rPr>
        <w:rFonts w:hint="default"/>
        <w:lang w:val="en-US" w:eastAsia="zh-CN" w:bidi="ar-SA"/>
      </w:rPr>
    </w:lvl>
  </w:abstractNum>
  <w:abstractNum w:abstractNumId="3">
    <w:nsid w:val="BB131B36"/>
    <w:multiLevelType w:val="multilevel"/>
    <w:tmpl w:val="BB131B36"/>
    <w:lvl w:ilvl="0" w:tentative="0">
      <w:start w:val="1"/>
      <w:numFmt w:val="decimal"/>
      <w:lvlText w:val="（%1）"/>
      <w:lvlJc w:val="left"/>
      <w:pPr>
        <w:ind w:left="437" w:hanging="705"/>
        <w:jc w:val="left"/>
      </w:pPr>
      <w:rPr>
        <w:rFonts w:hint="default" w:ascii="仿宋" w:hAnsi="仿宋" w:eastAsia="仿宋" w:cs="仿宋"/>
        <w:b w:val="0"/>
        <w:bCs w:val="0"/>
        <w:i w:val="0"/>
        <w:iCs w:val="0"/>
        <w:spacing w:val="-1"/>
        <w:w w:val="100"/>
        <w:sz w:val="26"/>
        <w:szCs w:val="26"/>
        <w:lang w:val="en-US" w:eastAsia="zh-CN" w:bidi="ar-SA"/>
      </w:rPr>
    </w:lvl>
    <w:lvl w:ilvl="1" w:tentative="0">
      <w:start w:val="0"/>
      <w:numFmt w:val="bullet"/>
      <w:lvlText w:val="•"/>
      <w:lvlJc w:val="left"/>
      <w:pPr>
        <w:ind w:left="1332" w:hanging="705"/>
      </w:pPr>
      <w:rPr>
        <w:rFonts w:hint="default"/>
        <w:lang w:val="en-US" w:eastAsia="zh-CN" w:bidi="ar-SA"/>
      </w:rPr>
    </w:lvl>
    <w:lvl w:ilvl="2" w:tentative="0">
      <w:start w:val="0"/>
      <w:numFmt w:val="bullet"/>
      <w:lvlText w:val="•"/>
      <w:lvlJc w:val="left"/>
      <w:pPr>
        <w:ind w:left="2225" w:hanging="705"/>
      </w:pPr>
      <w:rPr>
        <w:rFonts w:hint="default"/>
        <w:lang w:val="en-US" w:eastAsia="zh-CN" w:bidi="ar-SA"/>
      </w:rPr>
    </w:lvl>
    <w:lvl w:ilvl="3" w:tentative="0">
      <w:start w:val="0"/>
      <w:numFmt w:val="bullet"/>
      <w:lvlText w:val="•"/>
      <w:lvlJc w:val="left"/>
      <w:pPr>
        <w:ind w:left="3117" w:hanging="705"/>
      </w:pPr>
      <w:rPr>
        <w:rFonts w:hint="default"/>
        <w:lang w:val="en-US" w:eastAsia="zh-CN" w:bidi="ar-SA"/>
      </w:rPr>
    </w:lvl>
    <w:lvl w:ilvl="4" w:tentative="0">
      <w:start w:val="0"/>
      <w:numFmt w:val="bullet"/>
      <w:lvlText w:val="•"/>
      <w:lvlJc w:val="left"/>
      <w:pPr>
        <w:ind w:left="4010" w:hanging="705"/>
      </w:pPr>
      <w:rPr>
        <w:rFonts w:hint="default"/>
        <w:lang w:val="en-US" w:eastAsia="zh-CN" w:bidi="ar-SA"/>
      </w:rPr>
    </w:lvl>
    <w:lvl w:ilvl="5" w:tentative="0">
      <w:start w:val="0"/>
      <w:numFmt w:val="bullet"/>
      <w:lvlText w:val="•"/>
      <w:lvlJc w:val="left"/>
      <w:pPr>
        <w:ind w:left="4903" w:hanging="705"/>
      </w:pPr>
      <w:rPr>
        <w:rFonts w:hint="default"/>
        <w:lang w:val="en-US" w:eastAsia="zh-CN" w:bidi="ar-SA"/>
      </w:rPr>
    </w:lvl>
    <w:lvl w:ilvl="6" w:tentative="0">
      <w:start w:val="0"/>
      <w:numFmt w:val="bullet"/>
      <w:lvlText w:val="•"/>
      <w:lvlJc w:val="left"/>
      <w:pPr>
        <w:ind w:left="5795" w:hanging="705"/>
      </w:pPr>
      <w:rPr>
        <w:rFonts w:hint="default"/>
        <w:lang w:val="en-US" w:eastAsia="zh-CN" w:bidi="ar-SA"/>
      </w:rPr>
    </w:lvl>
    <w:lvl w:ilvl="7" w:tentative="0">
      <w:start w:val="0"/>
      <w:numFmt w:val="bullet"/>
      <w:lvlText w:val="•"/>
      <w:lvlJc w:val="left"/>
      <w:pPr>
        <w:ind w:left="6688" w:hanging="705"/>
      </w:pPr>
      <w:rPr>
        <w:rFonts w:hint="default"/>
        <w:lang w:val="en-US" w:eastAsia="zh-CN" w:bidi="ar-SA"/>
      </w:rPr>
    </w:lvl>
    <w:lvl w:ilvl="8" w:tentative="0">
      <w:start w:val="0"/>
      <w:numFmt w:val="bullet"/>
      <w:lvlText w:val="•"/>
      <w:lvlJc w:val="left"/>
      <w:pPr>
        <w:ind w:left="7580" w:hanging="705"/>
      </w:pPr>
      <w:rPr>
        <w:rFonts w:hint="default"/>
        <w:lang w:val="en-US" w:eastAsia="zh-CN" w:bidi="ar-SA"/>
      </w:rPr>
    </w:lvl>
  </w:abstractNum>
  <w:abstractNum w:abstractNumId="4">
    <w:nsid w:val="C1C42119"/>
    <w:multiLevelType w:val="multilevel"/>
    <w:tmpl w:val="C1C42119"/>
    <w:lvl w:ilvl="0" w:tentative="0">
      <w:start w:val="39"/>
      <w:numFmt w:val="decimal"/>
      <w:lvlText w:val="%1"/>
      <w:lvlJc w:val="left"/>
      <w:pPr>
        <w:ind w:left="437" w:hanging="634"/>
        <w:jc w:val="left"/>
      </w:pPr>
      <w:rPr>
        <w:rFonts w:hint="default"/>
        <w:lang w:val="en-US" w:eastAsia="zh-CN" w:bidi="ar-SA"/>
      </w:rPr>
    </w:lvl>
    <w:lvl w:ilvl="1" w:tentative="0">
      <w:start w:val="1"/>
      <w:numFmt w:val="decimal"/>
      <w:lvlText w:val="%1.%2"/>
      <w:lvlJc w:val="left"/>
      <w:pPr>
        <w:ind w:left="437" w:hanging="634"/>
        <w:jc w:val="left"/>
      </w:pPr>
      <w:rPr>
        <w:rFonts w:hint="default" w:ascii="仿宋" w:hAnsi="仿宋" w:eastAsia="仿宋" w:cs="仿宋"/>
        <w:b w:val="0"/>
        <w:bCs w:val="0"/>
        <w:i w:val="0"/>
        <w:iCs w:val="0"/>
        <w:spacing w:val="-2"/>
        <w:w w:val="100"/>
        <w:sz w:val="28"/>
        <w:szCs w:val="28"/>
        <w:lang w:val="en-US" w:eastAsia="zh-CN" w:bidi="ar-SA"/>
      </w:rPr>
    </w:lvl>
    <w:lvl w:ilvl="2" w:tentative="0">
      <w:start w:val="0"/>
      <w:numFmt w:val="bullet"/>
      <w:lvlText w:val="•"/>
      <w:lvlJc w:val="left"/>
      <w:pPr>
        <w:ind w:left="2225" w:hanging="634"/>
      </w:pPr>
      <w:rPr>
        <w:rFonts w:hint="default"/>
        <w:lang w:val="en-US" w:eastAsia="zh-CN" w:bidi="ar-SA"/>
      </w:rPr>
    </w:lvl>
    <w:lvl w:ilvl="3" w:tentative="0">
      <w:start w:val="0"/>
      <w:numFmt w:val="bullet"/>
      <w:lvlText w:val="•"/>
      <w:lvlJc w:val="left"/>
      <w:pPr>
        <w:ind w:left="3117" w:hanging="634"/>
      </w:pPr>
      <w:rPr>
        <w:rFonts w:hint="default"/>
        <w:lang w:val="en-US" w:eastAsia="zh-CN" w:bidi="ar-SA"/>
      </w:rPr>
    </w:lvl>
    <w:lvl w:ilvl="4" w:tentative="0">
      <w:start w:val="0"/>
      <w:numFmt w:val="bullet"/>
      <w:lvlText w:val="•"/>
      <w:lvlJc w:val="left"/>
      <w:pPr>
        <w:ind w:left="4010" w:hanging="634"/>
      </w:pPr>
      <w:rPr>
        <w:rFonts w:hint="default"/>
        <w:lang w:val="en-US" w:eastAsia="zh-CN" w:bidi="ar-SA"/>
      </w:rPr>
    </w:lvl>
    <w:lvl w:ilvl="5" w:tentative="0">
      <w:start w:val="0"/>
      <w:numFmt w:val="bullet"/>
      <w:lvlText w:val="•"/>
      <w:lvlJc w:val="left"/>
      <w:pPr>
        <w:ind w:left="4903" w:hanging="634"/>
      </w:pPr>
      <w:rPr>
        <w:rFonts w:hint="default"/>
        <w:lang w:val="en-US" w:eastAsia="zh-CN" w:bidi="ar-SA"/>
      </w:rPr>
    </w:lvl>
    <w:lvl w:ilvl="6" w:tentative="0">
      <w:start w:val="0"/>
      <w:numFmt w:val="bullet"/>
      <w:lvlText w:val="•"/>
      <w:lvlJc w:val="left"/>
      <w:pPr>
        <w:ind w:left="5795" w:hanging="634"/>
      </w:pPr>
      <w:rPr>
        <w:rFonts w:hint="default"/>
        <w:lang w:val="en-US" w:eastAsia="zh-CN" w:bidi="ar-SA"/>
      </w:rPr>
    </w:lvl>
    <w:lvl w:ilvl="7" w:tentative="0">
      <w:start w:val="0"/>
      <w:numFmt w:val="bullet"/>
      <w:lvlText w:val="•"/>
      <w:lvlJc w:val="left"/>
      <w:pPr>
        <w:ind w:left="6688" w:hanging="634"/>
      </w:pPr>
      <w:rPr>
        <w:rFonts w:hint="default"/>
        <w:lang w:val="en-US" w:eastAsia="zh-CN" w:bidi="ar-SA"/>
      </w:rPr>
    </w:lvl>
    <w:lvl w:ilvl="8" w:tentative="0">
      <w:start w:val="0"/>
      <w:numFmt w:val="bullet"/>
      <w:lvlText w:val="•"/>
      <w:lvlJc w:val="left"/>
      <w:pPr>
        <w:ind w:left="7580" w:hanging="634"/>
      </w:pPr>
      <w:rPr>
        <w:rFonts w:hint="default"/>
        <w:lang w:val="en-US" w:eastAsia="zh-CN" w:bidi="ar-SA"/>
      </w:rPr>
    </w:lvl>
  </w:abstractNum>
  <w:abstractNum w:abstractNumId="5">
    <w:nsid w:val="C2760151"/>
    <w:multiLevelType w:val="singleLevel"/>
    <w:tmpl w:val="C2760151"/>
    <w:lvl w:ilvl="0" w:tentative="0">
      <w:start w:val="23"/>
      <w:numFmt w:val="decimal"/>
      <w:suff w:val="space"/>
      <w:lvlText w:val="%1."/>
      <w:lvlJc w:val="left"/>
    </w:lvl>
  </w:abstractNum>
  <w:abstractNum w:abstractNumId="6">
    <w:nsid w:val="F4D3F639"/>
    <w:multiLevelType w:val="multilevel"/>
    <w:tmpl w:val="F4D3F639"/>
    <w:lvl w:ilvl="0" w:tentative="0">
      <w:start w:val="1"/>
      <w:numFmt w:val="decimal"/>
      <w:lvlText w:val="（%1）"/>
      <w:lvlJc w:val="left"/>
      <w:pPr>
        <w:ind w:left="26" w:hanging="716"/>
        <w:jc w:val="left"/>
      </w:pPr>
      <w:rPr>
        <w:rFonts w:hint="default" w:ascii="仿宋" w:hAnsi="仿宋" w:eastAsia="仿宋" w:cs="仿宋"/>
        <w:b w:val="0"/>
        <w:bCs w:val="0"/>
        <w:i w:val="0"/>
        <w:iCs w:val="0"/>
        <w:spacing w:val="3"/>
        <w:w w:val="100"/>
        <w:sz w:val="26"/>
        <w:szCs w:val="26"/>
        <w:lang w:val="en-US" w:eastAsia="zh-CN" w:bidi="ar-SA"/>
      </w:rPr>
    </w:lvl>
    <w:lvl w:ilvl="1" w:tentative="0">
      <w:start w:val="0"/>
      <w:numFmt w:val="bullet"/>
      <w:lvlText w:val="•"/>
      <w:lvlJc w:val="left"/>
      <w:pPr>
        <w:ind w:left="804" w:hanging="716"/>
      </w:pPr>
      <w:rPr>
        <w:rFonts w:hint="default"/>
        <w:lang w:val="en-US" w:eastAsia="zh-CN" w:bidi="ar-SA"/>
      </w:rPr>
    </w:lvl>
    <w:lvl w:ilvl="2" w:tentative="0">
      <w:start w:val="0"/>
      <w:numFmt w:val="bullet"/>
      <w:lvlText w:val="•"/>
      <w:lvlJc w:val="left"/>
      <w:pPr>
        <w:ind w:left="1588" w:hanging="716"/>
      </w:pPr>
      <w:rPr>
        <w:rFonts w:hint="default"/>
        <w:lang w:val="en-US" w:eastAsia="zh-CN" w:bidi="ar-SA"/>
      </w:rPr>
    </w:lvl>
    <w:lvl w:ilvl="3" w:tentative="0">
      <w:start w:val="0"/>
      <w:numFmt w:val="bullet"/>
      <w:lvlText w:val="•"/>
      <w:lvlJc w:val="left"/>
      <w:pPr>
        <w:ind w:left="2372" w:hanging="716"/>
      </w:pPr>
      <w:rPr>
        <w:rFonts w:hint="default"/>
        <w:lang w:val="en-US" w:eastAsia="zh-CN" w:bidi="ar-SA"/>
      </w:rPr>
    </w:lvl>
    <w:lvl w:ilvl="4" w:tentative="0">
      <w:start w:val="0"/>
      <w:numFmt w:val="bullet"/>
      <w:lvlText w:val="•"/>
      <w:lvlJc w:val="left"/>
      <w:pPr>
        <w:ind w:left="3157" w:hanging="716"/>
      </w:pPr>
      <w:rPr>
        <w:rFonts w:hint="default"/>
        <w:lang w:val="en-US" w:eastAsia="zh-CN" w:bidi="ar-SA"/>
      </w:rPr>
    </w:lvl>
    <w:lvl w:ilvl="5" w:tentative="0">
      <w:start w:val="0"/>
      <w:numFmt w:val="bullet"/>
      <w:lvlText w:val="•"/>
      <w:lvlJc w:val="left"/>
      <w:pPr>
        <w:ind w:left="3941" w:hanging="716"/>
      </w:pPr>
      <w:rPr>
        <w:rFonts w:hint="default"/>
        <w:lang w:val="en-US" w:eastAsia="zh-CN" w:bidi="ar-SA"/>
      </w:rPr>
    </w:lvl>
    <w:lvl w:ilvl="6" w:tentative="0">
      <w:start w:val="0"/>
      <w:numFmt w:val="bullet"/>
      <w:lvlText w:val="•"/>
      <w:lvlJc w:val="left"/>
      <w:pPr>
        <w:ind w:left="4725" w:hanging="716"/>
      </w:pPr>
      <w:rPr>
        <w:rFonts w:hint="default"/>
        <w:lang w:val="en-US" w:eastAsia="zh-CN" w:bidi="ar-SA"/>
      </w:rPr>
    </w:lvl>
    <w:lvl w:ilvl="7" w:tentative="0">
      <w:start w:val="0"/>
      <w:numFmt w:val="bullet"/>
      <w:lvlText w:val="•"/>
      <w:lvlJc w:val="left"/>
      <w:pPr>
        <w:ind w:left="5510" w:hanging="716"/>
      </w:pPr>
      <w:rPr>
        <w:rFonts w:hint="default"/>
        <w:lang w:val="en-US" w:eastAsia="zh-CN" w:bidi="ar-SA"/>
      </w:rPr>
    </w:lvl>
    <w:lvl w:ilvl="8" w:tentative="0">
      <w:start w:val="0"/>
      <w:numFmt w:val="bullet"/>
      <w:lvlText w:val="•"/>
      <w:lvlJc w:val="left"/>
      <w:pPr>
        <w:ind w:left="6294" w:hanging="716"/>
      </w:pPr>
      <w:rPr>
        <w:rFonts w:hint="default"/>
        <w:lang w:val="en-US" w:eastAsia="zh-CN" w:bidi="ar-SA"/>
      </w:rPr>
    </w:lvl>
  </w:abstractNum>
  <w:abstractNum w:abstractNumId="7">
    <w:nsid w:val="F5FE3511"/>
    <w:multiLevelType w:val="multilevel"/>
    <w:tmpl w:val="F5FE3511"/>
    <w:lvl w:ilvl="0" w:tentative="0">
      <w:start w:val="1"/>
      <w:numFmt w:val="decimal"/>
      <w:lvlText w:val="（%1）"/>
      <w:lvlJc w:val="left"/>
      <w:pPr>
        <w:ind w:left="437" w:hanging="705"/>
        <w:jc w:val="left"/>
      </w:pPr>
      <w:rPr>
        <w:rFonts w:hint="default" w:ascii="仿宋" w:hAnsi="仿宋" w:eastAsia="仿宋" w:cs="仿宋"/>
        <w:b w:val="0"/>
        <w:bCs w:val="0"/>
        <w:i w:val="0"/>
        <w:iCs w:val="0"/>
        <w:spacing w:val="-1"/>
        <w:w w:val="100"/>
        <w:sz w:val="26"/>
        <w:szCs w:val="26"/>
        <w:lang w:val="en-US" w:eastAsia="zh-CN" w:bidi="ar-SA"/>
      </w:rPr>
    </w:lvl>
    <w:lvl w:ilvl="1" w:tentative="0">
      <w:start w:val="0"/>
      <w:numFmt w:val="bullet"/>
      <w:lvlText w:val="•"/>
      <w:lvlJc w:val="left"/>
      <w:pPr>
        <w:ind w:left="1332" w:hanging="705"/>
      </w:pPr>
      <w:rPr>
        <w:rFonts w:hint="default"/>
        <w:lang w:val="en-US" w:eastAsia="zh-CN" w:bidi="ar-SA"/>
      </w:rPr>
    </w:lvl>
    <w:lvl w:ilvl="2" w:tentative="0">
      <w:start w:val="0"/>
      <w:numFmt w:val="bullet"/>
      <w:lvlText w:val="•"/>
      <w:lvlJc w:val="left"/>
      <w:pPr>
        <w:ind w:left="2225" w:hanging="705"/>
      </w:pPr>
      <w:rPr>
        <w:rFonts w:hint="default"/>
        <w:lang w:val="en-US" w:eastAsia="zh-CN" w:bidi="ar-SA"/>
      </w:rPr>
    </w:lvl>
    <w:lvl w:ilvl="3" w:tentative="0">
      <w:start w:val="0"/>
      <w:numFmt w:val="bullet"/>
      <w:lvlText w:val="•"/>
      <w:lvlJc w:val="left"/>
      <w:pPr>
        <w:ind w:left="3117" w:hanging="705"/>
      </w:pPr>
      <w:rPr>
        <w:rFonts w:hint="default"/>
        <w:lang w:val="en-US" w:eastAsia="zh-CN" w:bidi="ar-SA"/>
      </w:rPr>
    </w:lvl>
    <w:lvl w:ilvl="4" w:tentative="0">
      <w:start w:val="0"/>
      <w:numFmt w:val="bullet"/>
      <w:lvlText w:val="•"/>
      <w:lvlJc w:val="left"/>
      <w:pPr>
        <w:ind w:left="4010" w:hanging="705"/>
      </w:pPr>
      <w:rPr>
        <w:rFonts w:hint="default"/>
        <w:lang w:val="en-US" w:eastAsia="zh-CN" w:bidi="ar-SA"/>
      </w:rPr>
    </w:lvl>
    <w:lvl w:ilvl="5" w:tentative="0">
      <w:start w:val="0"/>
      <w:numFmt w:val="bullet"/>
      <w:lvlText w:val="•"/>
      <w:lvlJc w:val="left"/>
      <w:pPr>
        <w:ind w:left="4903" w:hanging="705"/>
      </w:pPr>
      <w:rPr>
        <w:rFonts w:hint="default"/>
        <w:lang w:val="en-US" w:eastAsia="zh-CN" w:bidi="ar-SA"/>
      </w:rPr>
    </w:lvl>
    <w:lvl w:ilvl="6" w:tentative="0">
      <w:start w:val="0"/>
      <w:numFmt w:val="bullet"/>
      <w:lvlText w:val="•"/>
      <w:lvlJc w:val="left"/>
      <w:pPr>
        <w:ind w:left="5795" w:hanging="705"/>
      </w:pPr>
      <w:rPr>
        <w:rFonts w:hint="default"/>
        <w:lang w:val="en-US" w:eastAsia="zh-CN" w:bidi="ar-SA"/>
      </w:rPr>
    </w:lvl>
    <w:lvl w:ilvl="7" w:tentative="0">
      <w:start w:val="0"/>
      <w:numFmt w:val="bullet"/>
      <w:lvlText w:val="•"/>
      <w:lvlJc w:val="left"/>
      <w:pPr>
        <w:ind w:left="6688" w:hanging="705"/>
      </w:pPr>
      <w:rPr>
        <w:rFonts w:hint="default"/>
        <w:lang w:val="en-US" w:eastAsia="zh-CN" w:bidi="ar-SA"/>
      </w:rPr>
    </w:lvl>
    <w:lvl w:ilvl="8" w:tentative="0">
      <w:start w:val="0"/>
      <w:numFmt w:val="bullet"/>
      <w:lvlText w:val="•"/>
      <w:lvlJc w:val="left"/>
      <w:pPr>
        <w:ind w:left="7580" w:hanging="705"/>
      </w:pPr>
      <w:rPr>
        <w:rFonts w:hint="default"/>
        <w:lang w:val="en-US" w:eastAsia="zh-CN" w:bidi="ar-SA"/>
      </w:rPr>
    </w:lvl>
  </w:abstractNum>
  <w:abstractNum w:abstractNumId="8">
    <w:nsid w:val="FB3D5498"/>
    <w:multiLevelType w:val="multilevel"/>
    <w:tmpl w:val="FB3D5498"/>
    <w:lvl w:ilvl="0" w:tentative="0">
      <w:start w:val="47"/>
      <w:numFmt w:val="decimal"/>
      <w:lvlText w:val="%1."/>
      <w:lvlJc w:val="left"/>
      <w:pPr>
        <w:ind w:left="437" w:hanging="425"/>
        <w:jc w:val="left"/>
      </w:pPr>
      <w:rPr>
        <w:rFonts w:hint="default"/>
        <w:spacing w:val="-2"/>
        <w:w w:val="99"/>
        <w:lang w:val="en-US" w:eastAsia="zh-CN" w:bidi="ar-SA"/>
      </w:rPr>
    </w:lvl>
    <w:lvl w:ilvl="1" w:tentative="0">
      <w:start w:val="1"/>
      <w:numFmt w:val="decimal"/>
      <w:lvlText w:val="%1.%2"/>
      <w:lvlJc w:val="left"/>
      <w:pPr>
        <w:ind w:left="437" w:hanging="840"/>
        <w:jc w:val="left"/>
      </w:pPr>
      <w:rPr>
        <w:rFonts w:hint="default" w:ascii="仿宋" w:hAnsi="仿宋" w:eastAsia="仿宋" w:cs="仿宋"/>
        <w:b w:val="0"/>
        <w:bCs w:val="0"/>
        <w:i w:val="0"/>
        <w:iCs w:val="0"/>
        <w:spacing w:val="-2"/>
        <w:w w:val="100"/>
        <w:sz w:val="28"/>
        <w:szCs w:val="28"/>
        <w:lang w:val="en-US" w:eastAsia="zh-CN" w:bidi="ar-SA"/>
      </w:rPr>
    </w:lvl>
    <w:lvl w:ilvl="2" w:tentative="0">
      <w:start w:val="0"/>
      <w:numFmt w:val="bullet"/>
      <w:lvlText w:val="•"/>
      <w:lvlJc w:val="left"/>
      <w:pPr>
        <w:ind w:left="2225" w:hanging="840"/>
      </w:pPr>
      <w:rPr>
        <w:rFonts w:hint="default"/>
        <w:lang w:val="en-US" w:eastAsia="zh-CN" w:bidi="ar-SA"/>
      </w:rPr>
    </w:lvl>
    <w:lvl w:ilvl="3" w:tentative="0">
      <w:start w:val="0"/>
      <w:numFmt w:val="bullet"/>
      <w:lvlText w:val="•"/>
      <w:lvlJc w:val="left"/>
      <w:pPr>
        <w:ind w:left="3117" w:hanging="840"/>
      </w:pPr>
      <w:rPr>
        <w:rFonts w:hint="default"/>
        <w:lang w:val="en-US" w:eastAsia="zh-CN" w:bidi="ar-SA"/>
      </w:rPr>
    </w:lvl>
    <w:lvl w:ilvl="4" w:tentative="0">
      <w:start w:val="0"/>
      <w:numFmt w:val="bullet"/>
      <w:lvlText w:val="•"/>
      <w:lvlJc w:val="left"/>
      <w:pPr>
        <w:ind w:left="4010" w:hanging="840"/>
      </w:pPr>
      <w:rPr>
        <w:rFonts w:hint="default"/>
        <w:lang w:val="en-US" w:eastAsia="zh-CN" w:bidi="ar-SA"/>
      </w:rPr>
    </w:lvl>
    <w:lvl w:ilvl="5" w:tentative="0">
      <w:start w:val="0"/>
      <w:numFmt w:val="bullet"/>
      <w:lvlText w:val="•"/>
      <w:lvlJc w:val="left"/>
      <w:pPr>
        <w:ind w:left="4903" w:hanging="840"/>
      </w:pPr>
      <w:rPr>
        <w:rFonts w:hint="default"/>
        <w:lang w:val="en-US" w:eastAsia="zh-CN" w:bidi="ar-SA"/>
      </w:rPr>
    </w:lvl>
    <w:lvl w:ilvl="6" w:tentative="0">
      <w:start w:val="0"/>
      <w:numFmt w:val="bullet"/>
      <w:lvlText w:val="•"/>
      <w:lvlJc w:val="left"/>
      <w:pPr>
        <w:ind w:left="5795" w:hanging="840"/>
      </w:pPr>
      <w:rPr>
        <w:rFonts w:hint="default"/>
        <w:lang w:val="en-US" w:eastAsia="zh-CN" w:bidi="ar-SA"/>
      </w:rPr>
    </w:lvl>
    <w:lvl w:ilvl="7" w:tentative="0">
      <w:start w:val="0"/>
      <w:numFmt w:val="bullet"/>
      <w:lvlText w:val="•"/>
      <w:lvlJc w:val="left"/>
      <w:pPr>
        <w:ind w:left="6688" w:hanging="840"/>
      </w:pPr>
      <w:rPr>
        <w:rFonts w:hint="default"/>
        <w:lang w:val="en-US" w:eastAsia="zh-CN" w:bidi="ar-SA"/>
      </w:rPr>
    </w:lvl>
    <w:lvl w:ilvl="8" w:tentative="0">
      <w:start w:val="0"/>
      <w:numFmt w:val="bullet"/>
      <w:lvlText w:val="•"/>
      <w:lvlJc w:val="left"/>
      <w:pPr>
        <w:ind w:left="7580" w:hanging="840"/>
      </w:pPr>
      <w:rPr>
        <w:rFonts w:hint="default"/>
        <w:lang w:val="en-US" w:eastAsia="zh-CN" w:bidi="ar-SA"/>
      </w:rPr>
    </w:lvl>
  </w:abstractNum>
  <w:abstractNum w:abstractNumId="9">
    <w:nsid w:val="04A8DC3E"/>
    <w:multiLevelType w:val="multilevel"/>
    <w:tmpl w:val="04A8DC3E"/>
    <w:lvl w:ilvl="0" w:tentative="0">
      <w:start w:val="1"/>
      <w:numFmt w:val="decimal"/>
      <w:lvlText w:val="%1."/>
      <w:lvlJc w:val="left"/>
      <w:pPr>
        <w:ind w:left="999" w:hanging="284"/>
        <w:jc w:val="left"/>
      </w:pPr>
      <w:rPr>
        <w:rFonts w:hint="default" w:ascii="仿宋" w:hAnsi="仿宋" w:eastAsia="仿宋" w:cs="仿宋"/>
        <w:b w:val="0"/>
        <w:bCs w:val="0"/>
        <w:i w:val="0"/>
        <w:iCs w:val="0"/>
        <w:spacing w:val="-2"/>
        <w:w w:val="100"/>
        <w:sz w:val="26"/>
        <w:szCs w:val="26"/>
        <w:lang w:val="en-US" w:eastAsia="zh-CN" w:bidi="ar-SA"/>
      </w:rPr>
    </w:lvl>
    <w:lvl w:ilvl="1" w:tentative="0">
      <w:start w:val="1"/>
      <w:numFmt w:val="decimal"/>
      <w:lvlText w:val="%2."/>
      <w:lvlJc w:val="left"/>
      <w:pPr>
        <w:ind w:left="1279" w:hanging="284"/>
        <w:jc w:val="left"/>
      </w:pPr>
      <w:rPr>
        <w:rFonts w:hint="default" w:ascii="仿宋" w:hAnsi="仿宋" w:eastAsia="仿宋" w:cs="仿宋"/>
        <w:b w:val="0"/>
        <w:bCs w:val="0"/>
        <w:i w:val="0"/>
        <w:iCs w:val="0"/>
        <w:spacing w:val="-2"/>
        <w:w w:val="100"/>
        <w:sz w:val="26"/>
        <w:szCs w:val="26"/>
        <w:lang w:val="en-US" w:eastAsia="zh-CN" w:bidi="ar-SA"/>
      </w:rPr>
    </w:lvl>
    <w:lvl w:ilvl="2" w:tentative="0">
      <w:start w:val="0"/>
      <w:numFmt w:val="bullet"/>
      <w:lvlText w:val="•"/>
      <w:lvlJc w:val="left"/>
      <w:pPr>
        <w:ind w:left="2178" w:hanging="284"/>
      </w:pPr>
      <w:rPr>
        <w:rFonts w:hint="default"/>
        <w:lang w:val="en-US" w:eastAsia="zh-CN" w:bidi="ar-SA"/>
      </w:rPr>
    </w:lvl>
    <w:lvl w:ilvl="3" w:tentative="0">
      <w:start w:val="0"/>
      <w:numFmt w:val="bullet"/>
      <w:lvlText w:val="•"/>
      <w:lvlJc w:val="left"/>
      <w:pPr>
        <w:ind w:left="3076" w:hanging="284"/>
      </w:pPr>
      <w:rPr>
        <w:rFonts w:hint="default"/>
        <w:lang w:val="en-US" w:eastAsia="zh-CN" w:bidi="ar-SA"/>
      </w:rPr>
    </w:lvl>
    <w:lvl w:ilvl="4" w:tentative="0">
      <w:start w:val="0"/>
      <w:numFmt w:val="bullet"/>
      <w:lvlText w:val="•"/>
      <w:lvlJc w:val="left"/>
      <w:pPr>
        <w:ind w:left="3975" w:hanging="284"/>
      </w:pPr>
      <w:rPr>
        <w:rFonts w:hint="default"/>
        <w:lang w:val="en-US" w:eastAsia="zh-CN" w:bidi="ar-SA"/>
      </w:rPr>
    </w:lvl>
    <w:lvl w:ilvl="5" w:tentative="0">
      <w:start w:val="0"/>
      <w:numFmt w:val="bullet"/>
      <w:lvlText w:val="•"/>
      <w:lvlJc w:val="left"/>
      <w:pPr>
        <w:ind w:left="4873" w:hanging="284"/>
      </w:pPr>
      <w:rPr>
        <w:rFonts w:hint="default"/>
        <w:lang w:val="en-US" w:eastAsia="zh-CN" w:bidi="ar-SA"/>
      </w:rPr>
    </w:lvl>
    <w:lvl w:ilvl="6" w:tentative="0">
      <w:start w:val="0"/>
      <w:numFmt w:val="bullet"/>
      <w:lvlText w:val="•"/>
      <w:lvlJc w:val="left"/>
      <w:pPr>
        <w:ind w:left="5772" w:hanging="284"/>
      </w:pPr>
      <w:rPr>
        <w:rFonts w:hint="default"/>
        <w:lang w:val="en-US" w:eastAsia="zh-CN" w:bidi="ar-SA"/>
      </w:rPr>
    </w:lvl>
    <w:lvl w:ilvl="7" w:tentative="0">
      <w:start w:val="0"/>
      <w:numFmt w:val="bullet"/>
      <w:lvlText w:val="•"/>
      <w:lvlJc w:val="left"/>
      <w:pPr>
        <w:ind w:left="6670" w:hanging="284"/>
      </w:pPr>
      <w:rPr>
        <w:rFonts w:hint="default"/>
        <w:lang w:val="en-US" w:eastAsia="zh-CN" w:bidi="ar-SA"/>
      </w:rPr>
    </w:lvl>
    <w:lvl w:ilvl="8" w:tentative="0">
      <w:start w:val="0"/>
      <w:numFmt w:val="bullet"/>
      <w:lvlText w:val="•"/>
      <w:lvlJc w:val="left"/>
      <w:pPr>
        <w:ind w:left="7569" w:hanging="284"/>
      </w:pPr>
      <w:rPr>
        <w:rFonts w:hint="default"/>
        <w:lang w:val="en-US" w:eastAsia="zh-CN" w:bidi="ar-SA"/>
      </w:rPr>
    </w:lvl>
  </w:abstractNum>
  <w:abstractNum w:abstractNumId="10">
    <w:nsid w:val="174C13DF"/>
    <w:multiLevelType w:val="singleLevel"/>
    <w:tmpl w:val="174C13DF"/>
    <w:lvl w:ilvl="0" w:tentative="0">
      <w:start w:val="21"/>
      <w:numFmt w:val="decimal"/>
      <w:suff w:val="space"/>
      <w:lvlText w:val="%1."/>
      <w:lvlJc w:val="left"/>
    </w:lvl>
  </w:abstractNum>
  <w:abstractNum w:abstractNumId="11">
    <w:nsid w:val="1D00EBDC"/>
    <w:multiLevelType w:val="multilevel"/>
    <w:tmpl w:val="1D00EBDC"/>
    <w:lvl w:ilvl="0" w:tentative="0">
      <w:start w:val="1"/>
      <w:numFmt w:val="decimal"/>
      <w:lvlText w:val="(%1)"/>
      <w:lvlJc w:val="left"/>
      <w:pPr>
        <w:ind w:left="437" w:hanging="560"/>
        <w:jc w:val="left"/>
      </w:pPr>
      <w:rPr>
        <w:rFonts w:hint="default" w:ascii="仿宋" w:hAnsi="仿宋" w:eastAsia="仿宋" w:cs="仿宋"/>
        <w:b w:val="0"/>
        <w:bCs w:val="0"/>
        <w:i w:val="0"/>
        <w:iCs w:val="0"/>
        <w:spacing w:val="-2"/>
        <w:w w:val="100"/>
        <w:sz w:val="28"/>
        <w:szCs w:val="28"/>
        <w:lang w:val="en-US" w:eastAsia="zh-CN" w:bidi="ar-SA"/>
      </w:rPr>
    </w:lvl>
    <w:lvl w:ilvl="1" w:tentative="0">
      <w:start w:val="1"/>
      <w:numFmt w:val="decimal"/>
      <w:lvlText w:val="%2."/>
      <w:lvlJc w:val="left"/>
      <w:pPr>
        <w:ind w:left="3456" w:hanging="423"/>
        <w:jc w:val="right"/>
      </w:pPr>
      <w:rPr>
        <w:rFonts w:hint="default" w:ascii="黑体" w:hAnsi="黑体" w:eastAsia="黑体" w:cs="黑体"/>
        <w:b/>
        <w:bCs/>
        <w:i w:val="0"/>
        <w:iCs w:val="0"/>
        <w:spacing w:val="-2"/>
        <w:w w:val="99"/>
        <w:sz w:val="28"/>
        <w:szCs w:val="28"/>
        <w:lang w:val="en-US" w:eastAsia="zh-CN" w:bidi="ar-SA"/>
      </w:rPr>
    </w:lvl>
    <w:lvl w:ilvl="2" w:tentative="0">
      <w:start w:val="0"/>
      <w:numFmt w:val="bullet"/>
      <w:lvlText w:val="•"/>
      <w:lvlJc w:val="left"/>
      <w:pPr>
        <w:ind w:left="4077" w:hanging="423"/>
      </w:pPr>
      <w:rPr>
        <w:rFonts w:hint="default"/>
        <w:lang w:val="en-US" w:eastAsia="zh-CN" w:bidi="ar-SA"/>
      </w:rPr>
    </w:lvl>
    <w:lvl w:ilvl="3" w:tentative="0">
      <w:start w:val="0"/>
      <w:numFmt w:val="bullet"/>
      <w:lvlText w:val="•"/>
      <w:lvlJc w:val="left"/>
      <w:pPr>
        <w:ind w:left="4695" w:hanging="423"/>
      </w:pPr>
      <w:rPr>
        <w:rFonts w:hint="default"/>
        <w:lang w:val="en-US" w:eastAsia="zh-CN" w:bidi="ar-SA"/>
      </w:rPr>
    </w:lvl>
    <w:lvl w:ilvl="4" w:tentative="0">
      <w:start w:val="0"/>
      <w:numFmt w:val="bullet"/>
      <w:lvlText w:val="•"/>
      <w:lvlJc w:val="left"/>
      <w:pPr>
        <w:ind w:left="5313" w:hanging="423"/>
      </w:pPr>
      <w:rPr>
        <w:rFonts w:hint="default"/>
        <w:lang w:val="en-US" w:eastAsia="zh-CN" w:bidi="ar-SA"/>
      </w:rPr>
    </w:lvl>
    <w:lvl w:ilvl="5" w:tentative="0">
      <w:start w:val="0"/>
      <w:numFmt w:val="bullet"/>
      <w:lvlText w:val="•"/>
      <w:lvlJc w:val="left"/>
      <w:pPr>
        <w:ind w:left="5931" w:hanging="423"/>
      </w:pPr>
      <w:rPr>
        <w:rFonts w:hint="default"/>
        <w:lang w:val="en-US" w:eastAsia="zh-CN" w:bidi="ar-SA"/>
      </w:rPr>
    </w:lvl>
    <w:lvl w:ilvl="6" w:tentative="0">
      <w:start w:val="0"/>
      <w:numFmt w:val="bullet"/>
      <w:lvlText w:val="•"/>
      <w:lvlJc w:val="left"/>
      <w:pPr>
        <w:ind w:left="6548" w:hanging="423"/>
      </w:pPr>
      <w:rPr>
        <w:rFonts w:hint="default"/>
        <w:lang w:val="en-US" w:eastAsia="zh-CN" w:bidi="ar-SA"/>
      </w:rPr>
    </w:lvl>
    <w:lvl w:ilvl="7" w:tentative="0">
      <w:start w:val="0"/>
      <w:numFmt w:val="bullet"/>
      <w:lvlText w:val="•"/>
      <w:lvlJc w:val="left"/>
      <w:pPr>
        <w:ind w:left="7166" w:hanging="423"/>
      </w:pPr>
      <w:rPr>
        <w:rFonts w:hint="default"/>
        <w:lang w:val="en-US" w:eastAsia="zh-CN" w:bidi="ar-SA"/>
      </w:rPr>
    </w:lvl>
    <w:lvl w:ilvl="8" w:tentative="0">
      <w:start w:val="0"/>
      <w:numFmt w:val="bullet"/>
      <w:lvlText w:val="•"/>
      <w:lvlJc w:val="left"/>
      <w:pPr>
        <w:ind w:left="7784" w:hanging="423"/>
      </w:pPr>
      <w:rPr>
        <w:rFonts w:hint="default"/>
        <w:lang w:val="en-US" w:eastAsia="zh-CN" w:bidi="ar-SA"/>
      </w:rPr>
    </w:lvl>
  </w:abstractNum>
  <w:abstractNum w:abstractNumId="12">
    <w:nsid w:val="31F338DD"/>
    <w:multiLevelType w:val="singleLevel"/>
    <w:tmpl w:val="31F338DD"/>
    <w:lvl w:ilvl="0" w:tentative="0">
      <w:start w:val="1"/>
      <w:numFmt w:val="decimal"/>
      <w:suff w:val="space"/>
      <w:lvlText w:val="%1."/>
      <w:lvlJc w:val="left"/>
    </w:lvl>
  </w:abstractNum>
  <w:abstractNum w:abstractNumId="13">
    <w:nsid w:val="33FFB3F8"/>
    <w:multiLevelType w:val="singleLevel"/>
    <w:tmpl w:val="33FFB3F8"/>
    <w:lvl w:ilvl="0" w:tentative="0">
      <w:start w:val="22"/>
      <w:numFmt w:val="decimal"/>
      <w:suff w:val="space"/>
      <w:lvlText w:val="%1."/>
      <w:lvlJc w:val="left"/>
    </w:lvl>
  </w:abstractNum>
  <w:abstractNum w:abstractNumId="14">
    <w:nsid w:val="352A2EA7"/>
    <w:multiLevelType w:val="singleLevel"/>
    <w:tmpl w:val="352A2EA7"/>
    <w:lvl w:ilvl="0" w:tentative="0">
      <w:start w:val="1"/>
      <w:numFmt w:val="decimal"/>
      <w:suff w:val="nothing"/>
      <w:lvlText w:val="%1．"/>
      <w:lvlJc w:val="left"/>
      <w:pPr>
        <w:ind w:left="0" w:firstLine="400"/>
      </w:pPr>
      <w:rPr>
        <w:rFonts w:hint="default"/>
      </w:rPr>
    </w:lvl>
  </w:abstractNum>
  <w:abstractNum w:abstractNumId="15">
    <w:nsid w:val="3791F204"/>
    <w:multiLevelType w:val="singleLevel"/>
    <w:tmpl w:val="3791F204"/>
    <w:lvl w:ilvl="0" w:tentative="0">
      <w:start w:val="6"/>
      <w:numFmt w:val="chineseCounting"/>
      <w:suff w:val="nothing"/>
      <w:lvlText w:val="%1、"/>
      <w:lvlJc w:val="left"/>
      <w:rPr>
        <w:rFonts w:hint="eastAsia"/>
      </w:rPr>
    </w:lvl>
  </w:abstractNum>
  <w:abstractNum w:abstractNumId="16">
    <w:nsid w:val="4AC128E8"/>
    <w:multiLevelType w:val="multilevel"/>
    <w:tmpl w:val="4AC128E8"/>
    <w:lvl w:ilvl="0" w:tentative="0">
      <w:start w:val="1"/>
      <w:numFmt w:val="decimal"/>
      <w:lvlText w:val="%1."/>
      <w:lvlJc w:val="left"/>
      <w:pPr>
        <w:ind w:left="999" w:hanging="562"/>
        <w:jc w:val="left"/>
      </w:pPr>
      <w:rPr>
        <w:rFonts w:hint="default"/>
        <w:spacing w:val="-2"/>
        <w:w w:val="99"/>
        <w:lang w:val="en-US" w:eastAsia="zh-CN" w:bidi="ar-SA"/>
      </w:rPr>
    </w:lvl>
    <w:lvl w:ilvl="1" w:tentative="0">
      <w:start w:val="1"/>
      <w:numFmt w:val="decimal"/>
      <w:lvlText w:val="%1.%2"/>
      <w:lvlJc w:val="left"/>
      <w:pPr>
        <w:ind w:left="927" w:hanging="490"/>
        <w:jc w:val="left"/>
      </w:pPr>
      <w:rPr>
        <w:rFonts w:hint="default" w:ascii="仿宋" w:hAnsi="仿宋" w:eastAsia="仿宋" w:cs="仿宋"/>
        <w:b w:val="0"/>
        <w:bCs w:val="0"/>
        <w:i w:val="0"/>
        <w:iCs w:val="0"/>
        <w:spacing w:val="-2"/>
        <w:w w:val="100"/>
        <w:sz w:val="28"/>
        <w:szCs w:val="28"/>
        <w:lang w:val="en-US" w:eastAsia="zh-CN" w:bidi="ar-SA"/>
      </w:rPr>
    </w:lvl>
    <w:lvl w:ilvl="2" w:tentative="0">
      <w:start w:val="1"/>
      <w:numFmt w:val="decimal"/>
      <w:lvlText w:val="%1.%2.%3"/>
      <w:lvlJc w:val="left"/>
      <w:pPr>
        <w:ind w:left="437" w:hanging="771"/>
        <w:jc w:val="left"/>
      </w:pPr>
      <w:rPr>
        <w:rFonts w:hint="default" w:ascii="仿宋" w:hAnsi="仿宋" w:eastAsia="仿宋" w:cs="仿宋"/>
        <w:b w:val="0"/>
        <w:bCs w:val="0"/>
        <w:i w:val="0"/>
        <w:iCs w:val="0"/>
        <w:spacing w:val="-2"/>
        <w:w w:val="100"/>
        <w:sz w:val="28"/>
        <w:szCs w:val="28"/>
        <w:lang w:val="en-US" w:eastAsia="zh-CN" w:bidi="ar-SA"/>
      </w:rPr>
    </w:lvl>
    <w:lvl w:ilvl="3" w:tentative="0">
      <w:start w:val="0"/>
      <w:numFmt w:val="bullet"/>
      <w:lvlText w:val="•"/>
      <w:lvlJc w:val="left"/>
      <w:pPr>
        <w:ind w:left="1340" w:hanging="771"/>
      </w:pPr>
      <w:rPr>
        <w:rFonts w:hint="default"/>
        <w:lang w:val="en-US" w:eastAsia="zh-CN" w:bidi="ar-SA"/>
      </w:rPr>
    </w:lvl>
    <w:lvl w:ilvl="4" w:tentative="0">
      <w:start w:val="0"/>
      <w:numFmt w:val="bullet"/>
      <w:lvlText w:val="•"/>
      <w:lvlJc w:val="left"/>
      <w:pPr>
        <w:ind w:left="1457" w:hanging="771"/>
      </w:pPr>
      <w:rPr>
        <w:rFonts w:hint="default"/>
        <w:lang w:val="en-US" w:eastAsia="zh-CN" w:bidi="ar-SA"/>
      </w:rPr>
    </w:lvl>
    <w:lvl w:ilvl="5" w:tentative="0">
      <w:start w:val="0"/>
      <w:numFmt w:val="bullet"/>
      <w:lvlText w:val="•"/>
      <w:lvlJc w:val="left"/>
      <w:pPr>
        <w:ind w:left="1575" w:hanging="771"/>
      </w:pPr>
      <w:rPr>
        <w:rFonts w:hint="default"/>
        <w:lang w:val="en-US" w:eastAsia="zh-CN" w:bidi="ar-SA"/>
      </w:rPr>
    </w:lvl>
    <w:lvl w:ilvl="6" w:tentative="0">
      <w:start w:val="0"/>
      <w:numFmt w:val="bullet"/>
      <w:lvlText w:val="•"/>
      <w:lvlJc w:val="left"/>
      <w:pPr>
        <w:ind w:left="1692" w:hanging="771"/>
      </w:pPr>
      <w:rPr>
        <w:rFonts w:hint="default"/>
        <w:lang w:val="en-US" w:eastAsia="zh-CN" w:bidi="ar-SA"/>
      </w:rPr>
    </w:lvl>
    <w:lvl w:ilvl="7" w:tentative="0">
      <w:start w:val="0"/>
      <w:numFmt w:val="bullet"/>
      <w:lvlText w:val="•"/>
      <w:lvlJc w:val="left"/>
      <w:pPr>
        <w:ind w:left="1810" w:hanging="771"/>
      </w:pPr>
      <w:rPr>
        <w:rFonts w:hint="default"/>
        <w:lang w:val="en-US" w:eastAsia="zh-CN" w:bidi="ar-SA"/>
      </w:rPr>
    </w:lvl>
    <w:lvl w:ilvl="8" w:tentative="0">
      <w:start w:val="0"/>
      <w:numFmt w:val="bullet"/>
      <w:lvlText w:val="•"/>
      <w:lvlJc w:val="left"/>
      <w:pPr>
        <w:ind w:left="1927" w:hanging="771"/>
      </w:pPr>
      <w:rPr>
        <w:rFonts w:hint="default"/>
        <w:lang w:val="en-US" w:eastAsia="zh-CN" w:bidi="ar-SA"/>
      </w:rPr>
    </w:lvl>
  </w:abstractNum>
  <w:abstractNum w:abstractNumId="17">
    <w:nsid w:val="52E85D0C"/>
    <w:multiLevelType w:val="multilevel"/>
    <w:tmpl w:val="52E85D0C"/>
    <w:lvl w:ilvl="0" w:tentative="0">
      <w:start w:val="1"/>
      <w:numFmt w:val="decimal"/>
      <w:lvlText w:val="（%1）"/>
      <w:lvlJc w:val="left"/>
      <w:pPr>
        <w:ind w:left="26" w:hanging="716"/>
        <w:jc w:val="left"/>
      </w:pPr>
      <w:rPr>
        <w:rFonts w:hint="default" w:ascii="仿宋" w:hAnsi="仿宋" w:eastAsia="仿宋" w:cs="仿宋"/>
        <w:b w:val="0"/>
        <w:bCs w:val="0"/>
        <w:i w:val="0"/>
        <w:iCs w:val="0"/>
        <w:spacing w:val="3"/>
        <w:w w:val="100"/>
        <w:sz w:val="26"/>
        <w:szCs w:val="26"/>
        <w:lang w:val="en-US" w:eastAsia="zh-CN" w:bidi="ar-SA"/>
      </w:rPr>
    </w:lvl>
    <w:lvl w:ilvl="1" w:tentative="0">
      <w:start w:val="0"/>
      <w:numFmt w:val="bullet"/>
      <w:lvlText w:val="•"/>
      <w:lvlJc w:val="left"/>
      <w:pPr>
        <w:ind w:left="804" w:hanging="716"/>
      </w:pPr>
      <w:rPr>
        <w:rFonts w:hint="default"/>
        <w:lang w:val="en-US" w:eastAsia="zh-CN" w:bidi="ar-SA"/>
      </w:rPr>
    </w:lvl>
    <w:lvl w:ilvl="2" w:tentative="0">
      <w:start w:val="0"/>
      <w:numFmt w:val="bullet"/>
      <w:lvlText w:val="•"/>
      <w:lvlJc w:val="left"/>
      <w:pPr>
        <w:ind w:left="1588" w:hanging="716"/>
      </w:pPr>
      <w:rPr>
        <w:rFonts w:hint="default"/>
        <w:lang w:val="en-US" w:eastAsia="zh-CN" w:bidi="ar-SA"/>
      </w:rPr>
    </w:lvl>
    <w:lvl w:ilvl="3" w:tentative="0">
      <w:start w:val="0"/>
      <w:numFmt w:val="bullet"/>
      <w:lvlText w:val="•"/>
      <w:lvlJc w:val="left"/>
      <w:pPr>
        <w:ind w:left="2372" w:hanging="716"/>
      </w:pPr>
      <w:rPr>
        <w:rFonts w:hint="default"/>
        <w:lang w:val="en-US" w:eastAsia="zh-CN" w:bidi="ar-SA"/>
      </w:rPr>
    </w:lvl>
    <w:lvl w:ilvl="4" w:tentative="0">
      <w:start w:val="0"/>
      <w:numFmt w:val="bullet"/>
      <w:lvlText w:val="•"/>
      <w:lvlJc w:val="left"/>
      <w:pPr>
        <w:ind w:left="3157" w:hanging="716"/>
      </w:pPr>
      <w:rPr>
        <w:rFonts w:hint="default"/>
        <w:lang w:val="en-US" w:eastAsia="zh-CN" w:bidi="ar-SA"/>
      </w:rPr>
    </w:lvl>
    <w:lvl w:ilvl="5" w:tentative="0">
      <w:start w:val="0"/>
      <w:numFmt w:val="bullet"/>
      <w:lvlText w:val="•"/>
      <w:lvlJc w:val="left"/>
      <w:pPr>
        <w:ind w:left="3941" w:hanging="716"/>
      </w:pPr>
      <w:rPr>
        <w:rFonts w:hint="default"/>
        <w:lang w:val="en-US" w:eastAsia="zh-CN" w:bidi="ar-SA"/>
      </w:rPr>
    </w:lvl>
    <w:lvl w:ilvl="6" w:tentative="0">
      <w:start w:val="0"/>
      <w:numFmt w:val="bullet"/>
      <w:lvlText w:val="•"/>
      <w:lvlJc w:val="left"/>
      <w:pPr>
        <w:ind w:left="4725" w:hanging="716"/>
      </w:pPr>
      <w:rPr>
        <w:rFonts w:hint="default"/>
        <w:lang w:val="en-US" w:eastAsia="zh-CN" w:bidi="ar-SA"/>
      </w:rPr>
    </w:lvl>
    <w:lvl w:ilvl="7" w:tentative="0">
      <w:start w:val="0"/>
      <w:numFmt w:val="bullet"/>
      <w:lvlText w:val="•"/>
      <w:lvlJc w:val="left"/>
      <w:pPr>
        <w:ind w:left="5510" w:hanging="716"/>
      </w:pPr>
      <w:rPr>
        <w:rFonts w:hint="default"/>
        <w:lang w:val="en-US" w:eastAsia="zh-CN" w:bidi="ar-SA"/>
      </w:rPr>
    </w:lvl>
    <w:lvl w:ilvl="8" w:tentative="0">
      <w:start w:val="0"/>
      <w:numFmt w:val="bullet"/>
      <w:lvlText w:val="•"/>
      <w:lvlJc w:val="left"/>
      <w:pPr>
        <w:ind w:left="6294" w:hanging="716"/>
      </w:pPr>
      <w:rPr>
        <w:rFonts w:hint="default"/>
        <w:lang w:val="en-US" w:eastAsia="zh-CN" w:bidi="ar-SA"/>
      </w:rPr>
    </w:lvl>
  </w:abstractNum>
  <w:abstractNum w:abstractNumId="18">
    <w:nsid w:val="5A6B09C8"/>
    <w:multiLevelType w:val="multilevel"/>
    <w:tmpl w:val="5A6B09C8"/>
    <w:lvl w:ilvl="0" w:tentative="0">
      <w:start w:val="1"/>
      <w:numFmt w:val="decimal"/>
      <w:lvlText w:val="%1."/>
      <w:lvlJc w:val="left"/>
      <w:pPr>
        <w:ind w:left="437" w:hanging="284"/>
        <w:jc w:val="left"/>
      </w:pPr>
      <w:rPr>
        <w:rFonts w:hint="default" w:ascii="仿宋" w:hAnsi="仿宋" w:eastAsia="仿宋" w:cs="仿宋"/>
        <w:b w:val="0"/>
        <w:bCs w:val="0"/>
        <w:i w:val="0"/>
        <w:iCs w:val="0"/>
        <w:spacing w:val="-2"/>
        <w:w w:val="100"/>
        <w:sz w:val="26"/>
        <w:szCs w:val="26"/>
        <w:lang w:val="en-US" w:eastAsia="zh-CN" w:bidi="ar-SA"/>
      </w:rPr>
    </w:lvl>
    <w:lvl w:ilvl="1" w:tentative="0">
      <w:start w:val="0"/>
      <w:numFmt w:val="bullet"/>
      <w:lvlText w:val="•"/>
      <w:lvlJc w:val="left"/>
      <w:pPr>
        <w:ind w:left="1332" w:hanging="284"/>
      </w:pPr>
      <w:rPr>
        <w:rFonts w:hint="default"/>
        <w:lang w:val="en-US" w:eastAsia="zh-CN" w:bidi="ar-SA"/>
      </w:rPr>
    </w:lvl>
    <w:lvl w:ilvl="2" w:tentative="0">
      <w:start w:val="0"/>
      <w:numFmt w:val="bullet"/>
      <w:lvlText w:val="•"/>
      <w:lvlJc w:val="left"/>
      <w:pPr>
        <w:ind w:left="2225" w:hanging="284"/>
      </w:pPr>
      <w:rPr>
        <w:rFonts w:hint="default"/>
        <w:lang w:val="en-US" w:eastAsia="zh-CN" w:bidi="ar-SA"/>
      </w:rPr>
    </w:lvl>
    <w:lvl w:ilvl="3" w:tentative="0">
      <w:start w:val="0"/>
      <w:numFmt w:val="bullet"/>
      <w:lvlText w:val="•"/>
      <w:lvlJc w:val="left"/>
      <w:pPr>
        <w:ind w:left="3117" w:hanging="284"/>
      </w:pPr>
      <w:rPr>
        <w:rFonts w:hint="default"/>
        <w:lang w:val="en-US" w:eastAsia="zh-CN" w:bidi="ar-SA"/>
      </w:rPr>
    </w:lvl>
    <w:lvl w:ilvl="4" w:tentative="0">
      <w:start w:val="0"/>
      <w:numFmt w:val="bullet"/>
      <w:lvlText w:val="•"/>
      <w:lvlJc w:val="left"/>
      <w:pPr>
        <w:ind w:left="4010" w:hanging="284"/>
      </w:pPr>
      <w:rPr>
        <w:rFonts w:hint="default"/>
        <w:lang w:val="en-US" w:eastAsia="zh-CN" w:bidi="ar-SA"/>
      </w:rPr>
    </w:lvl>
    <w:lvl w:ilvl="5" w:tentative="0">
      <w:start w:val="0"/>
      <w:numFmt w:val="bullet"/>
      <w:lvlText w:val="•"/>
      <w:lvlJc w:val="left"/>
      <w:pPr>
        <w:ind w:left="4903" w:hanging="284"/>
      </w:pPr>
      <w:rPr>
        <w:rFonts w:hint="default"/>
        <w:lang w:val="en-US" w:eastAsia="zh-CN" w:bidi="ar-SA"/>
      </w:rPr>
    </w:lvl>
    <w:lvl w:ilvl="6" w:tentative="0">
      <w:start w:val="0"/>
      <w:numFmt w:val="bullet"/>
      <w:lvlText w:val="•"/>
      <w:lvlJc w:val="left"/>
      <w:pPr>
        <w:ind w:left="5795" w:hanging="284"/>
      </w:pPr>
      <w:rPr>
        <w:rFonts w:hint="default"/>
        <w:lang w:val="en-US" w:eastAsia="zh-CN" w:bidi="ar-SA"/>
      </w:rPr>
    </w:lvl>
    <w:lvl w:ilvl="7" w:tentative="0">
      <w:start w:val="0"/>
      <w:numFmt w:val="bullet"/>
      <w:lvlText w:val="•"/>
      <w:lvlJc w:val="left"/>
      <w:pPr>
        <w:ind w:left="6688" w:hanging="284"/>
      </w:pPr>
      <w:rPr>
        <w:rFonts w:hint="default"/>
        <w:lang w:val="en-US" w:eastAsia="zh-CN" w:bidi="ar-SA"/>
      </w:rPr>
    </w:lvl>
    <w:lvl w:ilvl="8" w:tentative="0">
      <w:start w:val="0"/>
      <w:numFmt w:val="bullet"/>
      <w:lvlText w:val="•"/>
      <w:lvlJc w:val="left"/>
      <w:pPr>
        <w:ind w:left="7580" w:hanging="284"/>
      </w:pPr>
      <w:rPr>
        <w:rFonts w:hint="default"/>
        <w:lang w:val="en-US" w:eastAsia="zh-CN" w:bidi="ar-SA"/>
      </w:rPr>
    </w:lvl>
  </w:abstractNum>
  <w:abstractNum w:abstractNumId="19">
    <w:nsid w:val="5B1CB27C"/>
    <w:multiLevelType w:val="multilevel"/>
    <w:tmpl w:val="5B1CB27C"/>
    <w:lvl w:ilvl="0" w:tentative="0">
      <w:start w:val="46"/>
      <w:numFmt w:val="decimal"/>
      <w:lvlText w:val="%1"/>
      <w:lvlJc w:val="left"/>
      <w:pPr>
        <w:ind w:left="1071" w:hanging="634"/>
        <w:jc w:val="left"/>
      </w:pPr>
      <w:rPr>
        <w:rFonts w:hint="default"/>
        <w:lang w:val="en-US" w:eastAsia="zh-CN" w:bidi="ar-SA"/>
      </w:rPr>
    </w:lvl>
    <w:lvl w:ilvl="1" w:tentative="0">
      <w:start w:val="1"/>
      <w:numFmt w:val="decimal"/>
      <w:lvlText w:val="%1.%2"/>
      <w:lvlJc w:val="left"/>
      <w:pPr>
        <w:ind w:left="1071" w:hanging="634"/>
        <w:jc w:val="left"/>
      </w:pPr>
      <w:rPr>
        <w:rFonts w:hint="default" w:ascii="仿宋" w:hAnsi="仿宋" w:eastAsia="仿宋" w:cs="仿宋"/>
        <w:b w:val="0"/>
        <w:bCs w:val="0"/>
        <w:i w:val="0"/>
        <w:iCs w:val="0"/>
        <w:spacing w:val="-2"/>
        <w:w w:val="100"/>
        <w:sz w:val="28"/>
        <w:szCs w:val="28"/>
        <w:lang w:val="en-US" w:eastAsia="zh-CN" w:bidi="ar-SA"/>
      </w:rPr>
    </w:lvl>
    <w:lvl w:ilvl="2" w:tentative="0">
      <w:start w:val="0"/>
      <w:numFmt w:val="bullet"/>
      <w:lvlText w:val="•"/>
      <w:lvlJc w:val="left"/>
      <w:pPr>
        <w:ind w:left="2737" w:hanging="634"/>
      </w:pPr>
      <w:rPr>
        <w:rFonts w:hint="default"/>
        <w:lang w:val="en-US" w:eastAsia="zh-CN" w:bidi="ar-SA"/>
      </w:rPr>
    </w:lvl>
    <w:lvl w:ilvl="3" w:tentative="0">
      <w:start w:val="0"/>
      <w:numFmt w:val="bullet"/>
      <w:lvlText w:val="•"/>
      <w:lvlJc w:val="left"/>
      <w:pPr>
        <w:ind w:left="3565" w:hanging="634"/>
      </w:pPr>
      <w:rPr>
        <w:rFonts w:hint="default"/>
        <w:lang w:val="en-US" w:eastAsia="zh-CN" w:bidi="ar-SA"/>
      </w:rPr>
    </w:lvl>
    <w:lvl w:ilvl="4" w:tentative="0">
      <w:start w:val="0"/>
      <w:numFmt w:val="bullet"/>
      <w:lvlText w:val="•"/>
      <w:lvlJc w:val="left"/>
      <w:pPr>
        <w:ind w:left="4394" w:hanging="634"/>
      </w:pPr>
      <w:rPr>
        <w:rFonts w:hint="default"/>
        <w:lang w:val="en-US" w:eastAsia="zh-CN" w:bidi="ar-SA"/>
      </w:rPr>
    </w:lvl>
    <w:lvl w:ilvl="5" w:tentative="0">
      <w:start w:val="0"/>
      <w:numFmt w:val="bullet"/>
      <w:lvlText w:val="•"/>
      <w:lvlJc w:val="left"/>
      <w:pPr>
        <w:ind w:left="5223" w:hanging="634"/>
      </w:pPr>
      <w:rPr>
        <w:rFonts w:hint="default"/>
        <w:lang w:val="en-US" w:eastAsia="zh-CN" w:bidi="ar-SA"/>
      </w:rPr>
    </w:lvl>
    <w:lvl w:ilvl="6" w:tentative="0">
      <w:start w:val="0"/>
      <w:numFmt w:val="bullet"/>
      <w:lvlText w:val="•"/>
      <w:lvlJc w:val="left"/>
      <w:pPr>
        <w:ind w:left="6051" w:hanging="634"/>
      </w:pPr>
      <w:rPr>
        <w:rFonts w:hint="default"/>
        <w:lang w:val="en-US" w:eastAsia="zh-CN" w:bidi="ar-SA"/>
      </w:rPr>
    </w:lvl>
    <w:lvl w:ilvl="7" w:tentative="0">
      <w:start w:val="0"/>
      <w:numFmt w:val="bullet"/>
      <w:lvlText w:val="•"/>
      <w:lvlJc w:val="left"/>
      <w:pPr>
        <w:ind w:left="6880" w:hanging="634"/>
      </w:pPr>
      <w:rPr>
        <w:rFonts w:hint="default"/>
        <w:lang w:val="en-US" w:eastAsia="zh-CN" w:bidi="ar-SA"/>
      </w:rPr>
    </w:lvl>
    <w:lvl w:ilvl="8" w:tentative="0">
      <w:start w:val="0"/>
      <w:numFmt w:val="bullet"/>
      <w:lvlText w:val="•"/>
      <w:lvlJc w:val="left"/>
      <w:pPr>
        <w:ind w:left="7708" w:hanging="634"/>
      </w:pPr>
      <w:rPr>
        <w:rFonts w:hint="default"/>
        <w:lang w:val="en-US" w:eastAsia="zh-CN" w:bidi="ar-SA"/>
      </w:rPr>
    </w:lvl>
  </w:abstractNum>
  <w:abstractNum w:abstractNumId="20">
    <w:nsid w:val="5D63D5AE"/>
    <w:multiLevelType w:val="singleLevel"/>
    <w:tmpl w:val="5D63D5AE"/>
    <w:lvl w:ilvl="0" w:tentative="0">
      <w:start w:val="25"/>
      <w:numFmt w:val="decimal"/>
      <w:suff w:val="space"/>
      <w:lvlText w:val="%1."/>
      <w:lvlJc w:val="left"/>
    </w:lvl>
  </w:abstractNum>
  <w:abstractNum w:abstractNumId="21">
    <w:nsid w:val="7E1F35D7"/>
    <w:multiLevelType w:val="multilevel"/>
    <w:tmpl w:val="7E1F35D7"/>
    <w:lvl w:ilvl="0" w:tentative="0">
      <w:start w:val="42"/>
      <w:numFmt w:val="decimal"/>
      <w:lvlText w:val="%1."/>
      <w:lvlJc w:val="left"/>
      <w:pPr>
        <w:ind w:left="999" w:hanging="562"/>
        <w:jc w:val="left"/>
      </w:pPr>
      <w:rPr>
        <w:rFonts w:hint="default" w:ascii="仿宋" w:hAnsi="仿宋" w:eastAsia="仿宋" w:cs="仿宋"/>
        <w:b/>
        <w:bCs/>
        <w:i w:val="0"/>
        <w:iCs w:val="0"/>
        <w:spacing w:val="-2"/>
        <w:w w:val="99"/>
        <w:sz w:val="28"/>
        <w:szCs w:val="28"/>
        <w:lang w:val="en-US" w:eastAsia="zh-CN" w:bidi="ar-SA"/>
      </w:rPr>
    </w:lvl>
    <w:lvl w:ilvl="1" w:tentative="0">
      <w:start w:val="1"/>
      <w:numFmt w:val="decimal"/>
      <w:lvlText w:val="%1.%2"/>
      <w:lvlJc w:val="left"/>
      <w:pPr>
        <w:ind w:left="437" w:hanging="629"/>
        <w:jc w:val="left"/>
      </w:pPr>
      <w:rPr>
        <w:rFonts w:hint="default" w:ascii="仿宋" w:hAnsi="仿宋" w:eastAsia="仿宋" w:cs="仿宋"/>
        <w:b w:val="0"/>
        <w:bCs w:val="0"/>
        <w:i w:val="0"/>
        <w:iCs w:val="0"/>
        <w:spacing w:val="-2"/>
        <w:w w:val="100"/>
        <w:sz w:val="28"/>
        <w:szCs w:val="28"/>
        <w:lang w:val="en-US" w:eastAsia="zh-CN" w:bidi="ar-SA"/>
      </w:rPr>
    </w:lvl>
    <w:lvl w:ilvl="2" w:tentative="0">
      <w:start w:val="0"/>
      <w:numFmt w:val="bullet"/>
      <w:lvlText w:val="•"/>
      <w:lvlJc w:val="left"/>
      <w:pPr>
        <w:ind w:left="1929" w:hanging="629"/>
      </w:pPr>
      <w:rPr>
        <w:rFonts w:hint="default"/>
        <w:lang w:val="en-US" w:eastAsia="zh-CN" w:bidi="ar-SA"/>
      </w:rPr>
    </w:lvl>
    <w:lvl w:ilvl="3" w:tentative="0">
      <w:start w:val="0"/>
      <w:numFmt w:val="bullet"/>
      <w:lvlText w:val="•"/>
      <w:lvlJc w:val="left"/>
      <w:pPr>
        <w:ind w:left="2859" w:hanging="629"/>
      </w:pPr>
      <w:rPr>
        <w:rFonts w:hint="default"/>
        <w:lang w:val="en-US" w:eastAsia="zh-CN" w:bidi="ar-SA"/>
      </w:rPr>
    </w:lvl>
    <w:lvl w:ilvl="4" w:tentative="0">
      <w:start w:val="0"/>
      <w:numFmt w:val="bullet"/>
      <w:lvlText w:val="•"/>
      <w:lvlJc w:val="left"/>
      <w:pPr>
        <w:ind w:left="3788" w:hanging="629"/>
      </w:pPr>
      <w:rPr>
        <w:rFonts w:hint="default"/>
        <w:lang w:val="en-US" w:eastAsia="zh-CN" w:bidi="ar-SA"/>
      </w:rPr>
    </w:lvl>
    <w:lvl w:ilvl="5" w:tentative="0">
      <w:start w:val="0"/>
      <w:numFmt w:val="bullet"/>
      <w:lvlText w:val="•"/>
      <w:lvlJc w:val="left"/>
      <w:pPr>
        <w:ind w:left="4718" w:hanging="629"/>
      </w:pPr>
      <w:rPr>
        <w:rFonts w:hint="default"/>
        <w:lang w:val="en-US" w:eastAsia="zh-CN" w:bidi="ar-SA"/>
      </w:rPr>
    </w:lvl>
    <w:lvl w:ilvl="6" w:tentative="0">
      <w:start w:val="0"/>
      <w:numFmt w:val="bullet"/>
      <w:lvlText w:val="•"/>
      <w:lvlJc w:val="left"/>
      <w:pPr>
        <w:ind w:left="5647" w:hanging="629"/>
      </w:pPr>
      <w:rPr>
        <w:rFonts w:hint="default"/>
        <w:lang w:val="en-US" w:eastAsia="zh-CN" w:bidi="ar-SA"/>
      </w:rPr>
    </w:lvl>
    <w:lvl w:ilvl="7" w:tentative="0">
      <w:start w:val="0"/>
      <w:numFmt w:val="bullet"/>
      <w:lvlText w:val="•"/>
      <w:lvlJc w:val="left"/>
      <w:pPr>
        <w:ind w:left="6577" w:hanging="629"/>
      </w:pPr>
      <w:rPr>
        <w:rFonts w:hint="default"/>
        <w:lang w:val="en-US" w:eastAsia="zh-CN" w:bidi="ar-SA"/>
      </w:rPr>
    </w:lvl>
    <w:lvl w:ilvl="8" w:tentative="0">
      <w:start w:val="0"/>
      <w:numFmt w:val="bullet"/>
      <w:lvlText w:val="•"/>
      <w:lvlJc w:val="left"/>
      <w:pPr>
        <w:ind w:left="7506" w:hanging="629"/>
      </w:pPr>
      <w:rPr>
        <w:rFonts w:hint="default"/>
        <w:lang w:val="en-US" w:eastAsia="zh-CN" w:bidi="ar-SA"/>
      </w:rPr>
    </w:lvl>
  </w:abstractNum>
  <w:num w:numId="1">
    <w:abstractNumId w:val="15"/>
  </w:num>
  <w:num w:numId="2">
    <w:abstractNumId w:val="17"/>
  </w:num>
  <w:num w:numId="3">
    <w:abstractNumId w:val="6"/>
  </w:num>
  <w:num w:numId="4">
    <w:abstractNumId w:val="16"/>
  </w:num>
  <w:num w:numId="5">
    <w:abstractNumId w:val="7"/>
  </w:num>
  <w:num w:numId="6">
    <w:abstractNumId w:val="10"/>
  </w:num>
  <w:num w:numId="7">
    <w:abstractNumId w:val="13"/>
  </w:num>
  <w:num w:numId="8">
    <w:abstractNumId w:val="3"/>
  </w:num>
  <w:num w:numId="9">
    <w:abstractNumId w:val="5"/>
  </w:num>
  <w:num w:numId="10">
    <w:abstractNumId w:val="1"/>
  </w:num>
  <w:num w:numId="11">
    <w:abstractNumId w:val="20"/>
  </w:num>
  <w:num w:numId="12">
    <w:abstractNumId w:val="0"/>
  </w:num>
  <w:num w:numId="13">
    <w:abstractNumId w:val="4"/>
  </w:num>
  <w:num w:numId="14">
    <w:abstractNumId w:val="21"/>
  </w:num>
  <w:num w:numId="15">
    <w:abstractNumId w:val="19"/>
  </w:num>
  <w:num w:numId="16">
    <w:abstractNumId w:val="8"/>
  </w:num>
  <w:num w:numId="17">
    <w:abstractNumId w:val="18"/>
  </w:num>
  <w:num w:numId="18">
    <w:abstractNumId w:val="9"/>
  </w:num>
  <w:num w:numId="19">
    <w:abstractNumId w:val="11"/>
  </w:num>
  <w:num w:numId="20">
    <w:abstractNumId w:val="2"/>
  </w:num>
  <w:num w:numId="21">
    <w:abstractNumId w:val="12"/>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1462BE"/>
    <w:rsid w:val="04D61A04"/>
    <w:rsid w:val="05016206"/>
    <w:rsid w:val="0680729D"/>
    <w:rsid w:val="084D7C2D"/>
    <w:rsid w:val="08955281"/>
    <w:rsid w:val="093C09A4"/>
    <w:rsid w:val="094C1D4E"/>
    <w:rsid w:val="0B23570B"/>
    <w:rsid w:val="0BDD26D6"/>
    <w:rsid w:val="0BF24799"/>
    <w:rsid w:val="0C632FA1"/>
    <w:rsid w:val="0CDB522D"/>
    <w:rsid w:val="0DA87805"/>
    <w:rsid w:val="0EE80D86"/>
    <w:rsid w:val="0F1621FB"/>
    <w:rsid w:val="0FC91CB4"/>
    <w:rsid w:val="10390BE8"/>
    <w:rsid w:val="11DD23BF"/>
    <w:rsid w:val="122B27B2"/>
    <w:rsid w:val="135752C2"/>
    <w:rsid w:val="13B46588"/>
    <w:rsid w:val="13EC7D20"/>
    <w:rsid w:val="146975C2"/>
    <w:rsid w:val="14977C8B"/>
    <w:rsid w:val="14A64A5E"/>
    <w:rsid w:val="15D13671"/>
    <w:rsid w:val="163A1216"/>
    <w:rsid w:val="165E55D6"/>
    <w:rsid w:val="17233640"/>
    <w:rsid w:val="18AA2E4C"/>
    <w:rsid w:val="18D21BDA"/>
    <w:rsid w:val="18F57676"/>
    <w:rsid w:val="1939450A"/>
    <w:rsid w:val="19555E36"/>
    <w:rsid w:val="195C49A7"/>
    <w:rsid w:val="19C8125B"/>
    <w:rsid w:val="1DAA6C81"/>
    <w:rsid w:val="1EC302EB"/>
    <w:rsid w:val="1EF328AA"/>
    <w:rsid w:val="1F5860F1"/>
    <w:rsid w:val="1F666BD8"/>
    <w:rsid w:val="1F7F2339"/>
    <w:rsid w:val="216E26D1"/>
    <w:rsid w:val="2240207A"/>
    <w:rsid w:val="246F29D3"/>
    <w:rsid w:val="24A0493A"/>
    <w:rsid w:val="25CB4399"/>
    <w:rsid w:val="26404627"/>
    <w:rsid w:val="27D711E9"/>
    <w:rsid w:val="28752D18"/>
    <w:rsid w:val="287F6328"/>
    <w:rsid w:val="299905F4"/>
    <w:rsid w:val="29A309A6"/>
    <w:rsid w:val="2A572EBE"/>
    <w:rsid w:val="2AA0747E"/>
    <w:rsid w:val="2AC77529"/>
    <w:rsid w:val="2C136339"/>
    <w:rsid w:val="2CD72920"/>
    <w:rsid w:val="2DBD47AF"/>
    <w:rsid w:val="2DC23B73"/>
    <w:rsid w:val="2DD56CDB"/>
    <w:rsid w:val="2DF41EDB"/>
    <w:rsid w:val="2E9848D4"/>
    <w:rsid w:val="2F4B15A2"/>
    <w:rsid w:val="2FD33CCB"/>
    <w:rsid w:val="30230CD5"/>
    <w:rsid w:val="30427C69"/>
    <w:rsid w:val="308E47E8"/>
    <w:rsid w:val="31E22FAC"/>
    <w:rsid w:val="3312039F"/>
    <w:rsid w:val="33AD0E22"/>
    <w:rsid w:val="34116108"/>
    <w:rsid w:val="346040E6"/>
    <w:rsid w:val="34945B3E"/>
    <w:rsid w:val="35243365"/>
    <w:rsid w:val="36BA3569"/>
    <w:rsid w:val="371F799A"/>
    <w:rsid w:val="3746780C"/>
    <w:rsid w:val="381855C7"/>
    <w:rsid w:val="39D762BC"/>
    <w:rsid w:val="3A485F1D"/>
    <w:rsid w:val="3B01368C"/>
    <w:rsid w:val="3B2A2492"/>
    <w:rsid w:val="3B714E2B"/>
    <w:rsid w:val="3C06611D"/>
    <w:rsid w:val="3D865387"/>
    <w:rsid w:val="3D93552B"/>
    <w:rsid w:val="3DFC4B02"/>
    <w:rsid w:val="3E1026D9"/>
    <w:rsid w:val="3E832EAB"/>
    <w:rsid w:val="3EB23790"/>
    <w:rsid w:val="3FF95641"/>
    <w:rsid w:val="41EE5011"/>
    <w:rsid w:val="42F779C3"/>
    <w:rsid w:val="434F77FF"/>
    <w:rsid w:val="436B7435"/>
    <w:rsid w:val="44BF6C07"/>
    <w:rsid w:val="44FF4F56"/>
    <w:rsid w:val="457A4B71"/>
    <w:rsid w:val="479746A0"/>
    <w:rsid w:val="49F033BE"/>
    <w:rsid w:val="49F42EAF"/>
    <w:rsid w:val="4A0B1FA6"/>
    <w:rsid w:val="4A136C16"/>
    <w:rsid w:val="4A49144C"/>
    <w:rsid w:val="4AC94CD8"/>
    <w:rsid w:val="4AD73AC6"/>
    <w:rsid w:val="4AFB557E"/>
    <w:rsid w:val="4B331D6A"/>
    <w:rsid w:val="4C29284D"/>
    <w:rsid w:val="4CC2376D"/>
    <w:rsid w:val="4D891B60"/>
    <w:rsid w:val="4E1F4272"/>
    <w:rsid w:val="4EC1222A"/>
    <w:rsid w:val="4ED707F4"/>
    <w:rsid w:val="50025BF9"/>
    <w:rsid w:val="50034F11"/>
    <w:rsid w:val="51A55A54"/>
    <w:rsid w:val="52075749"/>
    <w:rsid w:val="532742F5"/>
    <w:rsid w:val="547277F2"/>
    <w:rsid w:val="56810B43"/>
    <w:rsid w:val="569A3030"/>
    <w:rsid w:val="57454278"/>
    <w:rsid w:val="5832313E"/>
    <w:rsid w:val="58874B26"/>
    <w:rsid w:val="58C425E6"/>
    <w:rsid w:val="5A8E79AB"/>
    <w:rsid w:val="5AD3266C"/>
    <w:rsid w:val="5CFA0384"/>
    <w:rsid w:val="5E827B7B"/>
    <w:rsid w:val="5F025E0D"/>
    <w:rsid w:val="610C10B9"/>
    <w:rsid w:val="626B762E"/>
    <w:rsid w:val="63383E85"/>
    <w:rsid w:val="63BA1B38"/>
    <w:rsid w:val="667842C9"/>
    <w:rsid w:val="67A34B94"/>
    <w:rsid w:val="680732AF"/>
    <w:rsid w:val="686D1B74"/>
    <w:rsid w:val="688A2F04"/>
    <w:rsid w:val="69A240E9"/>
    <w:rsid w:val="69C2222A"/>
    <w:rsid w:val="6BEE5558"/>
    <w:rsid w:val="711E68DF"/>
    <w:rsid w:val="71A861A9"/>
    <w:rsid w:val="726C71D7"/>
    <w:rsid w:val="727C1E7D"/>
    <w:rsid w:val="72A952F5"/>
    <w:rsid w:val="7471697A"/>
    <w:rsid w:val="7474297D"/>
    <w:rsid w:val="751A116C"/>
    <w:rsid w:val="75994786"/>
    <w:rsid w:val="75C66BED"/>
    <w:rsid w:val="763C08B1"/>
    <w:rsid w:val="763C5112"/>
    <w:rsid w:val="76876590"/>
    <w:rsid w:val="775070C7"/>
    <w:rsid w:val="77BF424C"/>
    <w:rsid w:val="796B643A"/>
    <w:rsid w:val="7A1B6705"/>
    <w:rsid w:val="7A3C0EDB"/>
    <w:rsid w:val="7A7805F0"/>
    <w:rsid w:val="7B7A6E08"/>
    <w:rsid w:val="7D2B161E"/>
    <w:rsid w:val="7D900D36"/>
    <w:rsid w:val="7DD62A03"/>
    <w:rsid w:val="7EA321D2"/>
    <w:rsid w:val="7EBC7738"/>
    <w:rsid w:val="7F144E7E"/>
    <w:rsid w:val="7FBD55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0" w:semiHidden="0" w:name="heading 2"/>
    <w:lsdException w:qFormat="1" w:unhideWhenUsed="0" w:uiPriority="1" w:semiHidden="0" w:name="heading 3"/>
    <w:lsdException w:qFormat="1" w:uiPriority="0" w:name="heading 4"/>
    <w:lsdException w:qFormat="1" w:uiPriority="0" w:name="heading 5"/>
    <w:lsdException w:qFormat="1" w:uiPriority="0" w:name="heading 6"/>
    <w:lsdException w:qFormat="1" w:unhideWhenUsed="0" w:uiPriority="1" w:semiHidden="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仿宋" w:hAnsi="仿宋" w:eastAsia="仿宋" w:cs="仿宋"/>
      <w:sz w:val="22"/>
      <w:szCs w:val="22"/>
      <w:lang w:val="en-US" w:eastAsia="zh-CN" w:bidi="ar-SA"/>
    </w:rPr>
  </w:style>
  <w:style w:type="paragraph" w:styleId="2">
    <w:name w:val="heading 1"/>
    <w:basedOn w:val="1"/>
    <w:qFormat/>
    <w:uiPriority w:val="1"/>
    <w:pPr>
      <w:jc w:val="center"/>
      <w:outlineLvl w:val="0"/>
    </w:pPr>
    <w:rPr>
      <w:rFonts w:ascii="宋体" w:hAnsi="宋体" w:eastAsia="宋体" w:cs="宋体"/>
      <w:b/>
      <w:bCs/>
      <w:sz w:val="36"/>
      <w:szCs w:val="36"/>
    </w:rPr>
  </w:style>
  <w:style w:type="paragraph" w:styleId="3">
    <w:name w:val="heading 2"/>
    <w:basedOn w:val="1"/>
    <w:next w:val="1"/>
    <w:qFormat/>
    <w:uiPriority w:val="0"/>
    <w:pPr>
      <w:keepNext/>
      <w:keepLines/>
      <w:autoSpaceDE/>
      <w:autoSpaceDN/>
      <w:adjustRightInd w:val="0"/>
      <w:spacing w:beforeLines="0" w:line="360" w:lineRule="auto"/>
      <w:jc w:val="center"/>
      <w:outlineLvl w:val="1"/>
    </w:pPr>
    <w:rPr>
      <w:rFonts w:ascii="Arial" w:hAnsi="Arial" w:eastAsia="宋体"/>
      <w:b/>
      <w:kern w:val="0"/>
      <w:sz w:val="24"/>
      <w:szCs w:val="20"/>
    </w:rPr>
  </w:style>
  <w:style w:type="paragraph" w:styleId="4">
    <w:name w:val="heading 3"/>
    <w:basedOn w:val="1"/>
    <w:qFormat/>
    <w:uiPriority w:val="1"/>
    <w:pPr>
      <w:ind w:left="20"/>
      <w:outlineLvl w:val="2"/>
    </w:pPr>
    <w:rPr>
      <w:rFonts w:ascii="宋体" w:hAnsi="宋体" w:eastAsia="宋体" w:cs="宋体"/>
      <w:b/>
      <w:bCs/>
      <w:sz w:val="32"/>
      <w:szCs w:val="32"/>
    </w:rPr>
  </w:style>
  <w:style w:type="paragraph" w:styleId="5">
    <w:name w:val="heading 7"/>
    <w:basedOn w:val="1"/>
    <w:qFormat/>
    <w:uiPriority w:val="1"/>
    <w:pPr>
      <w:ind w:left="999"/>
      <w:outlineLvl w:val="6"/>
    </w:pPr>
    <w:rPr>
      <w:b/>
      <w:bCs/>
      <w:sz w:val="28"/>
      <w:szCs w:val="28"/>
    </w:rPr>
  </w:style>
  <w:style w:type="character" w:default="1" w:styleId="16">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6">
    <w:name w:val="annotation text"/>
    <w:basedOn w:val="1"/>
    <w:qFormat/>
    <w:uiPriority w:val="0"/>
  </w:style>
  <w:style w:type="paragraph" w:styleId="7">
    <w:name w:val="Body Text"/>
    <w:basedOn w:val="1"/>
    <w:qFormat/>
    <w:uiPriority w:val="1"/>
    <w:rPr>
      <w:sz w:val="28"/>
      <w:szCs w:val="28"/>
    </w:rPr>
  </w:style>
  <w:style w:type="paragraph" w:styleId="8">
    <w:name w:val="Plain Text"/>
    <w:basedOn w:val="1"/>
    <w:qFormat/>
    <w:uiPriority w:val="0"/>
    <w:rPr>
      <w:rFonts w:ascii="宋体" w:hAnsi="Courier New"/>
      <w:szCs w:val="20"/>
    </w:rPr>
  </w:style>
  <w:style w:type="paragraph" w:styleId="9">
    <w:name w:val="footer"/>
    <w:basedOn w:val="1"/>
    <w:qFormat/>
    <w:uiPriority w:val="99"/>
    <w:pPr>
      <w:tabs>
        <w:tab w:val="center" w:pos="4153"/>
        <w:tab w:val="right" w:pos="8306"/>
      </w:tabs>
    </w:pPr>
    <w:rPr>
      <w:rFonts w:ascii="宋体" w:hAnsi="宋体" w:cs="宋体"/>
      <w:color w:val="000000"/>
      <w:sz w:val="18"/>
      <w:szCs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11">
    <w:name w:val="toc 1"/>
    <w:basedOn w:val="1"/>
    <w:qFormat/>
    <w:uiPriority w:val="39"/>
    <w:pPr>
      <w:spacing w:before="366"/>
      <w:ind w:left="197"/>
    </w:pPr>
    <w:rPr>
      <w:sz w:val="28"/>
      <w:szCs w:val="28"/>
    </w:rPr>
  </w:style>
  <w:style w:type="paragraph" w:styleId="12">
    <w:name w:val="Normal (Web)"/>
    <w:basedOn w:val="1"/>
    <w:qFormat/>
    <w:uiPriority w:val="99"/>
    <w:pPr>
      <w:widowControl/>
      <w:spacing w:before="100" w:beforeAutospacing="1" w:after="100" w:afterAutospacing="1"/>
    </w:pPr>
    <w:rPr>
      <w:rFonts w:ascii="宋体" w:hAnsi="宋体"/>
      <w:sz w:val="24"/>
      <w:szCs w:val="20"/>
    </w:rPr>
  </w:style>
  <w:style w:type="paragraph" w:styleId="13">
    <w:name w:val="Body Text First Indent"/>
    <w:next w:val="14"/>
    <w:qFormat/>
    <w:uiPriority w:val="0"/>
    <w:pPr>
      <w:widowControl w:val="0"/>
      <w:tabs>
        <w:tab w:val="left" w:pos="606"/>
      </w:tabs>
      <w:autoSpaceDE w:val="0"/>
      <w:autoSpaceDN w:val="0"/>
      <w:ind w:firstLine="420" w:firstLineChars="100"/>
    </w:pPr>
    <w:rPr>
      <w:rFonts w:ascii="Times New Roman" w:hAnsi="Times New Roman" w:eastAsia="宋体" w:cs="Times New Roman"/>
      <w:sz w:val="21"/>
      <w:szCs w:val="21"/>
      <w:lang w:val="zh-CN" w:eastAsia="zh-CN" w:bidi="ar-SA"/>
    </w:rPr>
  </w:style>
  <w:style w:type="paragraph" w:styleId="14">
    <w:name w:val="Body Text First Indent 2"/>
    <w:next w:val="1"/>
    <w:qFormat/>
    <w:uiPriority w:val="99"/>
    <w:pPr>
      <w:widowControl w:val="0"/>
      <w:autoSpaceDE w:val="0"/>
      <w:autoSpaceDN w:val="0"/>
      <w:ind w:left="200" w:leftChars="200" w:firstLine="420"/>
    </w:pPr>
    <w:rPr>
      <w:rFonts w:ascii="Times New Roman" w:hAnsi="Times New Roman" w:eastAsia="宋体" w:cs="Times New Roman"/>
      <w:sz w:val="21"/>
      <w:szCs w:val="22"/>
      <w:lang w:val="zh-CN" w:eastAsia="zh-CN" w:bidi="ar-SA"/>
    </w:rPr>
  </w:style>
  <w:style w:type="character" w:styleId="17">
    <w:name w:val="Strong"/>
    <w:basedOn w:val="16"/>
    <w:qFormat/>
    <w:uiPriority w:val="0"/>
    <w:rPr>
      <w:b/>
    </w:rPr>
  </w:style>
  <w:style w:type="character" w:styleId="18">
    <w:name w:val="page number"/>
    <w:basedOn w:val="16"/>
    <w:qFormat/>
    <w:uiPriority w:val="0"/>
  </w:style>
  <w:style w:type="paragraph" w:styleId="19">
    <w:name w:val="List Paragraph"/>
    <w:basedOn w:val="1"/>
    <w:qFormat/>
    <w:uiPriority w:val="1"/>
    <w:pPr>
      <w:ind w:left="437"/>
    </w:pPr>
  </w:style>
  <w:style w:type="paragraph" w:customStyle="1" w:styleId="20">
    <w:name w:val="Table Paragraph"/>
    <w:basedOn w:val="1"/>
    <w:qFormat/>
    <w:uiPriority w:val="1"/>
  </w:style>
  <w:style w:type="paragraph" w:customStyle="1" w:styleId="21">
    <w:name w:val="列表段落1"/>
    <w:basedOn w:val="1"/>
    <w:autoRedefine/>
    <w:unhideWhenUsed/>
    <w:qFormat/>
    <w:uiPriority w:val="34"/>
    <w:pPr>
      <w:ind w:firstLine="420" w:firstLineChars="200"/>
    </w:pPr>
  </w:style>
  <w:style w:type="paragraph" w:customStyle="1" w:styleId="22">
    <w:name w:val="正文1"/>
    <w:basedOn w:val="1"/>
    <w:next w:val="23"/>
    <w:qFormat/>
    <w:uiPriority w:val="0"/>
    <w:pPr>
      <w:spacing w:line="360" w:lineRule="atLeast"/>
      <w:jc w:val="left"/>
    </w:pPr>
    <w:rPr>
      <w:rFonts w:ascii="宋体" w:hAnsi="Calibri" w:eastAsia="宋体" w:cs="Times New Roman"/>
      <w:sz w:val="24"/>
      <w:szCs w:val="20"/>
    </w:rPr>
  </w:style>
  <w:style w:type="paragraph" w:customStyle="1" w:styleId="23">
    <w:name w:val="正文文本1"/>
    <w:basedOn w:val="22"/>
    <w:next w:val="24"/>
    <w:qFormat/>
    <w:uiPriority w:val="0"/>
    <w:pPr>
      <w:spacing w:after="120"/>
    </w:pPr>
    <w:rPr>
      <w:lang w:eastAsia="en-US"/>
    </w:rPr>
  </w:style>
  <w:style w:type="paragraph" w:customStyle="1" w:styleId="24">
    <w:name w:val="一级条标题"/>
    <w:basedOn w:val="25"/>
    <w:next w:val="26"/>
    <w:qFormat/>
    <w:uiPriority w:val="0"/>
    <w:pPr>
      <w:tabs>
        <w:tab w:val="left" w:pos="810"/>
        <w:tab w:val="left" w:pos="907"/>
        <w:tab w:val="left" w:pos="1265"/>
      </w:tabs>
      <w:spacing w:before="0" w:after="0"/>
      <w:ind w:left="907" w:hanging="907"/>
      <w:outlineLvl w:val="2"/>
    </w:pPr>
    <w:rPr>
      <w:rFonts w:hAnsi="宋体"/>
      <w:sz w:val="20"/>
      <w:szCs w:val="20"/>
    </w:rPr>
  </w:style>
  <w:style w:type="paragraph" w:customStyle="1" w:styleId="25">
    <w:name w:val="章标题"/>
    <w:next w:val="1"/>
    <w:qFormat/>
    <w:uiPriority w:val="0"/>
    <w:pPr>
      <w:tabs>
        <w:tab w:val="left" w:pos="810"/>
        <w:tab w:val="left" w:pos="1265"/>
      </w:tabs>
      <w:spacing w:before="50" w:after="50"/>
      <w:ind w:left="810" w:hanging="810"/>
      <w:jc w:val="both"/>
      <w:outlineLvl w:val="1"/>
    </w:pPr>
    <w:rPr>
      <w:rFonts w:hint="default" w:ascii="黑体" w:hAnsi="Calibri" w:eastAsia="黑体" w:cs="Times New Roman"/>
      <w:sz w:val="21"/>
      <w:szCs w:val="22"/>
      <w:lang w:val="en-US" w:eastAsia="zh-CN" w:bidi="ar-SA"/>
    </w:rPr>
  </w:style>
  <w:style w:type="paragraph" w:customStyle="1" w:styleId="26">
    <w:name w:val="段"/>
    <w:basedOn w:val="22"/>
    <w:next w:val="1"/>
    <w:qFormat/>
    <w:uiPriority w:val="0"/>
    <w:pPr>
      <w:widowControl/>
      <w:ind w:firstLine="200"/>
    </w:pPr>
    <w:rPr>
      <w:sz w:val="20"/>
    </w:rPr>
  </w:style>
  <w:style w:type="character" w:customStyle="1" w:styleId="27">
    <w:name w:val="font21"/>
    <w:basedOn w:val="16"/>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header" Target="header1.xml"/><Relationship Id="rId34" Type="http://schemas.openxmlformats.org/officeDocument/2006/relationships/fontTable" Target="fontTable.xml"/><Relationship Id="rId33" Type="http://schemas.openxmlformats.org/officeDocument/2006/relationships/numbering" Target="numbering.xml"/><Relationship Id="rId32" Type="http://schemas.openxmlformats.org/officeDocument/2006/relationships/customXml" Target="../customXml/item1.xml"/><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footer" Target="foot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97</Pages>
  <Words>17724</Words>
  <Characters>18675</Characters>
  <Lines>0</Lines>
  <Paragraphs>0</Paragraphs>
  <TotalTime>0</TotalTime>
  <ScaleCrop>false</ScaleCrop>
  <LinksUpToDate>false</LinksUpToDate>
  <CharactersWithSpaces>19044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2026-07-02T08:42:00Z</dcterms:created>
  <dc:creator>unis</dc:creator>
  <cp:lastModifiedBy>王行</cp:lastModifiedBy>
  <dcterms:modified xsi:type="dcterms:W3CDTF">2026-10-12T08:02:00Z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eyJoZGlkIjoiZGQxYjM2NjdiMzZlOTdhZjdkYTA4N2ZiZjNhNDRjNTkiLCJ1c2VySWQiOiIxMTcwOTk3ODI5In0=</vt:lpwstr>
  </property>
  <property fmtid="{D5CDD505-2E9C-101B-9397-08002B2CF9AE}" pid="4" name="ICV">
    <vt:lpwstr>6017ACEED25342C3A8EECD65B58946E3_13</vt:lpwstr>
  </property>
</Properties>
</file>