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19CBF">
      <w:pPr>
        <w:jc w:val="center"/>
        <w:rPr>
          <w:rFonts w:hint="eastAsia" w:ascii="黑体" w:hAnsi="黑体" w:eastAsia="黑体" w:cs="黑体"/>
          <w:b w:val="0"/>
          <w:bCs w:val="0"/>
          <w:sz w:val="52"/>
          <w:szCs w:val="52"/>
        </w:rPr>
      </w:pPr>
      <w:r>
        <w:rPr>
          <w:rFonts w:hint="eastAsia" w:ascii="黑体" w:hAnsi="黑体" w:eastAsia="黑体" w:cs="黑体"/>
          <w:b w:val="0"/>
          <w:bCs w:val="0"/>
          <w:sz w:val="52"/>
          <w:szCs w:val="52"/>
        </w:rPr>
        <w:t>河南理工大学化学化工学院实验室气路改造项目</w:t>
      </w:r>
    </w:p>
    <w:p w14:paraId="4E09E9B2">
      <w:pPr>
        <w:jc w:val="center"/>
        <w:rPr>
          <w:rFonts w:hint="eastAsia" w:ascii="黑体" w:hAnsi="黑体" w:eastAsia="黑体" w:cs="黑体"/>
          <w:b w:val="0"/>
          <w:bCs w:val="0"/>
          <w:sz w:val="52"/>
          <w:szCs w:val="52"/>
          <w:lang w:val="en-US" w:eastAsia="zh-CN"/>
        </w:rPr>
      </w:pPr>
      <w:r>
        <w:rPr>
          <w:rFonts w:hint="eastAsia" w:ascii="黑体" w:hAnsi="黑体" w:eastAsia="黑体" w:cs="黑体"/>
          <w:b w:val="0"/>
          <w:bCs w:val="0"/>
          <w:sz w:val="52"/>
          <w:szCs w:val="52"/>
          <w:lang w:val="en-US" w:eastAsia="zh-CN"/>
        </w:rPr>
        <w:t>变更内容对照表</w:t>
      </w:r>
    </w:p>
    <w:p w14:paraId="7AD53F52">
      <w:pPr>
        <w:jc w:val="center"/>
      </w:pPr>
      <w:r>
        <w:rPr>
          <w:rFonts w:hint="eastAsia" w:ascii="黑体" w:hAnsi="黑体" w:eastAsia="黑体" w:cs="黑体"/>
          <w:b w:val="0"/>
          <w:bCs w:val="0"/>
          <w:sz w:val="36"/>
          <w:szCs w:val="36"/>
        </w:rPr>
        <w:t>(项目编号：豫财招标采购-2026-998)</w:t>
      </w:r>
    </w:p>
    <w:p w14:paraId="795DB7D2">
      <w:pPr>
        <w:jc w:val="cente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935"/>
        <w:gridCol w:w="5715"/>
        <w:gridCol w:w="5677"/>
      </w:tblGrid>
      <w:tr w14:paraId="2CF7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47" w:type="dxa"/>
            <w:vAlign w:val="center"/>
          </w:tcPr>
          <w:p w14:paraId="0C4925F8">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eastAsia" w:ascii="Times New Roman" w:hAnsi="Times New Roman" w:eastAsia="仿宋" w:cs="Times New Roman"/>
                <w:b/>
                <w:bCs/>
                <w:i w:val="0"/>
                <w:iCs w:val="0"/>
                <w:color w:val="auto"/>
                <w:kern w:val="0"/>
                <w:sz w:val="28"/>
                <w:szCs w:val="28"/>
                <w:highlight w:val="none"/>
                <w:u w:val="none"/>
                <w:lang w:val="en-US" w:eastAsia="zh-CN" w:bidi="ar"/>
              </w:rPr>
            </w:pPr>
            <w:r>
              <w:rPr>
                <w:rFonts w:hint="eastAsia" w:ascii="Times New Roman" w:hAnsi="Times New Roman" w:eastAsia="仿宋" w:cs="Times New Roman"/>
                <w:b/>
                <w:bCs/>
                <w:i w:val="0"/>
                <w:iCs w:val="0"/>
                <w:color w:val="auto"/>
                <w:kern w:val="0"/>
                <w:sz w:val="28"/>
                <w:szCs w:val="28"/>
                <w:highlight w:val="none"/>
                <w:u w:val="none"/>
                <w:lang w:val="en-US" w:eastAsia="zh-CN" w:bidi="ar"/>
              </w:rPr>
              <w:t>序号</w:t>
            </w:r>
          </w:p>
        </w:tc>
        <w:tc>
          <w:tcPr>
            <w:tcW w:w="1935" w:type="dxa"/>
            <w:vAlign w:val="center"/>
          </w:tcPr>
          <w:p w14:paraId="3B64AAFB">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eastAsia" w:ascii="Times New Roman" w:hAnsi="Times New Roman" w:eastAsia="仿宋" w:cs="Times New Roman"/>
                <w:b/>
                <w:bCs/>
                <w:i w:val="0"/>
                <w:iCs w:val="0"/>
                <w:color w:val="auto"/>
                <w:kern w:val="0"/>
                <w:sz w:val="28"/>
                <w:szCs w:val="28"/>
                <w:highlight w:val="none"/>
                <w:u w:val="none"/>
                <w:lang w:val="en-US" w:eastAsia="zh-CN" w:bidi="ar"/>
              </w:rPr>
            </w:pPr>
            <w:r>
              <w:rPr>
                <w:rFonts w:hint="eastAsia" w:ascii="Times New Roman" w:hAnsi="Times New Roman" w:eastAsia="仿宋" w:cs="Times New Roman"/>
                <w:b/>
                <w:bCs/>
                <w:i w:val="0"/>
                <w:iCs w:val="0"/>
                <w:color w:val="auto"/>
                <w:kern w:val="0"/>
                <w:sz w:val="28"/>
                <w:szCs w:val="28"/>
                <w:highlight w:val="none"/>
                <w:u w:val="none"/>
                <w:lang w:val="en-US" w:eastAsia="zh-CN" w:bidi="ar"/>
              </w:rPr>
              <w:t>章节位置</w:t>
            </w:r>
          </w:p>
        </w:tc>
        <w:tc>
          <w:tcPr>
            <w:tcW w:w="5715" w:type="dxa"/>
            <w:vAlign w:val="center"/>
          </w:tcPr>
          <w:p w14:paraId="3BBEE05C">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b/>
                <w:bCs/>
                <w:i w:val="0"/>
                <w:iCs w:val="0"/>
                <w:color w:val="auto"/>
                <w:kern w:val="0"/>
                <w:sz w:val="28"/>
                <w:szCs w:val="28"/>
                <w:highlight w:val="none"/>
                <w:u w:val="none"/>
                <w:lang w:val="en-US" w:eastAsia="zh-CN" w:bidi="ar"/>
              </w:rPr>
            </w:pPr>
            <w:r>
              <w:rPr>
                <w:rFonts w:hint="eastAsia" w:ascii="Times New Roman" w:hAnsi="Times New Roman" w:eastAsia="仿宋" w:cs="Times New Roman"/>
                <w:b/>
                <w:bCs/>
                <w:i w:val="0"/>
                <w:iCs w:val="0"/>
                <w:color w:val="auto"/>
                <w:kern w:val="0"/>
                <w:sz w:val="28"/>
                <w:szCs w:val="28"/>
                <w:highlight w:val="none"/>
                <w:u w:val="none"/>
                <w:lang w:val="en-US" w:eastAsia="zh-CN" w:bidi="ar"/>
              </w:rPr>
              <w:t>原采购信息内容</w:t>
            </w:r>
          </w:p>
        </w:tc>
        <w:tc>
          <w:tcPr>
            <w:tcW w:w="5677" w:type="dxa"/>
            <w:vAlign w:val="center"/>
          </w:tcPr>
          <w:p w14:paraId="054AB931">
            <w:pPr>
              <w:keepNext w:val="0"/>
              <w:keepLines w:val="0"/>
              <w:pageBreakBefore w:val="0"/>
              <w:widowControl/>
              <w:suppressLineNumbers w:val="0"/>
              <w:kinsoku/>
              <w:wordWrap/>
              <w:overflowPunct/>
              <w:topLinePunct w:val="0"/>
              <w:autoSpaceDE w:val="0"/>
              <w:autoSpaceDN w:val="0"/>
              <w:bidi w:val="0"/>
              <w:adjustRightInd/>
              <w:snapToGrid/>
              <w:jc w:val="center"/>
              <w:textAlignment w:val="center"/>
              <w:rPr>
                <w:rFonts w:hint="default" w:ascii="Times New Roman" w:hAnsi="Times New Roman" w:eastAsia="仿宋" w:cs="Times New Roman"/>
                <w:b/>
                <w:bCs/>
                <w:i w:val="0"/>
                <w:iCs w:val="0"/>
                <w:color w:val="auto"/>
                <w:kern w:val="0"/>
                <w:sz w:val="28"/>
                <w:szCs w:val="28"/>
                <w:highlight w:val="none"/>
                <w:u w:val="none"/>
                <w:lang w:val="en-US" w:eastAsia="zh-CN" w:bidi="ar"/>
              </w:rPr>
            </w:pPr>
            <w:r>
              <w:rPr>
                <w:rFonts w:hint="eastAsia" w:ascii="Times New Roman" w:hAnsi="Times New Roman" w:eastAsia="仿宋" w:cs="Times New Roman"/>
                <w:b/>
                <w:bCs/>
                <w:i w:val="0"/>
                <w:iCs w:val="0"/>
                <w:color w:val="auto"/>
                <w:kern w:val="0"/>
                <w:sz w:val="28"/>
                <w:szCs w:val="28"/>
                <w:highlight w:val="none"/>
                <w:u w:val="none"/>
                <w:lang w:val="en-US" w:eastAsia="zh-CN" w:bidi="ar"/>
              </w:rPr>
              <w:t>变更后</w:t>
            </w:r>
          </w:p>
        </w:tc>
      </w:tr>
      <w:tr w14:paraId="22AC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5A005A98">
            <w:pPr>
              <w:jc w:val="center"/>
              <w:rPr>
                <w:rFonts w:hint="eastAsia"/>
                <w:sz w:val="28"/>
                <w:szCs w:val="28"/>
                <w:vertAlign w:val="baseline"/>
                <w:lang w:val="en-US" w:eastAsia="zh-CN"/>
              </w:rPr>
            </w:pPr>
            <w:r>
              <w:rPr>
                <w:rFonts w:hint="eastAsia"/>
                <w:sz w:val="28"/>
                <w:szCs w:val="28"/>
                <w:vertAlign w:val="baseline"/>
                <w:lang w:val="en-US" w:eastAsia="zh-CN"/>
              </w:rPr>
              <w:t>1</w:t>
            </w:r>
          </w:p>
        </w:tc>
        <w:tc>
          <w:tcPr>
            <w:tcW w:w="1935" w:type="dxa"/>
            <w:vAlign w:val="center"/>
          </w:tcPr>
          <w:p w14:paraId="205A3312">
            <w:pPr>
              <w:jc w:val="center"/>
              <w:rPr>
                <w:sz w:val="28"/>
                <w:szCs w:val="28"/>
                <w:vertAlign w:val="baseline"/>
              </w:rPr>
            </w:pPr>
            <w:r>
              <w:rPr>
                <w:rFonts w:hint="eastAsia" w:ascii="Times New Roman" w:hAnsi="Times New Roman" w:eastAsia="仿宋" w:cs="Times New Roman"/>
                <w:i w:val="0"/>
                <w:iCs w:val="0"/>
                <w:color w:val="auto"/>
                <w:kern w:val="0"/>
                <w:sz w:val="28"/>
                <w:szCs w:val="28"/>
                <w:highlight w:val="none"/>
                <w:u w:val="none"/>
                <w:lang w:val="en-US" w:eastAsia="zh-CN" w:bidi="ar"/>
              </w:rPr>
              <w:t>第六章 采购需求-二、技术要求-15：4P自动不间断汇流控制系统</w:t>
            </w:r>
          </w:p>
        </w:tc>
        <w:tc>
          <w:tcPr>
            <w:tcW w:w="5715" w:type="dxa"/>
            <w:vAlign w:val="center"/>
          </w:tcPr>
          <w:p w14:paraId="25D160B9">
            <w:pPr>
              <w:rPr>
                <w:sz w:val="28"/>
                <w:szCs w:val="28"/>
                <w:vertAlign w:val="baseline"/>
              </w:rPr>
            </w:pPr>
            <w:r>
              <w:rPr>
                <w:rFonts w:hint="eastAsia" w:ascii="Times New Roman" w:hAnsi="Times New Roman" w:eastAsia="仿宋" w:cs="Times New Roman"/>
                <w:i w:val="0"/>
                <w:iCs w:val="0"/>
                <w:color w:val="auto"/>
                <w:kern w:val="0"/>
                <w:sz w:val="28"/>
                <w:szCs w:val="28"/>
                <w:highlight w:val="none"/>
                <w:u w:val="none"/>
                <w:lang w:val="en-US" w:eastAsia="zh-CN" w:bidi="ar"/>
              </w:rPr>
              <w:t>2、★防爆设计按照 GB/T3836.1-2021《爆炸性环境第1部分：设备通用要求》执行；投标文件提供第三方防爆检测报告。</w:t>
            </w:r>
          </w:p>
        </w:tc>
        <w:tc>
          <w:tcPr>
            <w:tcW w:w="5677" w:type="dxa"/>
            <w:vAlign w:val="center"/>
          </w:tcPr>
          <w:p w14:paraId="6A6DE65E">
            <w:pPr>
              <w:rPr>
                <w:color w:val="auto"/>
                <w:sz w:val="28"/>
                <w:szCs w:val="28"/>
                <w:vertAlign w:val="baseline"/>
              </w:rPr>
            </w:pPr>
            <w:r>
              <w:rPr>
                <w:rFonts w:hint="default" w:ascii="Times New Roman" w:hAnsi="Times New Roman" w:cs="Times New Roman"/>
                <w:i w:val="0"/>
                <w:iCs w:val="0"/>
                <w:color w:val="auto"/>
                <w:kern w:val="0"/>
                <w:sz w:val="28"/>
                <w:szCs w:val="28"/>
                <w:highlight w:val="none"/>
                <w:u w:val="none"/>
                <w:lang w:val="en-US" w:eastAsia="zh-CN" w:bidi="ar"/>
              </w:rPr>
              <w:t>2</w:t>
            </w:r>
            <w:r>
              <w:rPr>
                <w:rFonts w:hint="default" w:ascii="Times New Roman" w:hAnsi="Times New Roman" w:eastAsia="仿宋" w:cs="Times New Roman"/>
                <w:i w:val="0"/>
                <w:iCs w:val="0"/>
                <w:color w:val="auto"/>
                <w:kern w:val="0"/>
                <w:sz w:val="28"/>
                <w:szCs w:val="28"/>
                <w:highlight w:val="none"/>
                <w:u w:val="none"/>
                <w:lang w:val="en-US" w:eastAsia="zh-CN" w:bidi="ar"/>
              </w:rPr>
              <w:t>、★性能要求：产品应满足氢气、乙炔等易燃易爆气体使用，可实现气体在一侧气瓶使用完后自动切换到另一侧使用，并实时传输信号到控制系统且同步向管理人员发出远程信息化报警通知，整套设备按照GB/T3836.1‑2021《爆炸性环境 第1部分：设备通用要求》、GB/T3836.2‑2021《爆炸性环境 第2部分：由隔爆外壳“d”保护的设备》完成防爆性能检测。提供具备CMA资质的第三方机构出具的整套设备防爆检测报告及防爆合格证。</w:t>
            </w:r>
          </w:p>
        </w:tc>
      </w:tr>
      <w:tr w14:paraId="6B30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7" w:hRule="atLeast"/>
        </w:trPr>
        <w:tc>
          <w:tcPr>
            <w:tcW w:w="847" w:type="dxa"/>
            <w:vAlign w:val="center"/>
          </w:tcPr>
          <w:p w14:paraId="4D325452">
            <w:pPr>
              <w:jc w:val="center"/>
              <w:rPr>
                <w:rFonts w:hint="eastAsia" w:eastAsiaTheme="minorEastAsia"/>
                <w:sz w:val="28"/>
                <w:szCs w:val="28"/>
                <w:vertAlign w:val="baseline"/>
                <w:lang w:val="en-US" w:eastAsia="zh-CN"/>
              </w:rPr>
            </w:pPr>
            <w:r>
              <w:rPr>
                <w:rFonts w:hint="eastAsia"/>
                <w:sz w:val="28"/>
                <w:szCs w:val="28"/>
                <w:vertAlign w:val="baseline"/>
                <w:lang w:val="en-US" w:eastAsia="zh-CN"/>
              </w:rPr>
              <w:t>2</w:t>
            </w:r>
          </w:p>
        </w:tc>
        <w:tc>
          <w:tcPr>
            <w:tcW w:w="1935" w:type="dxa"/>
            <w:vAlign w:val="center"/>
          </w:tcPr>
          <w:p w14:paraId="5446F23C">
            <w:pPr>
              <w:jc w:val="center"/>
              <w:rPr>
                <w:sz w:val="28"/>
                <w:szCs w:val="28"/>
                <w:vertAlign w:val="baseline"/>
              </w:rPr>
            </w:pPr>
            <w:r>
              <w:rPr>
                <w:rFonts w:hint="eastAsia" w:ascii="Times New Roman" w:hAnsi="Times New Roman" w:eastAsia="仿宋" w:cs="Times New Roman"/>
                <w:i w:val="0"/>
                <w:iCs w:val="0"/>
                <w:color w:val="auto"/>
                <w:kern w:val="0"/>
                <w:sz w:val="28"/>
                <w:szCs w:val="28"/>
                <w:highlight w:val="none"/>
                <w:u w:val="none"/>
                <w:lang w:val="en-US" w:eastAsia="zh-CN" w:bidi="ar"/>
              </w:rPr>
              <w:t>第六章 采购需求-二、技术要求-25：不锈钢1/2”BA管</w:t>
            </w:r>
          </w:p>
        </w:tc>
        <w:tc>
          <w:tcPr>
            <w:tcW w:w="5715" w:type="dxa"/>
            <w:vAlign w:val="center"/>
          </w:tcPr>
          <w:p w14:paraId="0C1BBC04">
            <w:pPr>
              <w:keepNext w:val="0"/>
              <w:keepLines w:val="0"/>
              <w:pageBreakBefore w:val="0"/>
              <w:widowControl/>
              <w:suppressLineNumbers w:val="0"/>
              <w:kinsoku/>
              <w:wordWrap/>
              <w:overflowPunct/>
              <w:topLinePunct w:val="0"/>
              <w:autoSpaceDE w:val="0"/>
              <w:autoSpaceDN w:val="0"/>
              <w:bidi w:val="0"/>
              <w:adjustRightInd/>
              <w:snapToGrid/>
              <w:jc w:val="left"/>
              <w:textAlignment w:val="center"/>
              <w:rPr>
                <w:rFonts w:hint="eastAsia" w:ascii="Times New Roman" w:hAnsi="Times New Roman" w:eastAsia="仿宋" w:cs="Times New Roman"/>
                <w:i w:val="0"/>
                <w:iCs w:val="0"/>
                <w:color w:val="auto"/>
                <w:kern w:val="0"/>
                <w:sz w:val="28"/>
                <w:szCs w:val="28"/>
                <w:highlight w:val="none"/>
                <w:u w:val="none"/>
                <w:lang w:val="en-US" w:eastAsia="zh-CN" w:bidi="ar"/>
              </w:rPr>
            </w:pPr>
            <w:r>
              <w:rPr>
                <w:rFonts w:hint="eastAsia" w:ascii="Times New Roman" w:hAnsi="Times New Roman" w:eastAsia="仿宋" w:cs="Times New Roman"/>
                <w:i w:val="0"/>
                <w:iCs w:val="0"/>
                <w:color w:val="auto"/>
                <w:kern w:val="0"/>
                <w:sz w:val="28"/>
                <w:szCs w:val="28"/>
                <w:highlight w:val="none"/>
                <w:u w:val="none"/>
                <w:lang w:val="en-US" w:eastAsia="zh-CN" w:bidi="ar"/>
              </w:rPr>
              <w:t>2、▲提供第三方检验报告，检验项目：不锈钢 316BA 级洁净、无油脂试验；依据 YB/T6081-2022；缺项或不满足标准要求视为无效提供；该检验项目属于市场监管总局 “一单一库”范围，提供带 CMA 标志报告。</w:t>
            </w:r>
          </w:p>
          <w:p w14:paraId="7F332E8D">
            <w:pPr>
              <w:rPr>
                <w:sz w:val="28"/>
                <w:szCs w:val="28"/>
                <w:vertAlign w:val="baseline"/>
              </w:rPr>
            </w:pPr>
          </w:p>
        </w:tc>
        <w:tc>
          <w:tcPr>
            <w:tcW w:w="5677" w:type="dxa"/>
            <w:vAlign w:val="center"/>
          </w:tcPr>
          <w:p w14:paraId="77FD5A6C">
            <w:pPr>
              <w:rPr>
                <w:color w:val="auto"/>
                <w:sz w:val="28"/>
                <w:szCs w:val="28"/>
                <w:vertAlign w:val="baseline"/>
              </w:rPr>
            </w:pPr>
            <w:r>
              <w:rPr>
                <w:rFonts w:hint="default" w:ascii="Times New Roman" w:hAnsi="Times New Roman" w:eastAsia="仿宋" w:cs="Times New Roman"/>
                <w:b w:val="0"/>
                <w:bCs w:val="0"/>
                <w:i w:val="0"/>
                <w:iCs w:val="0"/>
                <w:color w:val="auto"/>
                <w:kern w:val="0"/>
                <w:sz w:val="28"/>
                <w:szCs w:val="28"/>
                <w:highlight w:val="none"/>
                <w:u w:val="none"/>
                <w:lang w:val="en-US" w:eastAsia="zh-CN" w:bidi="ar"/>
              </w:rPr>
              <w:t>2、▲不锈钢管道内壁粗糙度采用触针法检测，依据GB/T6062‑2009、GB/T10610‑2009，内壁粗糙度 Ra≤0.5μm；提供带 CMA 标志报告。</w:t>
            </w:r>
          </w:p>
        </w:tc>
      </w:tr>
      <w:tr w14:paraId="0C23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3EEAF48">
            <w:pPr>
              <w:jc w:val="center"/>
              <w:rPr>
                <w:rFonts w:hint="eastAsia" w:eastAsiaTheme="minorEastAsia"/>
                <w:sz w:val="28"/>
                <w:szCs w:val="28"/>
                <w:vertAlign w:val="baseline"/>
                <w:lang w:val="en-US" w:eastAsia="zh-CN"/>
              </w:rPr>
            </w:pPr>
            <w:r>
              <w:rPr>
                <w:rFonts w:hint="eastAsia"/>
                <w:sz w:val="28"/>
                <w:szCs w:val="28"/>
                <w:vertAlign w:val="baseline"/>
                <w:lang w:val="en-US" w:eastAsia="zh-CN"/>
              </w:rPr>
              <w:t>3</w:t>
            </w:r>
          </w:p>
        </w:tc>
        <w:tc>
          <w:tcPr>
            <w:tcW w:w="1935" w:type="dxa"/>
            <w:shd w:val="clear" w:color="auto" w:fill="auto"/>
            <w:vAlign w:val="center"/>
          </w:tcPr>
          <w:p w14:paraId="344C217C">
            <w:pPr>
              <w:jc w:val="center"/>
              <w:rPr>
                <w:rFonts w:asciiTheme="minorHAnsi" w:hAnsiTheme="minorHAnsi" w:eastAsiaTheme="minorEastAsia" w:cstheme="minorBidi"/>
                <w:kern w:val="2"/>
                <w:sz w:val="28"/>
                <w:szCs w:val="28"/>
                <w:vertAlign w:val="baseline"/>
                <w:lang w:val="en-US" w:eastAsia="zh-CN" w:bidi="ar-SA"/>
              </w:rPr>
            </w:pPr>
            <w:r>
              <w:rPr>
                <w:rFonts w:hint="eastAsia" w:ascii="Times New Roman" w:hAnsi="Times New Roman" w:eastAsia="仿宋" w:cs="Times New Roman"/>
                <w:i w:val="0"/>
                <w:iCs w:val="0"/>
                <w:color w:val="auto"/>
                <w:kern w:val="0"/>
                <w:sz w:val="28"/>
                <w:szCs w:val="28"/>
                <w:highlight w:val="none"/>
                <w:u w:val="none"/>
                <w:lang w:val="en-US" w:eastAsia="zh-CN" w:bidi="ar"/>
              </w:rPr>
              <w:t>第六章 采购需求-二、技术要求-25：不锈钢1/2”BA管</w:t>
            </w:r>
          </w:p>
        </w:tc>
        <w:tc>
          <w:tcPr>
            <w:tcW w:w="5715" w:type="dxa"/>
            <w:shd w:val="clear" w:color="auto" w:fill="auto"/>
            <w:vAlign w:val="center"/>
          </w:tcPr>
          <w:p w14:paraId="53329E42">
            <w:pPr>
              <w:rPr>
                <w:rFonts w:asciiTheme="minorHAnsi" w:hAnsiTheme="minorHAnsi" w:eastAsiaTheme="minorEastAsia" w:cstheme="minorBidi"/>
                <w:kern w:val="2"/>
                <w:sz w:val="28"/>
                <w:szCs w:val="28"/>
                <w:vertAlign w:val="baseline"/>
                <w:lang w:val="en-US" w:eastAsia="zh-CN" w:bidi="ar-SA"/>
              </w:rPr>
            </w:pPr>
            <w:r>
              <w:rPr>
                <w:rFonts w:hint="eastAsia" w:ascii="Times New Roman" w:hAnsi="Times New Roman" w:eastAsia="仿宋" w:cs="Times New Roman"/>
                <w:i w:val="0"/>
                <w:iCs w:val="0"/>
                <w:color w:val="auto"/>
                <w:kern w:val="0"/>
                <w:sz w:val="28"/>
                <w:szCs w:val="28"/>
                <w:highlight w:val="none"/>
                <w:u w:val="none"/>
                <w:lang w:val="en-US" w:eastAsia="zh-CN" w:bidi="ar"/>
              </w:rPr>
              <w:t>3、▲提供第三方检验报告，检验项目：承压试验；依据 GB/T20801.5‑2020，试验压力≥25MPa；该检验项目属于市场监管总局 “一单一库” 范围，提供带 CMA 标志报告。备注：检测报告不限规格，上述1/2”、3/4”、1/4”任意一种不锈钢SS 316LBA管均可。</w:t>
            </w:r>
          </w:p>
        </w:tc>
        <w:tc>
          <w:tcPr>
            <w:tcW w:w="5677" w:type="dxa"/>
            <w:vAlign w:val="center"/>
          </w:tcPr>
          <w:p w14:paraId="742B245F">
            <w:pPr>
              <w:rPr>
                <w:rFonts w:hint="eastAsia" w:eastAsiaTheme="minorEastAsia"/>
                <w:color w:val="auto"/>
                <w:sz w:val="28"/>
                <w:szCs w:val="28"/>
                <w:vertAlign w:val="baseline"/>
                <w:lang w:val="en-US" w:eastAsia="zh-CN"/>
              </w:rPr>
            </w:pPr>
            <w:r>
              <w:rPr>
                <w:rFonts w:hint="eastAsia"/>
                <w:color w:val="auto"/>
                <w:sz w:val="28"/>
                <w:szCs w:val="28"/>
                <w:vertAlign w:val="baseline"/>
                <w:lang w:val="en-US" w:eastAsia="zh-CN"/>
              </w:rPr>
              <w:t>删除</w:t>
            </w:r>
          </w:p>
        </w:tc>
      </w:tr>
      <w:tr w14:paraId="08C4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D068F2B">
            <w:pPr>
              <w:jc w:val="center"/>
              <w:rPr>
                <w:rFonts w:hint="eastAsia" w:eastAsiaTheme="minorEastAsia"/>
                <w:sz w:val="28"/>
                <w:szCs w:val="28"/>
                <w:vertAlign w:val="baseline"/>
                <w:lang w:val="en-US" w:eastAsia="zh-CN"/>
              </w:rPr>
            </w:pPr>
            <w:r>
              <w:rPr>
                <w:rFonts w:hint="eastAsia"/>
                <w:sz w:val="28"/>
                <w:szCs w:val="28"/>
                <w:vertAlign w:val="baseline"/>
                <w:lang w:val="en-US" w:eastAsia="zh-CN"/>
              </w:rPr>
              <w:t>4</w:t>
            </w:r>
          </w:p>
        </w:tc>
        <w:tc>
          <w:tcPr>
            <w:tcW w:w="1935" w:type="dxa"/>
            <w:vAlign w:val="center"/>
          </w:tcPr>
          <w:p w14:paraId="76A6C3D3">
            <w:pPr>
              <w:jc w:val="center"/>
              <w:rPr>
                <w:sz w:val="28"/>
                <w:szCs w:val="28"/>
                <w:vertAlign w:val="baseline"/>
              </w:rPr>
            </w:pPr>
            <w:r>
              <w:rPr>
                <w:rFonts w:hint="eastAsia" w:ascii="Times New Roman" w:hAnsi="Times New Roman" w:eastAsia="仿宋" w:cs="Times New Roman"/>
                <w:i w:val="0"/>
                <w:iCs w:val="0"/>
                <w:color w:val="auto"/>
                <w:kern w:val="0"/>
                <w:sz w:val="28"/>
                <w:szCs w:val="28"/>
                <w:highlight w:val="none"/>
                <w:u w:val="none"/>
                <w:lang w:val="en-US" w:eastAsia="zh-CN" w:bidi="ar"/>
              </w:rPr>
              <w:t>第六章 采购需求-二、技术要求-32：</w:t>
            </w:r>
            <w:r>
              <w:rPr>
                <w:rFonts w:hint="default" w:ascii="Times New Roman" w:hAnsi="Times New Roman" w:eastAsia="仿宋" w:cs="Times New Roman"/>
                <w:i w:val="0"/>
                <w:iCs w:val="0"/>
                <w:color w:val="auto"/>
                <w:kern w:val="0"/>
                <w:sz w:val="28"/>
                <w:szCs w:val="28"/>
                <w:highlight w:val="none"/>
                <w:u w:val="none"/>
                <w:lang w:val="en-US" w:eastAsia="zh-CN" w:bidi="ar"/>
              </w:rPr>
              <w:t>实验室气体智能安全监控系统</w:t>
            </w:r>
          </w:p>
        </w:tc>
        <w:tc>
          <w:tcPr>
            <w:tcW w:w="5715" w:type="dxa"/>
            <w:vAlign w:val="center"/>
          </w:tcPr>
          <w:p w14:paraId="7209D6ED">
            <w:pPr>
              <w:rPr>
                <w:sz w:val="28"/>
                <w:szCs w:val="28"/>
                <w:vertAlign w:val="baseline"/>
              </w:rPr>
            </w:pPr>
            <w:r>
              <w:rPr>
                <w:rFonts w:hint="eastAsia" w:ascii="Times New Roman" w:hAnsi="Times New Roman" w:eastAsia="仿宋" w:cs="Times New Roman"/>
                <w:i w:val="0"/>
                <w:iCs w:val="0"/>
                <w:color w:val="auto"/>
                <w:kern w:val="0"/>
                <w:sz w:val="28"/>
                <w:szCs w:val="28"/>
                <w:highlight w:val="none"/>
                <w:u w:val="none"/>
                <w:lang w:val="en-US" w:eastAsia="zh-CN" w:bidi="ar"/>
              </w:rPr>
              <w:t>1、为确保数据安全，系统采用本地化部署，系统包含配套的服</w:t>
            </w:r>
            <w:bookmarkStart w:id="0" w:name="_GoBack"/>
            <w:bookmarkEnd w:id="0"/>
            <w:r>
              <w:rPr>
                <w:rFonts w:hint="eastAsia" w:ascii="Times New Roman" w:hAnsi="Times New Roman" w:eastAsia="仿宋" w:cs="Times New Roman"/>
                <w:i w:val="0"/>
                <w:iCs w:val="0"/>
                <w:color w:val="auto"/>
                <w:kern w:val="0"/>
                <w:sz w:val="28"/>
                <w:szCs w:val="28"/>
                <w:highlight w:val="none"/>
                <w:u w:val="none"/>
                <w:lang w:val="en-US" w:eastAsia="zh-CN" w:bidi="ar"/>
              </w:rPr>
              <w:t>务器，服务器设定在学院指定位置。</w:t>
            </w:r>
          </w:p>
        </w:tc>
        <w:tc>
          <w:tcPr>
            <w:tcW w:w="5677" w:type="dxa"/>
            <w:vAlign w:val="center"/>
          </w:tcPr>
          <w:p w14:paraId="04EB8973">
            <w:pPr>
              <w:rPr>
                <w:color w:val="auto"/>
                <w:sz w:val="28"/>
                <w:szCs w:val="28"/>
                <w:vertAlign w:val="baseline"/>
              </w:rPr>
            </w:pPr>
            <w:r>
              <w:rPr>
                <w:rFonts w:hint="default" w:ascii="Times New Roman" w:hAnsi="Times New Roman" w:eastAsia="仿宋" w:cs="Times New Roman"/>
                <w:i w:val="0"/>
                <w:iCs w:val="0"/>
                <w:color w:val="auto"/>
                <w:kern w:val="0"/>
                <w:sz w:val="28"/>
                <w:szCs w:val="28"/>
                <w:highlight w:val="none"/>
                <w:u w:val="none"/>
                <w:lang w:val="en-US" w:eastAsia="zh-CN" w:bidi="ar"/>
              </w:rPr>
              <w:t>▲1、为确保数据安全，系统采用本地化部署，系统包含配套的服务器，服务器设定在学院指定位置</w:t>
            </w:r>
            <w:r>
              <w:rPr>
                <w:rFonts w:hint="default" w:ascii="Times New Roman" w:hAnsi="Times New Roman" w:cs="Times New Roman"/>
                <w:i w:val="0"/>
                <w:iCs w:val="0"/>
                <w:color w:val="auto"/>
                <w:kern w:val="0"/>
                <w:sz w:val="28"/>
                <w:szCs w:val="28"/>
                <w:highlight w:val="none"/>
                <w:u w:val="none"/>
                <w:lang w:val="en-US" w:eastAsia="zh-CN" w:bidi="ar"/>
              </w:rPr>
              <w:t>。</w:t>
            </w:r>
          </w:p>
        </w:tc>
      </w:tr>
    </w:tbl>
    <w:p w14:paraId="27A4BAE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52463"/>
    <w:rsid w:val="07AD40C1"/>
    <w:rsid w:val="104C2C74"/>
    <w:rsid w:val="15AF3EB1"/>
    <w:rsid w:val="1A8C5DB8"/>
    <w:rsid w:val="210F057D"/>
    <w:rsid w:val="369B31B3"/>
    <w:rsid w:val="534E1882"/>
    <w:rsid w:val="58403763"/>
    <w:rsid w:val="5B2D4472"/>
    <w:rsid w:val="667016B7"/>
    <w:rsid w:val="735C44EC"/>
    <w:rsid w:val="73A40BF2"/>
    <w:rsid w:val="78554A08"/>
    <w:rsid w:val="7E940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784</Words>
  <Characters>958</Characters>
  <Lines>0</Lines>
  <Paragraphs>0</Paragraphs>
  <TotalTime>0</TotalTime>
  <ScaleCrop>false</ScaleCrop>
  <LinksUpToDate>false</LinksUpToDate>
  <CharactersWithSpaces>981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2026-10-12T08:17:00Z</dcterms:created>
  <dc:creator>ZDYR</dc:creator>
  <cp:lastModifiedBy>齐</cp:lastModifiedBy>
  <dcterms:modified xsi:type="dcterms:W3CDTF">2026-10-12T08:54:50Z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eyJoZGlkIjoiODdiZWQ1NjNmNjNjZGJmZWRjNTZlZWRiMGYxOGIxOWMiLCJ1c2VySWQiOiI2NDU1MjYzOTMifQ==</vt:lpwstr>
  </property>
  <property fmtid="{D5CDD505-2E9C-101B-9397-08002B2CF9AE}" pid="4" name="ICV">
    <vt:lpwstr>F3FA2D9B8FF14C498304F126923E13AA_12</vt:lpwstr>
  </property>
</Properties>
</file>